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许昌市城市管理局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许昌市城市管理局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许昌市城市管理局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wordWrap/>
        <w:spacing w:before="0" w:after="0"/>
        <w:ind w:left="0" w:leftChars="0" w:right="0" w:firstLine="640" w:firstLineChars="200"/>
        <w:jc w:val="both"/>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val="0"/>
        <w:numPr>
          <w:ilvl w:val="0"/>
          <w:numId w:val="0"/>
        </w:numPr>
        <w:wordWrap/>
        <w:adjustRightInd w:val="0"/>
        <w:snapToGrid w:val="0"/>
        <w:spacing w:before="0" w:after="0" w:line="600" w:lineRule="exact"/>
        <w:ind w:left="0" w:leftChars="0" w:right="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（一）许昌市城市管理局(本级）</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关于城市管理和城市管理行政执法方面的法律法规和方针政策；研究拟订全市城市管理规范性文件，编制城市管理总体规划、中长期发展规划、专项规划和年度计划，并组织实施和监督检查。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制定全市城市管理和城市管理综合执法工作规范和执法行为规范，组织开展业务培训、综合考核、法律法规普及和宣传教育工作。</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全市城市管理和城市管理综合执法的统筹协调、组织调度和监督考核；负责全市城市管理和城市管理综合执法行政复议和行政诉讼工作的监督指导；负责全市城市管理综合执法机构依法行政和严格、规范、文明执法工作的监督指导；负责全市跨区域城市管理综合执法重大案件的查纠工作。</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负责行使住房城乡建设领域法律法规规章规定的全部行政处罚权及相应的行政强制权。一是</w:t>
      </w:r>
      <w:r>
        <w:rPr>
          <w:rFonts w:hint="eastAsia" w:ascii="仿宋_GB2312" w:hAnsi="仿宋_GB2312" w:eastAsia="仿宋_GB2312" w:cs="仿宋_GB2312"/>
          <w:color w:val="auto"/>
          <w:sz w:val="32"/>
          <w:szCs w:val="32"/>
          <w:lang w:eastAsia="zh-CN"/>
        </w:rPr>
        <w:t>具体负责</w:t>
      </w:r>
      <w:r>
        <w:rPr>
          <w:rFonts w:hint="eastAsia" w:ascii="仿宋_GB2312" w:hAnsi="仿宋_GB2312" w:eastAsia="仿宋_GB2312" w:cs="仿宋_GB2312"/>
          <w:color w:val="auto"/>
          <w:sz w:val="32"/>
          <w:szCs w:val="32"/>
          <w:u w:val="none" w:color="auto"/>
        </w:rPr>
        <w:t>行使市建成区内房地产市场方面未经许可销售房屋、未取得资质证书或超越资质从事房地产开发经营等行为的行政处罚权</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行使市建成区内建筑市场方面由市本级及以上财政投资的建设工程项目未经许可违法建设行为的行政处罚权</w:t>
      </w:r>
      <w:r>
        <w:rPr>
          <w:rFonts w:hint="eastAsia" w:ascii="仿宋_GB2312" w:hAnsi="仿宋_GB2312" w:eastAsia="仿宋_GB2312" w:cs="仿宋_GB2312"/>
          <w:color w:val="auto"/>
          <w:sz w:val="32"/>
          <w:szCs w:val="32"/>
          <w:u w:val="none" w:color="auto"/>
          <w:lang w:val="en-US" w:eastAsia="zh-CN"/>
        </w:rPr>
        <w:t>;行使市建成区内</w:t>
      </w:r>
      <w:r>
        <w:rPr>
          <w:rFonts w:hint="eastAsia" w:ascii="仿宋_GB2312" w:hAnsi="仿宋_GB2312" w:eastAsia="仿宋_GB2312" w:cs="仿宋_GB2312"/>
          <w:color w:val="auto"/>
          <w:sz w:val="32"/>
          <w:szCs w:val="32"/>
          <w:u w:val="none" w:color="auto"/>
          <w:lang w:eastAsia="zh-CN"/>
        </w:rPr>
        <w:t>工程质量监督方面的行政处罚权</w:t>
      </w:r>
      <w:r>
        <w:rPr>
          <w:rFonts w:hint="eastAsia" w:ascii="仿宋_GB2312" w:hAnsi="仿宋_GB2312" w:eastAsia="仿宋_GB2312" w:cs="仿宋_GB2312"/>
          <w:color w:val="auto"/>
          <w:sz w:val="32"/>
          <w:szCs w:val="32"/>
          <w:u w:val="none" w:color="auto"/>
        </w:rPr>
        <w:t>；行使</w:t>
      </w:r>
      <w:r>
        <w:rPr>
          <w:rFonts w:hint="eastAsia" w:ascii="仿宋_GB2312" w:hAnsi="仿宋_GB2312" w:eastAsia="仿宋_GB2312" w:cs="仿宋_GB2312"/>
          <w:color w:val="auto"/>
          <w:sz w:val="32"/>
          <w:szCs w:val="32"/>
          <w:u w:val="none" w:color="auto"/>
          <w:lang w:eastAsia="zh-CN"/>
        </w:rPr>
        <w:t>市管区域内</w:t>
      </w:r>
      <w:r>
        <w:rPr>
          <w:rFonts w:hint="eastAsia" w:ascii="仿宋_GB2312" w:hAnsi="仿宋_GB2312" w:eastAsia="仿宋_GB2312" w:cs="仿宋_GB2312"/>
          <w:color w:val="auto"/>
          <w:sz w:val="32"/>
          <w:szCs w:val="32"/>
          <w:u w:val="none" w:color="auto"/>
        </w:rPr>
        <w:t>建筑工地扬尘污染、噪音污染、文明施工管理违法违规行为的行政处罚权。</w:t>
      </w:r>
      <w:r>
        <w:rPr>
          <w:rFonts w:hint="eastAsia" w:ascii="仿宋_GB2312" w:hAnsi="仿宋_GB2312" w:eastAsia="仿宋_GB2312" w:cs="仿宋_GB2312"/>
          <w:color w:val="auto"/>
          <w:sz w:val="32"/>
          <w:szCs w:val="32"/>
          <w:u w:val="none" w:color="auto"/>
          <w:lang w:eastAsia="zh-CN"/>
        </w:rPr>
        <w:t>二是具体负责</w:t>
      </w:r>
      <w:r>
        <w:rPr>
          <w:rFonts w:hint="eastAsia" w:ascii="仿宋_GB2312" w:hAnsi="仿宋_GB2312" w:eastAsia="仿宋_GB2312" w:cs="仿宋_GB2312"/>
          <w:color w:val="auto"/>
          <w:sz w:val="32"/>
          <w:szCs w:val="32"/>
          <w:u w:val="none" w:color="auto"/>
        </w:rPr>
        <w:t>行使市建成区内建筑垃圾、生活垃圾、餐厨垃圾清运处置违法违规行为的行政处罚权；行使市建成区内违规设置大型户外广告、</w:t>
      </w:r>
      <w:r>
        <w:rPr>
          <w:rFonts w:hint="eastAsia" w:ascii="仿宋_GB2312" w:hAnsi="仿宋_GB2312" w:eastAsia="仿宋_GB2312" w:cs="仿宋_GB2312"/>
          <w:color w:val="auto"/>
          <w:sz w:val="32"/>
          <w:szCs w:val="32"/>
          <w:u w:val="none" w:color="auto"/>
          <w:lang w:eastAsia="zh-CN"/>
        </w:rPr>
        <w:t>临街</w:t>
      </w:r>
      <w:r>
        <w:rPr>
          <w:rFonts w:hint="eastAsia" w:ascii="仿宋_GB2312" w:hAnsi="仿宋_GB2312" w:eastAsia="仿宋_GB2312" w:cs="仿宋_GB2312"/>
          <w:color w:val="auto"/>
          <w:sz w:val="32"/>
          <w:szCs w:val="32"/>
          <w:u w:val="none" w:color="auto"/>
        </w:rPr>
        <w:t>建筑物</w:t>
      </w:r>
      <w:r>
        <w:rPr>
          <w:rFonts w:hint="eastAsia" w:ascii="仿宋_GB2312" w:hAnsi="仿宋_GB2312" w:eastAsia="仿宋_GB2312" w:cs="仿宋_GB2312"/>
          <w:color w:val="auto"/>
          <w:sz w:val="32"/>
          <w:szCs w:val="32"/>
          <w:u w:val="none" w:color="auto"/>
          <w:lang w:eastAsia="zh-CN"/>
        </w:rPr>
        <w:t>外部</w:t>
      </w:r>
      <w:r>
        <w:rPr>
          <w:rFonts w:hint="eastAsia" w:ascii="仿宋_GB2312" w:hAnsi="仿宋_GB2312" w:eastAsia="仿宋_GB2312" w:cs="仿宋_GB2312"/>
          <w:color w:val="auto"/>
          <w:sz w:val="32"/>
          <w:szCs w:val="32"/>
          <w:u w:val="none" w:color="auto"/>
        </w:rPr>
        <w:t>装修及城市家具行为的行政处罚权；行使市管区域内道路、广场、游园、绿化带等市容市貌和环境卫生管理方面的行政处罚权。</w:t>
      </w:r>
      <w:r>
        <w:rPr>
          <w:rFonts w:hint="eastAsia" w:ascii="仿宋_GB2312" w:hAnsi="仿宋_GB2312" w:eastAsia="仿宋_GB2312" w:cs="仿宋_GB2312"/>
          <w:color w:val="auto"/>
          <w:sz w:val="32"/>
          <w:szCs w:val="32"/>
          <w:u w:val="none" w:color="auto"/>
          <w:lang w:eastAsia="zh-CN"/>
        </w:rPr>
        <w:t>三是具体负责</w:t>
      </w:r>
      <w:r>
        <w:rPr>
          <w:rFonts w:hint="eastAsia" w:ascii="仿宋_GB2312" w:hAnsi="仿宋_GB2312" w:eastAsia="仿宋_GB2312" w:cs="仿宋_GB2312"/>
          <w:color w:val="auto"/>
          <w:sz w:val="32"/>
          <w:szCs w:val="32"/>
          <w:u w:val="none" w:color="auto"/>
        </w:rPr>
        <w:t>行使市管区域内对企业和个人未经审批或未按批准要求占用、挖掘、破坏市政道路、桥梁及其他市政公用设施等违法违规行为的行政处罚权；行使公用事业管理方面除瓶装燃气和汽车加气站管理的行政处罚权；行使</w:t>
      </w:r>
      <w:r>
        <w:rPr>
          <w:rFonts w:hint="eastAsia" w:ascii="仿宋_GB2312" w:hAnsi="仿宋_GB2312" w:eastAsia="仿宋_GB2312" w:cs="仿宋_GB2312"/>
          <w:color w:val="auto"/>
          <w:sz w:val="32"/>
          <w:szCs w:val="32"/>
          <w:u w:val="none" w:color="auto"/>
          <w:lang w:eastAsia="zh-CN"/>
        </w:rPr>
        <w:t>市区</w:t>
      </w:r>
      <w:r>
        <w:rPr>
          <w:rFonts w:hint="eastAsia" w:ascii="仿宋_GB2312" w:hAnsi="仿宋_GB2312" w:eastAsia="仿宋_GB2312" w:cs="仿宋_GB2312"/>
          <w:color w:val="auto"/>
          <w:sz w:val="32"/>
          <w:szCs w:val="32"/>
          <w:u w:val="none" w:color="auto"/>
        </w:rPr>
        <w:t>的夜景亮化项目管理方面的行政处罚权。</w:t>
      </w:r>
      <w:r>
        <w:rPr>
          <w:rFonts w:hint="eastAsia" w:ascii="仿宋_GB2312" w:hAnsi="仿宋_GB2312" w:eastAsia="仿宋_GB2312" w:cs="仿宋_GB2312"/>
          <w:color w:val="auto"/>
          <w:sz w:val="32"/>
          <w:szCs w:val="32"/>
          <w:u w:val="none" w:color="auto"/>
          <w:lang w:eastAsia="zh-CN"/>
        </w:rPr>
        <w:t>四是具体负责</w:t>
      </w:r>
      <w:r>
        <w:rPr>
          <w:rFonts w:hint="eastAsia" w:ascii="仿宋_GB2312" w:hAnsi="仿宋_GB2312" w:eastAsia="仿宋_GB2312" w:cs="仿宋_GB2312"/>
          <w:color w:val="auto"/>
          <w:sz w:val="32"/>
          <w:szCs w:val="32"/>
          <w:u w:val="none" w:color="auto"/>
        </w:rPr>
        <w:t>行使市管区域内未经审批占用、破坏园林、砍伐树木及不按批准要求对园林树木实施砍伐、移植等违法违规行为的行政处罚权；行使市管区域内破坏广场游园、公共绿地等违法违规行为的行政处罚权。</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lang w:eastAsia="zh-CN"/>
        </w:rPr>
        <w:t>负责行使市城市规划区范围内城乡规划管理方面违反城乡规划、已经市委城乡规划建设委员会审议通过但未取得规划许可、或未按照城乡规划许可内容建设违法案件的行政处罚权及相应的行政强制权。</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lang w:eastAsia="zh-CN"/>
        </w:rPr>
        <w:t>负责</w:t>
      </w:r>
      <w:r>
        <w:rPr>
          <w:rFonts w:hint="eastAsia" w:ascii="仿宋_GB2312" w:hAnsi="仿宋_GB2312" w:eastAsia="仿宋_GB2312" w:cs="仿宋_GB2312"/>
          <w:color w:val="auto"/>
          <w:sz w:val="32"/>
          <w:szCs w:val="32"/>
          <w:u w:val="none" w:color="auto"/>
        </w:rPr>
        <w:t>行使市管区域内社会噪声污染、餐饮服务业油烟污染、露天烧烤污染、城市焚烧沥青塑料垃圾等烟尘和恶臭污染、露天焚烧秸秆落叶等烟尘污染的行政处罚权。</w:t>
      </w:r>
      <w:r>
        <w:rPr>
          <w:rFonts w:hint="eastAsia" w:ascii="仿宋_GB2312" w:hAnsi="仿宋_GB2312" w:eastAsia="仿宋_GB2312" w:cs="仿宋_GB2312"/>
          <w:color w:val="auto"/>
          <w:sz w:val="32"/>
          <w:szCs w:val="32"/>
          <w:u w:val="none" w:color="auto"/>
          <w:lang w:val="en-US" w:eastAsia="zh-CN"/>
        </w:rPr>
        <w:t>7、</w:t>
      </w:r>
      <w:r>
        <w:rPr>
          <w:rFonts w:hint="eastAsia" w:ascii="仿宋_GB2312" w:hAnsi="仿宋_GB2312" w:eastAsia="仿宋_GB2312" w:cs="仿宋_GB2312"/>
          <w:color w:val="auto"/>
          <w:sz w:val="32"/>
          <w:szCs w:val="32"/>
          <w:u w:val="none" w:color="auto"/>
          <w:lang w:eastAsia="zh-CN"/>
        </w:rPr>
        <w:t>负责</w:t>
      </w:r>
      <w:r>
        <w:rPr>
          <w:rFonts w:hint="eastAsia" w:ascii="仿宋_GB2312" w:hAnsi="仿宋_GB2312" w:eastAsia="仿宋_GB2312" w:cs="仿宋_GB2312"/>
          <w:color w:val="auto"/>
          <w:sz w:val="32"/>
          <w:szCs w:val="32"/>
          <w:u w:val="none" w:color="auto"/>
        </w:rPr>
        <w:t>行使市管区域内户外公共场所无照经营</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食品销售和餐饮摊点无证经营的行政处罚权。</w:t>
      </w:r>
      <w:r>
        <w:rPr>
          <w:rFonts w:hint="eastAsia" w:ascii="仿宋_GB2312" w:hAnsi="仿宋_GB2312" w:eastAsia="仿宋_GB2312" w:cs="仿宋_GB2312"/>
          <w:color w:val="auto"/>
          <w:sz w:val="32"/>
          <w:szCs w:val="32"/>
          <w:u w:val="none" w:color="auto"/>
          <w:lang w:val="en-US" w:eastAsia="zh-CN"/>
        </w:rPr>
        <w:t>8、</w:t>
      </w:r>
      <w:r>
        <w:rPr>
          <w:rFonts w:hint="eastAsia" w:ascii="仿宋_GB2312" w:hAnsi="仿宋_GB2312" w:eastAsia="仿宋_GB2312" w:cs="仿宋_GB2312"/>
          <w:color w:val="auto"/>
          <w:sz w:val="32"/>
          <w:szCs w:val="32"/>
          <w:u w:val="none" w:color="auto"/>
        </w:rPr>
        <w:t>负责行使市管区域内法律</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法规</w:t>
      </w:r>
      <w:r>
        <w:rPr>
          <w:rFonts w:hint="eastAsia" w:ascii="仿宋_GB2312" w:hAnsi="仿宋_GB2312" w:eastAsia="仿宋_GB2312" w:cs="仿宋_GB2312"/>
          <w:color w:val="auto"/>
          <w:sz w:val="32"/>
          <w:szCs w:val="32"/>
          <w:u w:val="none" w:color="auto"/>
          <w:lang w:eastAsia="zh-CN"/>
        </w:rPr>
        <w:t>和地方性</w:t>
      </w:r>
      <w:r>
        <w:rPr>
          <w:rFonts w:hint="eastAsia" w:ascii="仿宋_GB2312" w:hAnsi="仿宋_GB2312" w:eastAsia="仿宋_GB2312" w:cs="仿宋_GB2312"/>
          <w:color w:val="auto"/>
          <w:sz w:val="32"/>
          <w:szCs w:val="32"/>
          <w:u w:val="none" w:color="auto"/>
        </w:rPr>
        <w:t>规章赋予的涉及城市管理执法领域的其他职责和市政府交办的其他执法事项。</w:t>
      </w:r>
      <w:r>
        <w:rPr>
          <w:rFonts w:hint="eastAsia" w:ascii="仿宋_GB2312" w:hAnsi="仿宋_GB2312" w:eastAsia="仿宋_GB2312" w:cs="仿宋_GB2312"/>
          <w:color w:val="auto"/>
          <w:sz w:val="32"/>
          <w:szCs w:val="32"/>
          <w:u w:val="none" w:color="auto"/>
          <w:lang w:val="en-US" w:eastAsia="zh-CN"/>
        </w:rPr>
        <w:t>9、</w:t>
      </w:r>
      <w:r>
        <w:rPr>
          <w:rFonts w:hint="eastAsia" w:ascii="仿宋_GB2312" w:hAnsi="仿宋_GB2312" w:eastAsia="仿宋_GB2312" w:cs="仿宋_GB2312"/>
          <w:sz w:val="32"/>
          <w:szCs w:val="32"/>
        </w:rPr>
        <w:t>负责组织拟定全市市容市貌管理相关标准规范并监督实施；负责全市市容市貌的统筹管理，组织协调城市管理重大活动;牵头做好城市街景综合整治工作</w:t>
      </w:r>
      <w:r>
        <w:rPr>
          <w:rFonts w:hint="eastAsia" w:ascii="仿宋_GB2312" w:hAnsi="仿宋_GB2312" w:eastAsia="仿宋_GB2312" w:cs="仿宋_GB2312"/>
          <w:sz w:val="32"/>
          <w:szCs w:val="32"/>
          <w:lang w:eastAsia="zh-CN"/>
        </w:rPr>
        <w:t>；负责市管区域内在城市道路两侧和公共场地临时堆放物料，搭建临时建筑物、构筑物或者其他设施许可；负责市管区域内市容市貌管理工作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负责市建成区城市公共空间规划的监管；负责全市户外广告专项规划的组织编制、拟定设置技术规范；负责全市设置大型户外广告及市管区域在城市建筑物、设施上悬挂、张贴宣传品的审批管理；负责市管区域内临街建筑物外部装修审批管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负责全市环境卫生管理工作的行业监管、督促指导、综合协调、督导考核等；</w:t>
      </w:r>
      <w:r>
        <w:rPr>
          <w:rFonts w:hint="eastAsia" w:ascii="仿宋_GB2312" w:hAnsi="仿宋_GB2312" w:eastAsia="仿宋_GB2312" w:cs="仿宋_GB2312"/>
          <w:sz w:val="32"/>
          <w:szCs w:val="32"/>
          <w:lang w:eastAsia="zh-CN"/>
        </w:rPr>
        <w:t>负责市管区域内环境卫生管理工作；</w:t>
      </w:r>
      <w:r>
        <w:rPr>
          <w:rFonts w:hint="eastAsia" w:ascii="仿宋_GB2312" w:hAnsi="仿宋_GB2312" w:eastAsia="仿宋_GB2312" w:cs="仿宋_GB2312"/>
          <w:color w:val="auto"/>
          <w:sz w:val="32"/>
          <w:szCs w:val="32"/>
        </w:rPr>
        <w:t>负责市建成区生活垃圾的处置、资源化利用和处理费征收；</w:t>
      </w:r>
      <w:r>
        <w:rPr>
          <w:rFonts w:hint="eastAsia" w:ascii="仿宋_GB2312" w:hAnsi="仿宋_GB2312" w:eastAsia="仿宋_GB2312" w:cs="仿宋_GB2312"/>
          <w:sz w:val="32"/>
          <w:szCs w:val="32"/>
          <w:lang w:eastAsia="zh-CN"/>
        </w:rPr>
        <w:t>负责市管区域内环卫设施拆除及异地重建批准；负责市管区域内从事城市生活垃圾经营性清扫、收集、运输、处理服务许可；</w:t>
      </w:r>
      <w:r>
        <w:rPr>
          <w:rFonts w:hint="eastAsia" w:ascii="仿宋_GB2312" w:hAnsi="仿宋_GB2312" w:eastAsia="仿宋_GB2312" w:cs="仿宋_GB2312"/>
          <w:color w:val="auto"/>
          <w:sz w:val="32"/>
          <w:szCs w:val="32"/>
        </w:rPr>
        <w:t>负责市管区域内大型环卫基础设施的管理。</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负责全市建筑垃圾管理和资源化利用工作的行业管理、督促指导、综合协调；</w:t>
      </w:r>
      <w:r>
        <w:rPr>
          <w:rFonts w:hint="eastAsia" w:ascii="仿宋_GB2312" w:hAnsi="仿宋_GB2312" w:eastAsia="仿宋_GB2312" w:cs="仿宋_GB2312"/>
          <w:color w:val="auto"/>
          <w:sz w:val="32"/>
          <w:szCs w:val="32"/>
        </w:rPr>
        <w:t>负责市区范围内建筑垃圾的监督管理工作；负责对魏都区、东城区、经济技术开发区</w:t>
      </w:r>
      <w:r>
        <w:rPr>
          <w:rFonts w:hint="eastAsia" w:ascii="仿宋_GB2312" w:hAnsi="仿宋_GB2312" w:eastAsia="仿宋_GB2312" w:cs="仿宋_GB2312"/>
          <w:color w:val="auto"/>
          <w:sz w:val="32"/>
          <w:szCs w:val="32"/>
          <w:lang w:eastAsia="zh-CN"/>
        </w:rPr>
        <w:t>拆迁</w:t>
      </w:r>
      <w:r>
        <w:rPr>
          <w:rFonts w:hint="eastAsia" w:ascii="仿宋_GB2312" w:hAnsi="仿宋_GB2312" w:eastAsia="仿宋_GB2312" w:cs="仿宋_GB2312"/>
          <w:color w:val="auto"/>
          <w:sz w:val="32"/>
          <w:szCs w:val="32"/>
        </w:rPr>
        <w:t>类建筑垃圾处置核准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处置费征收工作；负责对市区建筑垃圾私拉乱运、污染道路等违章行为的查处工作；负责对市区建筑垃圾无害化处理和资源化利用、特许经营企业的监督指导工作。</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负责市建成区公共自行车系统建设和运营管理，督促指导各县（市）公共自行车系统建设和运营管理。</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负责全市城市景观照明的行业管理、督促指导、综合协调等；负责市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的景观照明项目的组织实施、管理维护。</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全市园林绿化工作</w:t>
      </w:r>
      <w:r>
        <w:rPr>
          <w:rFonts w:hint="eastAsia" w:ascii="仿宋_GB2312" w:hAnsi="仿宋_GB2312" w:eastAsia="仿宋_GB2312" w:cs="仿宋_GB2312"/>
          <w:sz w:val="32"/>
          <w:szCs w:val="32"/>
          <w:lang w:eastAsia="zh-CN"/>
        </w:rPr>
        <w:t>的行业指导、综合协调工作，拟定相关规范标准并监督实施；负责城市规划区内工程建设涉及城市绿地、树木审批工作；负责市管区域内园林绿化项目的组织实施。</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rPr>
        <w:t>负责全市数字化城管系统的运行管理、督促指导、综合协调、督导考核等；督促指导县（市、区）数字化城管系统平台的建设管理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负责全市城市管理突发事件的指挥调度等工作。17、</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市委、市</w:t>
      </w:r>
      <w:r>
        <w:rPr>
          <w:rFonts w:hint="eastAsia" w:ascii="仿宋_GB2312" w:hAnsi="仿宋_GB2312" w:eastAsia="仿宋_GB2312" w:cs="仿宋_GB2312"/>
          <w:color w:val="auto"/>
          <w:sz w:val="32"/>
          <w:szCs w:val="32"/>
        </w:rPr>
        <w:t>政府交办的其他</w:t>
      </w:r>
      <w:r>
        <w:rPr>
          <w:rFonts w:hint="eastAsia" w:ascii="仿宋_GB2312" w:hAnsi="仿宋_GB2312" w:eastAsia="仿宋_GB2312" w:cs="仿宋_GB2312"/>
          <w:color w:val="auto"/>
          <w:sz w:val="32"/>
          <w:szCs w:val="32"/>
          <w:lang w:eastAsia="zh-CN"/>
        </w:rPr>
        <w:t>任务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sz w:val="32"/>
          <w:szCs w:val="32"/>
          <w:lang w:val="en-US" w:eastAsia="zh-CN"/>
        </w:rPr>
        <w:t>与市住房与城乡建设局、市自然资源和规划局的有关责任分工。城市规划、建设以及其他行政管理部门负责专业技术强的违法违规行为认定、城市规划核实、专业技术鉴定、资质资格和专业技术核准、质量安全监督检查、工作中发现违法事项移交、行政处罚中涉及行政许可事项落实等管理职责；城市管理综合执法部门执行具体行政处罚权及相应的行政强制权，负责城市巡查、督查和问题发现以及查处落实工作；建立健全信息互通、资源共享、协调联动机制，有关行政管理部门应将与城市管理行政执法有关的行政许可和管理信息及时通报城市管理综合执法部门，城市管理综合执法部门应将实施行政处罚的情况和发现的问题通报有关行政管理部门，并提出管理建议。</w:t>
      </w:r>
    </w:p>
    <w:p>
      <w:pPr>
        <w:adjustRightInd w:val="0"/>
        <w:snapToGrid w:val="0"/>
        <w:spacing w:line="620" w:lineRule="exact"/>
        <w:ind w:firstLine="642" w:firstLineChars="200"/>
        <w:rPr>
          <w:rFonts w:hint="eastAsia" w:ascii="仿宋_GB2312" w:hAnsi="仿宋_GB2312" w:eastAsia="仿宋_GB2312"/>
          <w:sz w:val="32"/>
          <w:szCs w:val="32"/>
        </w:rPr>
      </w:pPr>
      <w:r>
        <w:rPr>
          <w:rFonts w:hint="eastAsia" w:ascii="仿宋" w:hAnsi="仿宋" w:eastAsia="仿宋" w:cs="仿宋"/>
          <w:b/>
          <w:bCs/>
          <w:sz w:val="32"/>
          <w:szCs w:val="32"/>
          <w:lang w:val="en-US" w:eastAsia="zh-CN"/>
        </w:rPr>
        <w:t>（二）</w:t>
      </w:r>
      <w:r>
        <w:rPr>
          <w:rFonts w:hint="eastAsia" w:ascii="仿宋_GB2312" w:hAnsi="宋体" w:eastAsia="仿宋_GB2312"/>
          <w:b/>
          <w:bCs/>
          <w:sz w:val="32"/>
          <w:szCs w:val="32"/>
        </w:rPr>
        <w:t>许昌市城市管理</w:t>
      </w:r>
      <w:r>
        <w:rPr>
          <w:rFonts w:hint="eastAsia" w:ascii="仿宋_GB2312" w:hAnsi="宋体" w:eastAsia="仿宋_GB2312"/>
          <w:b/>
          <w:bCs/>
          <w:sz w:val="32"/>
          <w:szCs w:val="32"/>
          <w:lang w:eastAsia="zh-CN"/>
        </w:rPr>
        <w:t>执法</w:t>
      </w:r>
      <w:r>
        <w:rPr>
          <w:rFonts w:hint="eastAsia" w:ascii="仿宋_GB2312" w:hAnsi="宋体" w:eastAsia="仿宋_GB2312"/>
          <w:b/>
          <w:bCs/>
          <w:sz w:val="32"/>
          <w:szCs w:val="32"/>
        </w:rPr>
        <w:t>支队</w:t>
      </w:r>
      <w:r>
        <w:rPr>
          <w:rFonts w:hint="eastAsia" w:ascii="仿宋_GB2312" w:hAnsi="宋体" w:eastAsia="仿宋_GB2312"/>
          <w:b/>
          <w:bCs/>
          <w:sz w:val="32"/>
          <w:szCs w:val="32"/>
          <w:lang w:eastAsia="zh-CN"/>
        </w:rPr>
        <w:t>：</w:t>
      </w:r>
      <w:r>
        <w:rPr>
          <w:rFonts w:hint="eastAsia" w:ascii="仿宋_GB2312" w:hAnsi="宋体" w:eastAsia="仿宋_GB2312"/>
          <w:sz w:val="32"/>
          <w:szCs w:val="32"/>
          <w:lang w:val="en-US" w:eastAsia="zh-CN"/>
        </w:rPr>
        <w:t>1、</w:t>
      </w:r>
      <w:r>
        <w:rPr>
          <w:rFonts w:hint="eastAsia" w:ascii="仿宋_GB2312" w:hAnsi="仿宋_GB2312" w:eastAsia="仿宋_GB2312" w:cs="仿宋_GB2312"/>
          <w:sz w:val="32"/>
          <w:szCs w:val="32"/>
        </w:rPr>
        <w:t>负责全市城市管理综合执法的统筹协调、组织调度和监督考核，负责市级承担的城市管理综合执法事项、跨区域及重大复杂违法违规案件的查纠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住房城乡建设领域法律法规规章规定的全部行政处罚权（含市容市貌管理方面的行政处罚权）；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环境保护管理方面社会噪声污染、建筑施工噪声污染、建筑施工扬尘污染、餐饮服务业油烟污染、露天烧烤污染、城市焚烧沥青塑料垃圾等烟尘和恶臭污染、露天焚烧秸秆落叶等烟尘污染的行政处罚权；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工商管理方面户外公共场所无照经营、违规设置户外广告的行政处罚权；</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食品药品监管方面户外公共场所食品销售和餐饮摊点无证经营的行政处罚权。</w:t>
      </w:r>
    </w:p>
    <w:p>
      <w:pPr>
        <w:wordWrap/>
        <w:adjustRightInd w:val="0"/>
        <w:snapToGrid w:val="0"/>
        <w:spacing w:before="0" w:after="0" w:line="620" w:lineRule="exact"/>
        <w:ind w:left="0" w:leftChars="0" w:right="0" w:firstLine="642" w:firstLineChars="200"/>
        <w:jc w:val="both"/>
        <w:textAlignment w:val="auto"/>
        <w:rPr>
          <w:rFonts w:hint="eastAsia" w:ascii="仿宋_GB2312" w:hAnsi="Arial" w:eastAsia="仿宋_GB2312" w:cs="仿宋_GB2312"/>
          <w:color w:val="000000"/>
          <w:kern w:val="0"/>
          <w:sz w:val="32"/>
          <w:szCs w:val="32"/>
          <w:lang w:val="en-US" w:eastAsia="zh-CN"/>
        </w:rPr>
      </w:pPr>
      <w:r>
        <w:rPr>
          <w:rFonts w:hint="eastAsia" w:ascii="仿宋_GB2312" w:hAnsi="仿宋_GB2312" w:eastAsia="仿宋_GB2312"/>
          <w:b/>
          <w:bCs/>
          <w:sz w:val="32"/>
          <w:szCs w:val="32"/>
          <w:lang w:eastAsia="zh-CN"/>
        </w:rPr>
        <w:t>（三）许昌市环境卫生管理处：</w:t>
      </w:r>
      <w:r>
        <w:rPr>
          <w:rFonts w:hint="eastAsia" w:ascii="仿宋_GB2312" w:hAnsi="仿宋_GB2312" w:eastAsia="仿宋_GB2312"/>
          <w:b/>
          <w:bCs/>
          <w:sz w:val="32"/>
          <w:szCs w:val="32"/>
          <w:lang w:val="en-US" w:eastAsia="zh-CN"/>
        </w:rPr>
        <w:t>1、</w:t>
      </w:r>
      <w:r>
        <w:rPr>
          <w:rFonts w:hint="eastAsia" w:ascii="仿宋_GB2312" w:hAnsi="Arial" w:eastAsia="仿宋_GB2312" w:cs="仿宋_GB2312"/>
          <w:color w:val="000000"/>
          <w:kern w:val="0"/>
          <w:sz w:val="32"/>
          <w:szCs w:val="32"/>
          <w:lang w:val="en-US" w:eastAsia="zh-CN"/>
        </w:rPr>
        <w:t>为维护城市环境卫生提供管理保障；2、城市环境卫生设施建设、运营、维护、监督与作业管理。</w:t>
      </w:r>
    </w:p>
    <w:p>
      <w:pPr>
        <w:widowControl/>
        <w:wordWrap/>
        <w:spacing w:before="0" w:after="0"/>
        <w:ind w:left="0" w:leftChars="0" w:right="0" w:firstLine="642" w:firstLineChars="200"/>
        <w:jc w:val="both"/>
        <w:textAlignment w:val="auto"/>
        <w:outlineLvl w:val="1"/>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（四）</w:t>
      </w:r>
      <w:r>
        <w:rPr>
          <w:rFonts w:hint="eastAsia" w:ascii="仿宋_GB2312" w:hAnsi="宋体" w:eastAsia="仿宋_GB2312" w:cs="宋体"/>
          <w:b/>
          <w:bCs/>
          <w:kern w:val="0"/>
          <w:sz w:val="32"/>
          <w:szCs w:val="32"/>
        </w:rPr>
        <w:t>许昌市数字化城市管理中心</w:t>
      </w:r>
      <w:r>
        <w:rPr>
          <w:rFonts w:hint="eastAsia" w:ascii="仿宋_GB2312" w:hAnsi="宋体" w:eastAsia="仿宋_GB2312" w:cs="宋体"/>
          <w:b/>
          <w:bCs/>
          <w:kern w:val="0"/>
          <w:sz w:val="32"/>
          <w:szCs w:val="32"/>
          <w:lang w:eastAsia="zh-CN"/>
        </w:rPr>
        <w:t>：</w:t>
      </w:r>
      <w:r>
        <w:rPr>
          <w:rFonts w:hint="eastAsia" w:ascii="仿宋_GB2312" w:hAnsi="宋体" w:eastAsia="仿宋_GB2312" w:cs="宋体"/>
          <w:kern w:val="0"/>
          <w:sz w:val="32"/>
          <w:szCs w:val="32"/>
        </w:rPr>
        <w:t>1、负责组织建立许昌市数字化城市管理系统，拟定数字化城市管理指挥与绩效评价办法，并组织实施；2、负责市区城市管理中出现各种问题的现场信息和处置结果信息的采集、分类、处理和报送，巡查列入管理范围的城市部件、事件问题；3、负责城市管理各类信息的整理、分析，对城市管理状况以及相关县（区）、市直有关部门（单位）履行城市管理职责的情况进行收集、评价和反馈；负责对城市部件、事件问题进行审核备案，并派遣到各专业处理部门或责任单位；负责对城市部件、事件问题处置情况进行跟踪、指导、督促；4、负责数字化城市管理信息系统的日常维护与管理，建立城市管理工作电子档案，实施信息管理；负责信息采集工作的绩效考核。</w:t>
      </w:r>
    </w:p>
    <w:p>
      <w:pPr>
        <w:adjustRightInd w:val="0"/>
        <w:snapToGrid w:val="0"/>
        <w:spacing w:line="600" w:lineRule="exact"/>
        <w:ind w:firstLine="642" w:firstLineChars="200"/>
        <w:rPr>
          <w:rFonts w:hint="eastAsia" w:ascii="仿宋_GB2312" w:hAnsi="仿宋_GB2312" w:eastAsia="仿宋_GB2312" w:cs="仿宋_GB2312"/>
          <w:sz w:val="32"/>
          <w:szCs w:val="32"/>
        </w:rPr>
      </w:pPr>
      <w:r>
        <w:rPr>
          <w:rFonts w:hint="eastAsia" w:ascii="仿宋_GB2312" w:eastAsia="仿宋_GB2312"/>
          <w:b/>
          <w:bCs/>
          <w:sz w:val="32"/>
          <w:szCs w:val="32"/>
          <w:lang w:eastAsia="zh-CN"/>
        </w:rPr>
        <w:t>（五）许昌市建筑垃圾管理中心：</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为市区内建筑垃圾监督管理提供服务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建筑垃圾监督管理服务；</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建筑垃圾处置费征收辅助服务</w:t>
      </w:r>
      <w:r>
        <w:rPr>
          <w:rFonts w:hint="eastAsia" w:ascii="仿宋_GB2312" w:hAnsi="仿宋_GB2312" w:eastAsia="仿宋_GB2312" w:cs="仿宋_GB2312"/>
          <w:kern w:val="0"/>
          <w:sz w:val="32"/>
          <w:szCs w:val="32"/>
          <w:highlight w:val="none"/>
          <w:lang w:eastAsia="zh-CN"/>
        </w:rPr>
        <w:t>。</w:t>
      </w:r>
    </w:p>
    <w:p>
      <w:pPr>
        <w:spacing w:line="600" w:lineRule="exact"/>
        <w:ind w:firstLine="642" w:firstLineChars="200"/>
        <w:rPr>
          <w:rFonts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eastAsia="zh-CN"/>
        </w:rPr>
        <w:t>（六）</w:t>
      </w:r>
      <w:r>
        <w:rPr>
          <w:rFonts w:hint="eastAsia" w:ascii="仿宋_GB2312" w:hAnsi="仿宋_GB2312" w:eastAsia="仿宋_GB2312" w:cs="仿宋_GB2312"/>
          <w:b/>
          <w:bCs w:val="0"/>
          <w:sz w:val="32"/>
          <w:szCs w:val="32"/>
        </w:rPr>
        <w:t>许昌市生活垃圾处理费征收管理中心</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kern w:val="0"/>
          <w:sz w:val="32"/>
          <w:szCs w:val="32"/>
        </w:rPr>
        <w:t>负责市区生活垃圾处理费征收工作；</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负责市区生活垃圾私拉乱运的监督管理工作；</w:t>
      </w: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负责城市生活垃圾管理政策、法律、法规的宣传工作；</w:t>
      </w:r>
      <w:r>
        <w:rPr>
          <w:rFonts w:hint="eastAsia" w:ascii="仿宋_GB2312" w:hAnsi="仿宋_GB2312" w:eastAsia="仿宋_GB2312" w:cs="仿宋_GB2312"/>
          <w:b w:val="0"/>
          <w:bCs/>
          <w:kern w:val="0"/>
          <w:sz w:val="32"/>
          <w:szCs w:val="32"/>
          <w:lang w:val="en-US" w:eastAsia="zh-CN"/>
        </w:rPr>
        <w:t>4、</w:t>
      </w:r>
      <w:r>
        <w:rPr>
          <w:rFonts w:hint="eastAsia" w:ascii="仿宋_GB2312" w:hAnsi="仿宋_GB2312" w:eastAsia="仿宋_GB2312" w:cs="仿宋_GB2312"/>
          <w:b w:val="0"/>
          <w:bCs/>
          <w:kern w:val="0"/>
          <w:sz w:val="32"/>
          <w:szCs w:val="32"/>
        </w:rPr>
        <w:t>负责市区“门前三包”监督管理工作。</w:t>
      </w:r>
    </w:p>
    <w:p>
      <w:pPr>
        <w:widowControl/>
        <w:spacing w:line="590" w:lineRule="exact"/>
        <w:ind w:firstLine="642"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（七）许昌市园林绿化中心：</w:t>
      </w:r>
      <w:bookmarkStart w:id="0" w:name="_GoBack"/>
      <w:bookmarkEnd w:id="0"/>
      <w:r>
        <w:rPr>
          <w:rFonts w:hint="eastAsia" w:ascii="仿宋_GB2312" w:hAnsi="仿宋_GB2312" w:eastAsia="仿宋_GB2312" w:cs="仿宋_GB2312"/>
          <w:sz w:val="32"/>
          <w:szCs w:val="32"/>
        </w:rPr>
        <w:t>1、协助主管部门做好园林绿化规划建设及监管工作。负责制定园林绿化工作考核标准，对全市园林绿化行业进行监督管理、综合协调、督导考核；参与城市绿化工程建设项目的论证和技术把关；负责中心城区内树木的移植、砍伐及临时占用城市绿化用地等事项的初步审核。2、负责对全市范围内的道路、广场、游园的园林绿化养护管理进行监督。3、负责指导市园林绿化协会工作；组织开展园林绿化科技项目攻关和科技成果推广应用；组织开展城市道路、公园、广场、园林式居住区（单位）等绿化达标活动。4、开展市管区域范围内生物多样性保护、古树名木保护。5、配合开展（生态）园林城市等创建活动。6、负责行业人才培养规划，组织和指导园林绿化行业从业人员的专业技术培训工作。7、完成上级交办的其他工作任务。</w:t>
      </w:r>
    </w:p>
    <w:p>
      <w:pPr>
        <w:widowControl/>
        <w:wordWrap/>
        <w:spacing w:before="0" w:after="0"/>
        <w:ind w:left="0" w:leftChars="0" w:right="0" w:firstLine="640" w:firstLineChars="200"/>
        <w:jc w:val="both"/>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wordWrap/>
        <w:spacing w:before="0" w:after="0"/>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许昌市城市管理局内设机构</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个，包括办公室、人事科、计划财务科、政策法规科、市容环境卫生管理科（政务服务科）、园林绿化管理科、督查考核科、机关党委</w:t>
      </w:r>
      <w:r>
        <w:rPr>
          <w:rFonts w:hint="eastAsia" w:ascii="仿宋_GB2312" w:hAnsi="仿宋_GB2312" w:eastAsia="仿宋_GB2312" w:cs="仿宋_GB2312"/>
          <w:sz w:val="32"/>
          <w:szCs w:val="32"/>
          <w:lang w:val="en-US" w:eastAsia="zh-CN"/>
        </w:rPr>
        <w:t>。</w:t>
      </w:r>
    </w:p>
    <w:p>
      <w:pPr>
        <w:widowControl/>
        <w:wordWrap/>
        <w:spacing w:before="0" w:after="0"/>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从决算单位构成看，许昌市城市管理局部门决算包括：本级决算（1个）、所属单位决算（6个）。</w:t>
      </w:r>
    </w:p>
    <w:p>
      <w:pPr>
        <w:widowControl/>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本决算为汇总决算，纳入本部门2021年度部门决算编制范围的单位共7个，其中二级预算单位6个，具体是：</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1.许昌市城市管理局(本级)</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2.许昌市城市管理执法支队</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3.许昌市环境卫生管理处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4.许昌市数字化城市管理中心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5.许昌市建筑垃圾管理中心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6.昌市生活垃圾处理费征收管理中心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7.许昌市园林绿化中心</w:t>
      </w:r>
    </w:p>
    <w:p>
      <w:pPr>
        <w:pStyle w:val="6"/>
        <w:widowControl w:val="0"/>
        <w:numPr>
          <w:ilvl w:val="0"/>
          <w:numId w:val="0"/>
        </w:numPr>
        <w:wordWrap/>
        <w:adjustRightInd/>
        <w:snapToGrid/>
        <w:spacing w:before="0" w:after="0" w:line="600" w:lineRule="exact"/>
        <w:ind w:leftChars="200" w:right="0" w:rightChars="0"/>
        <w:jc w:val="both"/>
        <w:textAlignment w:val="auto"/>
        <w:outlineLvl w:val="9"/>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17407.95</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w:t>
            </w:r>
            <w:r>
              <w:rPr>
                <w:rFonts w:ascii="宋体" w:hAnsi="宋体" w:cs="宋体"/>
                <w:color w:val="000000"/>
                <w:kern w:val="0"/>
                <w:sz w:val="20"/>
                <w:szCs w:val="20"/>
                <w:highlight w:val="none"/>
              </w:rPr>
              <w:t>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三、国有资本</w:t>
            </w:r>
            <w:r>
              <w:rPr>
                <w:rFonts w:ascii="宋体" w:hAnsi="宋体" w:cs="宋体"/>
                <w:color w:val="000000"/>
                <w:kern w:val="0"/>
                <w:sz w:val="20"/>
                <w:szCs w:val="20"/>
                <w:highlight w:val="none"/>
              </w:rPr>
              <w:t>经营预算财政拨款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0.55</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23534.19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17408.50</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26387.55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使用非</w:t>
            </w:r>
            <w:r>
              <w:rPr>
                <w:rFonts w:ascii="宋体" w:hAnsi="宋体" w:cs="宋体"/>
                <w:color w:val="000000"/>
                <w:kern w:val="0"/>
                <w:sz w:val="20"/>
                <w:szCs w:val="20"/>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42.62</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w:t>
            </w: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8979.69</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25</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26430.81</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26</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26430.81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tcMar>
              <w:top w:w="15" w:type="dxa"/>
              <w:left w:w="15" w:type="dxa"/>
              <w:right w:w="15" w:type="dxa"/>
            </w:tcMar>
            <w:vAlign w:val="top"/>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17408.50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17407.95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人大事务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华文中宋" w:hAnsi="华文中宋" w:eastAsia="华文中宋" w:cs="华文中宋"/>
                <w:color w:val="000000"/>
                <w:sz w:val="20"/>
                <w:szCs w:val="20"/>
                <w:highlight w:val="none"/>
                <w:lang w:val="en-US" w:eastAsia="zh-CN"/>
              </w:rPr>
            </w:pPr>
            <w:r>
              <w:rPr>
                <w:rFonts w:hint="eastAsia" w:ascii="华文中宋" w:hAnsi="华文中宋" w:eastAsia="华文中宋" w:cs="华文中宋"/>
                <w:color w:val="000000"/>
                <w:sz w:val="20"/>
                <w:szCs w:val="20"/>
                <w:highlight w:val="none"/>
                <w:lang w:val="en-US" w:eastAsia="zh-CN"/>
              </w:rPr>
              <w:t>33.67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2010101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行政运行</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工会事务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社会保障和就业支出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1561.36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1561.36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行政事业单位养老支出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1495.07</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1495.07</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行政单位离退休</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199.91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199.91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事业单位离退休</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888.52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888.52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机关事业单位基本养老保险缴费支出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406.64</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406.64</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抚恤</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2080801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死亡抚恤</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卫生健康支出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260.60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260.60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行政事业单位医疗</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260.60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260.60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行政单位医疗</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66.56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66.56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事业单位医疗</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137.72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137.72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公务员医疗补助</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56.32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56.32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节能环保支出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21114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能源管理事务</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2111499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其他能源管理事务支出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14725.97</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14725.42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城乡社区管理事务</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5470.13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5469.80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2120101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行政运行</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2595.78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2595.45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2120102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一般行政管理事务</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960.28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960.28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2120104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城管执法</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1504.56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1504.56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2120199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其他城乡社区管理事务支出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409.51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409.51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城乡社区规划与管理</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296.28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296.28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2120201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城乡社区规划与管理</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296.28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296.28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城乡社区公共摄设施</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865.73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865.73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2120399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其他城乡社区公共设施支出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865.73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865.73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城乡社区环境卫生</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7912.70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7912.48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2120501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城乡社区环境卫生</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7912.70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7912.48</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其他城乡社区支出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2129999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其他城乡社区支出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农林水支出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21303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水利</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2130399</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其他水利支出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7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26387.55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9546.61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16840.94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人大事务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2010101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行政运行</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工会事务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社会保障和就业支出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1621.50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1621.50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行政事业单位养老支出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1555.21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1555.21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行政单位离退休</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207.42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207.42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事业单位离退休</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909.36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909.36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机关事业单位基本养老保险缴费支出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438.42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438.42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其他行政事业单位养老支出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抚恤</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死亡抚恤</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66.29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卫生健康支出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行政事业单位医疗</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行政单位医疗</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72.36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72.36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事业单位医疗</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142.68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142.68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公务员医疗补助</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76.14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76.14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节能环保支出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865.63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865.63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污染防治</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80.10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80.10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2110301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大气</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80.10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80.10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21114</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能源管理事务</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2111499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其他能源管理事务支出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785.53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23534.19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7560.89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15973.30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城乡社区管理事务</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8259.08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3360.72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4898.35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行政运行</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2816.54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2816.54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一般行政管理事务</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3412.11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3412.11</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2120104</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城管执法</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1601.43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544.15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1057.28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其他城乡社区管理事务支出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429.00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428.97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城乡社区规划与管理</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299.12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299.12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2120201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城乡社区规划与管理</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299.12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299.12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城乡社区公共摄设施</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4381.09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787.44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3593.65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2120399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其他城乡社区公共设施支出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4381.09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787.44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3593.65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城乡社区环境卫生</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10413.77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3412.72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7001.04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2120501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城乡社区环境卫生</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10413.77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3412.72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7001.04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2129999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181.13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农林水支出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水利</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2130399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其他水利支出</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567"/>
        <w:gridCol w:w="356"/>
        <w:gridCol w:w="919"/>
        <w:gridCol w:w="321"/>
        <w:gridCol w:w="296"/>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4"/>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4"/>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8049" w:type="dxa"/>
            <w:gridSpan w:val="9"/>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2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一般公共预算财政拨款</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39"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17407.95</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9</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73.04</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lang w:eastAsia="zh-CN"/>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25</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lang w:eastAsia="zh-CN"/>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26</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1621.50</w:t>
            </w: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1621.50</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lang w:eastAsia="zh-CN"/>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27</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291.19</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kern w:val="0"/>
                <w:sz w:val="20"/>
                <w:szCs w:val="20"/>
                <w:highlight w:val="none"/>
              </w:rPr>
            </w:pPr>
            <w:r>
              <w:rPr>
                <w:rFonts w:hint="eastAsia" w:ascii="宋体" w:hAnsi="宋体" w:cs="宋体"/>
                <w:color w:val="000000"/>
                <w:sz w:val="20"/>
                <w:szCs w:val="20"/>
                <w:highlight w:val="none"/>
                <w:lang w:eastAsia="zh-CN"/>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28</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865.63</w:t>
            </w: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865.63</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r>
              <w:rPr>
                <w:rFonts w:hint="eastAsia" w:ascii="宋体" w:hAnsi="宋体" w:cs="宋体"/>
                <w:color w:val="000000"/>
                <w:kern w:val="0"/>
                <w:sz w:val="20"/>
                <w:szCs w:val="20"/>
                <w:highlight w:val="none"/>
                <w:lang w:val="en-US" w:eastAsia="zh-CN"/>
              </w:rPr>
              <w:t>9</w:t>
            </w:r>
          </w:p>
        </w:tc>
        <w:tc>
          <w:tcPr>
            <w:tcW w:w="92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23488.74</w:t>
            </w:r>
          </w:p>
        </w:tc>
        <w:tc>
          <w:tcPr>
            <w:tcW w:w="124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23488.74</w:t>
            </w:r>
          </w:p>
        </w:tc>
        <w:tc>
          <w:tcPr>
            <w:tcW w:w="123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92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239"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17407.95</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26342.10</w:t>
            </w:r>
          </w:p>
        </w:tc>
        <w:tc>
          <w:tcPr>
            <w:tcW w:w="1560" w:type="dxa"/>
            <w:gridSpan w:val="3"/>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26342.10</w:t>
            </w: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8934.14</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b w:val="0"/>
                <w:bCs w:val="0"/>
                <w:color w:val="000000"/>
                <w:sz w:val="20"/>
                <w:szCs w:val="20"/>
                <w:highlight w:val="none"/>
              </w:rPr>
            </w:pPr>
          </w:p>
        </w:tc>
        <w:tc>
          <w:tcPr>
            <w:tcW w:w="1560" w:type="dxa"/>
            <w:gridSpan w:val="3"/>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b w:val="0"/>
                <w:bCs w:val="0"/>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8934.14</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3"/>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6</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3"/>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7</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3"/>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r>
              <w:rPr>
                <w:rFonts w:hint="eastAsia" w:ascii="宋体" w:hAnsi="宋体" w:cs="宋体"/>
                <w:color w:val="000000"/>
                <w:kern w:val="0"/>
                <w:sz w:val="20"/>
                <w:szCs w:val="20"/>
                <w:highlight w:val="none"/>
                <w:lang w:val="en-US" w:eastAsia="zh-CN"/>
              </w:rPr>
              <w:t>8</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26342.10</w:t>
            </w:r>
          </w:p>
        </w:tc>
        <w:tc>
          <w:tcPr>
            <w:tcW w:w="2596"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26342.10</w:t>
            </w:r>
          </w:p>
        </w:tc>
        <w:tc>
          <w:tcPr>
            <w:tcW w:w="1560" w:type="dxa"/>
            <w:gridSpan w:val="3"/>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b/>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26342.10</w:t>
            </w:r>
          </w:p>
        </w:tc>
        <w:tc>
          <w:tcPr>
            <w:tcW w:w="1058"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1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vAlign w:val="top"/>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4"/>
        <w:gridCol w:w="685"/>
        <w:gridCol w:w="2218"/>
        <w:gridCol w:w="3437"/>
        <w:gridCol w:w="3437"/>
        <w:gridCol w:w="3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13940"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2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1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7"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37"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3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20"/>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27"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3437"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37"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3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3627"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2"/>
                <w:rFonts w:hint="default"/>
                <w:sz w:val="20"/>
                <w:szCs w:val="20"/>
                <w:highlight w:val="none"/>
              </w:rPr>
              <w:t xml:space="preserve">   </w:t>
            </w:r>
            <w:r>
              <w:rPr>
                <w:rStyle w:val="13"/>
                <w:rFonts w:hint="default"/>
                <w:sz w:val="20"/>
                <w:szCs w:val="20"/>
                <w:highlight w:val="none"/>
              </w:rPr>
              <w:t>目</w:t>
            </w:r>
          </w:p>
        </w:tc>
        <w:tc>
          <w:tcPr>
            <w:tcW w:w="10313"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1409"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39"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409"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9"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39"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362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362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26342.10</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9503.99</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16838.11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w:t>
            </w:r>
          </w:p>
        </w:tc>
        <w:tc>
          <w:tcPr>
            <w:tcW w:w="22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一般公共服务支出</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73.04</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73.04</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20101</w:t>
            </w:r>
          </w:p>
        </w:tc>
        <w:tc>
          <w:tcPr>
            <w:tcW w:w="22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人大事务</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33.67</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33.67</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2010101</w:t>
            </w:r>
          </w:p>
        </w:tc>
        <w:tc>
          <w:tcPr>
            <w:tcW w:w="22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行政运行</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33.67</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33.67</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w:t>
            </w:r>
          </w:p>
        </w:tc>
        <w:tc>
          <w:tcPr>
            <w:tcW w:w="22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群众团体事务</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39.37</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39.37</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2012906</w:t>
            </w:r>
          </w:p>
        </w:tc>
        <w:tc>
          <w:tcPr>
            <w:tcW w:w="22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工会事务</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39.37</w:t>
            </w:r>
          </w:p>
        </w:tc>
        <w:tc>
          <w:tcPr>
            <w:tcW w:w="3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39.37</w:t>
            </w:r>
          </w:p>
        </w:tc>
        <w:tc>
          <w:tcPr>
            <w:tcW w:w="343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社会保障和就业支出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1621.50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1621.50</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行政事业单位养老支出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1555.21</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1555.21</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行政单位离退休</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207.42</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207.42</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2080502</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事业单位离退休</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909.36</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909.36</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2080505</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机关事业单位基本养老保险缴费支出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438.42</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438.42</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2080599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其他行政事业单位养老支出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0.01</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0.01</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抚恤</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66.29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66.29</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2080801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死亡抚恤</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66.29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66.29</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卫生健康支出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291.19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291.19</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行政事业单位医疗</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291.19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291.19</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行政单位医疗</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72.36</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72.36</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2101102</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事业单位医疗</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142.68</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142.68</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2101103</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公务员医疗补助</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76.14</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76.14</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节能环保支出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865.63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21103</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污染防治</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80.10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2110301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大气</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80.10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21114</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能源管理事务</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785.53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2111499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其他能源管理事务支出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785.53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23488.74</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7518.27</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15970.47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城乡社区管理事务</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8213.63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3318.11</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4895.52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行政运行</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2773.92</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2773.92</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2120102</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一般行政管理事务</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3409.28</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2120104</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城管执法</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1601.43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544.15</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1057.28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2120199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其他城乡社区管理事务支出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429.00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0.03</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428.97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21202</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城乡社区规划与管理</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299.12</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2120201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城乡社区规划与管理</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299.12</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21203</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城乡社区公共摄设施</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4381.09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787.44</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3593.65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2120399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其他城乡社区公共设施支出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4381.09</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787.44</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3593.65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21205</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城乡社区环境卫生</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10413.77</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3412.72</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2120501</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城乡社区环境卫生</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10413.77</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3412.72</w:t>
            </w: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7001.04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181.13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2129999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其他城乡社区支出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181.13</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农林水支出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21303</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水利</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40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2130399</w:t>
            </w:r>
          </w:p>
        </w:tc>
        <w:tc>
          <w:tcPr>
            <w:tcW w:w="221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其他水利支出</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c>
          <w:tcPr>
            <w:tcW w:w="343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3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3940"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51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rPr>
              <w:t>部门</w:t>
            </w:r>
            <w:r>
              <w:rPr>
                <w:rFonts w:ascii="Arial" w:hAnsi="Arial" w:cs="Arial"/>
                <w:color w:val="000000"/>
                <w:kern w:val="0"/>
                <w:sz w:val="20"/>
                <w:szCs w:val="20"/>
                <w:highlight w:val="none"/>
              </w:rPr>
              <w:t>：</w:t>
            </w:r>
            <w:r>
              <w:rPr>
                <w:rFonts w:hint="eastAsia" w:ascii="Arial" w:hAnsi="Arial" w:cs="Arial"/>
                <w:color w:val="000000"/>
                <w:kern w:val="0"/>
                <w:sz w:val="20"/>
                <w:szCs w:val="20"/>
                <w:highlight w:val="none"/>
                <w:lang w:eastAsia="zh-CN"/>
              </w:rPr>
              <w:t>许昌市城市管理局</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7428.98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849.89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2026.35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2759.46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27.80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747.36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605.81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机关事业单位基本养老保险</w:t>
            </w:r>
            <w:r>
              <w:rPr>
                <w:rFonts w:hint="eastAsia" w:ascii="宋体" w:hAnsi="宋体" w:cs="宋体"/>
                <w:color w:val="000000"/>
                <w:kern w:val="0"/>
                <w:sz w:val="20"/>
                <w:szCs w:val="20"/>
                <w:highlight w:val="none"/>
                <w:lang w:eastAsia="zh-CN"/>
              </w:rPr>
              <w:t>缴</w:t>
            </w:r>
            <w:r>
              <w:rPr>
                <w:rFonts w:hint="eastAsia" w:ascii="宋体" w:hAnsi="宋体" w:cs="宋体"/>
                <w:color w:val="000000"/>
                <w:kern w:val="0"/>
                <w:sz w:val="20"/>
                <w:szCs w:val="20"/>
                <w:highlight w:val="none"/>
              </w:rPr>
              <w:t>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285.59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72.62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25.06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433.51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30.30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90.73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160.21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1206.51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1114.85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64.65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55.22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63.66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39.37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61.67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57.90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30311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代缴社会保险费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162.50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8635.49</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129.16</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129.16</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59.94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59.94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57.90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526"/>
        <w:gridCol w:w="1252"/>
        <w:gridCol w:w="30"/>
        <w:gridCol w:w="1860"/>
        <w:gridCol w:w="1890"/>
        <w:gridCol w:w="1890"/>
        <w:gridCol w:w="1891"/>
        <w:gridCol w:w="1890"/>
        <w:gridCol w:w="1901"/>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3730" w:type="dxa"/>
            <w:gridSpan w:val="10"/>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60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8" w:type="dxa"/>
            <w:gridSpan w:val="4"/>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许昌市城市管理局</w:t>
            </w:r>
          </w:p>
        </w:tc>
        <w:tc>
          <w:tcPr>
            <w:tcW w:w="186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237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890"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890"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671"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01"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312" w:hRule="atLeast"/>
        </w:trPr>
        <w:tc>
          <w:tcPr>
            <w:tcW w:w="1126"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89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89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890"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1"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312" w:hRule="atLeast"/>
        </w:trPr>
        <w:tc>
          <w:tcPr>
            <w:tcW w:w="112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1"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312" w:hRule="atLeast"/>
        </w:trPr>
        <w:tc>
          <w:tcPr>
            <w:tcW w:w="112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1"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237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237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12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90"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0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6" w:type="dxa"/>
          <w:trHeight w:val="90" w:hRule="atLeast"/>
        </w:trPr>
        <w:tc>
          <w:tcPr>
            <w:tcW w:w="13730"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注：本表反映部门本年度政府性基金预算财政拨款收入、支出及结转和结余情况。本表金额转换为万元时，因四舍五入可能存在尾差。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26430.81</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1853.18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6.55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在职人员转退休，在职人员工资及社保等经费减少,项目经费减少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17408.50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17407.95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99.9968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0.0032</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26387.55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9546.61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36.18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16840.94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63.82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26342.10</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1295.76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下降</w:t>
      </w:r>
      <w:r>
        <w:rPr>
          <w:rFonts w:hint="eastAsia" w:ascii="仿宋_GB2312" w:hAnsi="仿宋_GB2312" w:eastAsia="仿宋_GB2312" w:cs="仿宋_GB2312"/>
          <w:sz w:val="32"/>
          <w:szCs w:val="32"/>
          <w:highlight w:val="none"/>
          <w:lang w:val="en-US" w:eastAsia="zh-CN"/>
        </w:rPr>
        <w:t>4.69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在职人员转退休，在职人员工资及社保等经费减少,项目经费减少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26342.10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99.83</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4431.31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w:t>
      </w:r>
      <w:r>
        <w:rPr>
          <w:rFonts w:hint="eastAsia" w:ascii="仿宋_GB2312" w:hAnsi="仿宋_GB2312" w:eastAsia="仿宋_GB2312" w:cs="仿宋_GB2312"/>
          <w:sz w:val="32"/>
          <w:szCs w:val="32"/>
          <w:highlight w:val="none"/>
          <w:lang w:val="en-US" w:eastAsia="zh-CN"/>
        </w:rPr>
        <w:t>拨付</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lang w:val="en-US" w:eastAsia="zh-CN"/>
        </w:rPr>
        <w:t>性质</w:t>
      </w:r>
      <w:r>
        <w:rPr>
          <w:rFonts w:hint="eastAsia" w:ascii="仿宋_GB2312" w:hAnsi="仿宋_GB2312" w:eastAsia="仿宋_GB2312" w:cs="仿宋_GB2312"/>
          <w:sz w:val="32"/>
          <w:szCs w:val="32"/>
          <w:highlight w:val="none"/>
          <w:lang w:eastAsia="zh-CN"/>
        </w:rPr>
        <w:t>为一般公共预算财政拨款</w:t>
      </w:r>
      <w:r>
        <w:rPr>
          <w:rFonts w:hint="eastAsia" w:ascii="仿宋_GB2312" w:hAnsi="仿宋_GB2312" w:eastAsia="仿宋_GB2312" w:cs="仿宋_GB2312"/>
          <w:sz w:val="32"/>
          <w:szCs w:val="32"/>
          <w:highlight w:val="none"/>
          <w:lang w:val="en-US" w:eastAsia="zh-CN"/>
        </w:rPr>
        <w:t>的项目经费较上年增加</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26342.10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73.04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0.2773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1621.50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6.1555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291.19万元，占1.1054%；节能环保（类）支出865.63万元，占3.2861%；城乡社区（类）支出23488.74万元，占89.1681%；农林水（类）支出2.00万元，占0.0076%</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11466.72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26342.10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229.73</w:t>
      </w:r>
      <w:r>
        <w:rPr>
          <w:rFonts w:hint="eastAsia" w:ascii="仿宋_GB2312" w:hAnsi="仿宋_GB2312" w:eastAsia="仿宋_GB2312" w:cs="仿宋_GB2312"/>
          <w:sz w:val="32"/>
          <w:szCs w:val="32"/>
          <w:highlight w:val="none"/>
        </w:rPr>
        <w:t>%。其中：</w:t>
      </w:r>
    </w:p>
    <w:p>
      <w:pPr>
        <w:widowControl/>
        <w:spacing w:line="600" w:lineRule="exact"/>
        <w:ind w:firstLine="642"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人大事务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545.10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33.67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该科目部分支出调剂至城乡社区支出（类）城乡社区管理事务（款）一般行政管理事务（项）</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204.01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207.42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101.67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新增</w:t>
      </w:r>
      <w:r>
        <w:rPr>
          <w:rFonts w:hint="eastAsia" w:ascii="仿宋_GB2312" w:hAnsi="仿宋_GB2312" w:eastAsia="仿宋_GB2312" w:cs="仿宋_GB2312"/>
          <w:sz w:val="32"/>
          <w:szCs w:val="32"/>
          <w:highlight w:val="none"/>
          <w:lang w:val="en-US" w:eastAsia="zh-CN"/>
        </w:rPr>
        <w:t>在职人员转为</w:t>
      </w:r>
      <w:r>
        <w:rPr>
          <w:rFonts w:hint="eastAsia" w:ascii="仿宋_GB2312" w:hAnsi="仿宋_GB2312" w:eastAsia="仿宋_GB2312" w:cs="仿宋_GB2312"/>
          <w:sz w:val="32"/>
          <w:szCs w:val="32"/>
          <w:highlight w:val="none"/>
          <w:lang w:eastAsia="zh-CN"/>
        </w:rPr>
        <w:t>退休人员</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995.37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909.36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91.36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退休人员死亡</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448.74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438.42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97.70</w:t>
      </w:r>
      <w:r>
        <w:rPr>
          <w:rFonts w:hint="eastAsia" w:ascii="仿宋_GB2312" w:hAnsi="仿宋_GB2312" w:eastAsia="仿宋_GB2312" w:cs="仿宋_GB2312"/>
          <w:color w:val="auto"/>
          <w:sz w:val="32"/>
          <w:szCs w:val="32"/>
          <w:highlight w:val="none"/>
        </w:rPr>
        <w:t>%。决算</w:t>
      </w:r>
      <w:r>
        <w:rPr>
          <w:rFonts w:hint="eastAsia" w:ascii="仿宋_GB2312" w:hAnsi="仿宋_GB2312" w:eastAsia="仿宋_GB2312" w:cs="仿宋_GB2312"/>
          <w:sz w:val="32"/>
          <w:szCs w:val="32"/>
          <w:highlight w:val="none"/>
        </w:rPr>
        <w:t>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退休人员死亡，其预算经费支出减少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其他行政事业单位养老支出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w:t>
      </w:r>
      <w:r>
        <w:rPr>
          <w:rFonts w:hint="eastAsia" w:ascii="仿宋_GB2312" w:hAnsi="仿宋_GB2312" w:eastAsia="仿宋_GB2312" w:cs="仿宋_GB2312"/>
          <w:color w:val="auto"/>
          <w:sz w:val="32"/>
          <w:szCs w:val="32"/>
          <w:highlight w:val="none"/>
        </w:rPr>
        <w:t>算为</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万元，支</w:t>
      </w:r>
      <w:r>
        <w:rPr>
          <w:rFonts w:hint="eastAsia" w:ascii="仿宋_GB2312" w:hAnsi="仿宋_GB2312" w:eastAsia="仿宋_GB2312" w:cs="仿宋_GB2312"/>
          <w:sz w:val="32"/>
          <w:szCs w:val="32"/>
          <w:highlight w:val="none"/>
        </w:rPr>
        <w:t>出决算为</w:t>
      </w:r>
      <w:r>
        <w:rPr>
          <w:rFonts w:hint="eastAsia" w:ascii="仿宋_GB2312" w:hAnsi="仿宋_GB2312" w:eastAsia="仿宋_GB2312" w:cs="仿宋_GB2312"/>
          <w:sz w:val="32"/>
          <w:szCs w:val="32"/>
          <w:highlight w:val="none"/>
          <w:lang w:val="en-US" w:eastAsia="zh-CN"/>
        </w:rPr>
        <w:t>0.01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w:t>
      </w:r>
      <w:r>
        <w:rPr>
          <w:rFonts w:hint="eastAsia" w:ascii="仿宋_GB2312" w:hAnsi="仿宋_GB2312" w:eastAsia="仿宋_GB2312" w:cs="仿宋_GB2312"/>
          <w:color w:val="auto"/>
          <w:sz w:val="32"/>
          <w:szCs w:val="32"/>
          <w:highlight w:val="none"/>
        </w:rPr>
        <w:t>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66.29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追加在职、退休死亡人员抚恤金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73.29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72.36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98.73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在职人员转退休，</w:t>
      </w:r>
      <w:r>
        <w:rPr>
          <w:rFonts w:hint="eastAsia" w:ascii="仿宋_GB2312" w:hAnsi="仿宋_GB2312" w:eastAsia="仿宋_GB2312" w:cs="仿宋_GB2312"/>
          <w:color w:val="auto"/>
          <w:sz w:val="32"/>
          <w:szCs w:val="32"/>
          <w:highlight w:val="none"/>
          <w:lang w:val="en-US" w:eastAsia="zh-CN"/>
        </w:rPr>
        <w:t>预算支出减少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155.52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142.68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91.74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在职人员转退休，</w:t>
      </w:r>
      <w:r>
        <w:rPr>
          <w:rFonts w:hint="eastAsia" w:ascii="仿宋_GB2312" w:hAnsi="仿宋_GB2312" w:eastAsia="仿宋_GB2312" w:cs="仿宋_GB2312"/>
          <w:color w:val="auto"/>
          <w:sz w:val="32"/>
          <w:szCs w:val="32"/>
          <w:highlight w:val="none"/>
          <w:lang w:val="en-US" w:eastAsia="zh-CN"/>
        </w:rPr>
        <w:t>预算支出减少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76.67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76.14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99.31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社保基数调整，核算缴费基数时四舍五入产生误差</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节能环保</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污染防治</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大气</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80.10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bCs/>
          <w:color w:val="auto"/>
          <w:sz w:val="32"/>
          <w:szCs w:val="32"/>
          <w:highlight w:val="none"/>
          <w:lang w:eastAsia="zh-CN"/>
        </w:rPr>
        <w:t>年中追加项目未纳入年初预算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节能环保</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能源管理事务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其他能源管理事务支出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785.53</w:t>
      </w:r>
      <w:r>
        <w:rPr>
          <w:rFonts w:hint="eastAsia" w:ascii="仿宋_GB2312" w:hAnsi="仿宋_GB2312" w:eastAsia="仿宋_GB2312" w:cs="仿宋_GB2312"/>
          <w:color w:val="auto"/>
          <w:sz w:val="32"/>
          <w:szCs w:val="32"/>
          <w:highlight w:val="none"/>
        </w:rPr>
        <w:t>万元。决算数</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追加垃圾焚烧补贴款未列入年度部门预算</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2276.09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2773.92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121.87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color w:val="auto"/>
          <w:sz w:val="32"/>
          <w:szCs w:val="32"/>
          <w:highlight w:val="none"/>
        </w:rPr>
        <w:t>存在差异的主要原因是</w:t>
      </w:r>
      <w:r>
        <w:rPr>
          <w:rFonts w:hint="eastAsia" w:ascii="仿宋_GB2312" w:hAnsi="仿宋_GB2312" w:eastAsia="仿宋_GB2312" w:cs="仿宋_GB2312"/>
          <w:b w:val="0"/>
          <w:bCs w:val="0"/>
          <w:sz w:val="32"/>
          <w:szCs w:val="32"/>
        </w:rPr>
        <w:t>一般公共服务支出（类）人大事务（款）行政运行（项）</w:t>
      </w:r>
      <w:r>
        <w:rPr>
          <w:rFonts w:hint="eastAsia" w:ascii="仿宋_GB2312" w:hAnsi="仿宋_GB2312" w:eastAsia="仿宋_GB2312" w:cs="仿宋_GB2312"/>
          <w:b w:val="0"/>
          <w:bCs w:val="0"/>
          <w:sz w:val="32"/>
          <w:szCs w:val="32"/>
          <w:lang w:eastAsia="zh-CN"/>
        </w:rPr>
        <w:t>部分支出调剂至该科目、</w:t>
      </w:r>
      <w:r>
        <w:rPr>
          <w:rFonts w:hint="eastAsia" w:ascii="仿宋_GB2312" w:hAnsi="仿宋_GB2312" w:eastAsia="仿宋_GB2312" w:cs="仿宋_GB2312"/>
          <w:color w:val="auto"/>
          <w:sz w:val="32"/>
          <w:szCs w:val="32"/>
          <w:highlight w:val="none"/>
          <w:lang w:val="en-US" w:eastAsia="zh-CN"/>
        </w:rPr>
        <w:t>年中追加人员晋级晋档、新增人员各项经费</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3409.28</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年中追加项目经费未列入年度部门预算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城管执法</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476.06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1601.43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color w:val="auto"/>
          <w:sz w:val="32"/>
          <w:szCs w:val="32"/>
          <w:highlight w:val="none"/>
          <w:lang w:val="en-US" w:eastAsia="zh-CN"/>
        </w:rPr>
        <w:t>6.39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rPr>
        <w:t>项目经费未列入年初部门预算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其他城乡社区管理事务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429.00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项目工程款和</w:t>
      </w:r>
      <w:r>
        <w:rPr>
          <w:rFonts w:hint="eastAsia" w:ascii="仿宋_GB2312" w:hAnsi="仿宋_GB2312" w:eastAsia="仿宋_GB2312" w:cs="仿宋_GB2312"/>
          <w:color w:val="auto"/>
          <w:sz w:val="32"/>
          <w:szCs w:val="32"/>
          <w:highlight w:val="none"/>
          <w:lang w:eastAsia="zh-CN"/>
        </w:rPr>
        <w:t>中央公园管养经费未列入年度部门预算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城乡社区规划与管理</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城乡社区规划与管理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w:t>
      </w:r>
      <w:r>
        <w:rPr>
          <w:rFonts w:hint="eastAsia" w:ascii="仿宋_GB2312" w:hAnsi="仿宋_GB2312" w:eastAsia="仿宋_GB2312" w:cs="仿宋_GB2312"/>
          <w:color w:val="auto"/>
          <w:sz w:val="32"/>
          <w:szCs w:val="32"/>
          <w:highlight w:val="none"/>
        </w:rPr>
        <w:t>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299.12</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财政拨付及年中追加人员经费</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城乡社区公共设施</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其他城乡社区公共设施</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4381.09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337.01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项目工程款、中央公园管养经费等未列入年度部门预算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城乡社区环境卫生</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城乡社区环境卫生</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4876.49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10413.77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213.</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追加部分城建项目资金、临时人员工资及社保等项目经费等</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20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其他城乡社区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其他城乡社区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181.13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年中追加项目经费未列入年度部门预算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21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水利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其他水利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该项资金为</w:t>
      </w:r>
      <w:r>
        <w:rPr>
          <w:rFonts w:hint="eastAsia" w:ascii="仿宋_GB2312" w:hAnsi="仿宋_GB2312" w:eastAsia="仿宋_GB2312" w:cs="仿宋_GB2312"/>
          <w:color w:val="auto"/>
          <w:sz w:val="32"/>
          <w:szCs w:val="32"/>
          <w:highlight w:val="none"/>
          <w:lang w:val="en-US" w:eastAsia="zh-CN"/>
        </w:rPr>
        <w:t>河湖水系考核</w:t>
      </w:r>
      <w:r>
        <w:rPr>
          <w:rFonts w:hint="eastAsia" w:ascii="仿宋_GB2312" w:hAnsi="仿宋_GB2312" w:eastAsia="仿宋_GB2312" w:cs="仿宋_GB2312"/>
          <w:color w:val="auto"/>
          <w:sz w:val="32"/>
          <w:szCs w:val="32"/>
          <w:highlight w:val="none"/>
          <w:lang w:eastAsia="zh-CN"/>
        </w:rPr>
        <w:t>奖励资金，未列入年度部门预算</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9503.99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8635.49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w:t>
      </w:r>
      <w:r>
        <w:rPr>
          <w:rFonts w:hint="eastAsia" w:ascii="仿宋_GB2312" w:hAnsi="仿宋_GB2312" w:eastAsia="仿宋_GB2312" w:cs="仿宋_GB2312"/>
          <w:sz w:val="32"/>
          <w:szCs w:val="32"/>
          <w:highlight w:val="none"/>
          <w:lang w:eastAsia="zh-CN"/>
        </w:rPr>
        <w:t>缴</w:t>
      </w:r>
      <w:r>
        <w:rPr>
          <w:rFonts w:hint="eastAsia" w:ascii="仿宋_GB2312" w:hAnsi="仿宋_GB2312" w:eastAsia="仿宋_GB2312" w:cs="仿宋_GB2312"/>
          <w:sz w:val="32"/>
          <w:szCs w:val="32"/>
          <w:highlight w:val="none"/>
        </w:rPr>
        <w:t>费、职业年金缴费、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其他工资福利支出、退休费、抚恤金、生活补助、医疗费</w:t>
      </w:r>
      <w:r>
        <w:rPr>
          <w:rFonts w:hint="eastAsia" w:ascii="仿宋_GB2312" w:hAnsi="仿宋_GB2312" w:eastAsia="仿宋_GB2312" w:cs="仿宋_GB2312"/>
          <w:sz w:val="32"/>
          <w:szCs w:val="32"/>
          <w:highlight w:val="none"/>
          <w:lang w:eastAsia="zh-CN"/>
        </w:rPr>
        <w:t>补助</w:t>
      </w:r>
      <w:r>
        <w:rPr>
          <w:rFonts w:hint="eastAsia" w:ascii="仿宋_GB2312" w:hAnsi="仿宋_GB2312" w:eastAsia="仿宋_GB2312" w:cs="仿宋_GB2312"/>
          <w:sz w:val="32"/>
          <w:szCs w:val="32"/>
          <w:highlight w:val="none"/>
        </w:rPr>
        <w:t>、奖励金、</w:t>
      </w:r>
      <w:r>
        <w:rPr>
          <w:rFonts w:hint="eastAsia" w:ascii="仿宋_GB2312" w:hAnsi="仿宋_GB2312" w:eastAsia="仿宋_GB2312" w:cs="仿宋_GB2312"/>
          <w:sz w:val="32"/>
          <w:szCs w:val="32"/>
          <w:highlight w:val="none"/>
          <w:lang w:eastAsia="zh-CN"/>
        </w:rPr>
        <w:t>代缴社会保险费、对</w:t>
      </w:r>
      <w:r>
        <w:rPr>
          <w:rFonts w:hint="eastAsia" w:ascii="仿宋_GB2312" w:hAnsi="仿宋_GB2312" w:eastAsia="仿宋_GB2312" w:cs="仿宋_GB2312"/>
          <w:sz w:val="32"/>
          <w:szCs w:val="32"/>
          <w:highlight w:val="none"/>
        </w:rPr>
        <w:t>其他个人和家庭的补助</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868.50</w:t>
      </w:r>
      <w:r>
        <w:rPr>
          <w:rFonts w:hint="eastAsia" w:ascii="仿宋_GB2312" w:hAnsi="仿宋_GB2312" w:eastAsia="仿宋_GB2312" w:cs="仿宋_GB2312"/>
          <w:sz w:val="32"/>
          <w:szCs w:val="32"/>
          <w:highlight w:val="none"/>
        </w:rPr>
        <w:t>万元，主要包括：办公费、印刷费、水费、电费、邮电费、取暖费、物业管理费、差旅费、维修（护）费、租赁费、会议费、培训费、公务接待费、专用材料费、劳务费、委托业务费、工会经费、福利费、公务用车运行维护费、其他交通费用、其他商品和服务支出、办公设备购置、其他资本性</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129.16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59.94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46.41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57.90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52.64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96.61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10.59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3.39</w:t>
      </w:r>
      <w:r>
        <w:rPr>
          <w:rFonts w:hint="eastAsia" w:ascii="仿宋_GB2312" w:hAnsi="仿宋_GB2312" w:eastAsia="仿宋_GB2312" w:cs="仿宋_GB2312"/>
          <w:sz w:val="32"/>
          <w:szCs w:val="32"/>
          <w:highlight w:val="none"/>
        </w:rPr>
        <w:t>%。具体情况如下：</w:t>
      </w:r>
    </w:p>
    <w:p>
      <w:pPr>
        <w:spacing w:before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rPr>
        <w:t>2021年度“三公”经费支出</w:t>
      </w:r>
      <w:r>
        <w:rPr>
          <w:rFonts w:hint="eastAsia" w:ascii="仿宋_GB2312" w:hAnsi="仿宋_GB2312" w:eastAsia="仿宋_GB2312"/>
          <w:sz w:val="32"/>
          <w:szCs w:val="24"/>
          <w:lang w:val="en-US"/>
        </w:rPr>
        <w:t>决算数与预算数不存在差异。因公出国（境）团组数0个，因公出国（境）人次数0人。</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57.90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52.64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57.90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公务用车燃油费、维修保养费、过路过桥费、车辆保险费等支出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开支财政拨款的公务用车保有</w:t>
      </w:r>
      <w:r>
        <w:rPr>
          <w:rFonts w:hint="eastAsia" w:ascii="仿宋_GB2312" w:hAnsi="仿宋_GB2312" w:eastAsia="仿宋_GB2312" w:cs="仿宋_GB2312"/>
          <w:color w:val="auto"/>
          <w:sz w:val="32"/>
          <w:szCs w:val="32"/>
          <w:highlight w:val="none"/>
        </w:rPr>
        <w:t>量为</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10.59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接待外地市城市管理部门学习、考察等公务接待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222</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w:t>
      </w:r>
      <w:r>
        <w:rPr>
          <w:rFonts w:hint="eastAsia" w:ascii="仿宋_GB2312" w:hAnsi="仿宋_GB2312" w:eastAsia="仿宋_GB2312" w:cs="仿宋_GB2312"/>
          <w:sz w:val="32"/>
          <w:szCs w:val="32"/>
          <w:highlight w:val="none"/>
        </w:rPr>
        <w:t>年末结转和结余资金数额较大，</w:t>
      </w:r>
      <w:r>
        <w:rPr>
          <w:rFonts w:hint="eastAsia" w:ascii="仿宋_GB2312" w:hAnsi="仿宋_GB2312" w:eastAsia="仿宋_GB2312" w:cs="仿宋_GB2312"/>
          <w:sz w:val="32"/>
          <w:szCs w:val="32"/>
          <w:highlight w:val="none"/>
          <w:lang w:eastAsia="zh-CN"/>
        </w:rPr>
        <w:t>情况说明：我部门</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561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499.63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89.06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继续严格执行八项规定，节约预算资金使用，减少不必要的公务活动，压缩了三公经费开支</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2808.86</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1143.68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719.40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945.78</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1729.21</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61.56</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1729.21</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61.56</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187</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134</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台（套）。</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2021年期末，我部门国有资产车辆较</w:t>
      </w:r>
      <w:r>
        <w:rPr>
          <w:rFonts w:hint="eastAsia" w:ascii="仿宋_GB2312" w:hAnsi="仿宋_GB2312" w:eastAsia="仿宋_GB2312" w:cs="仿宋_GB2312"/>
          <w:sz w:val="32"/>
          <w:szCs w:val="32"/>
          <w:highlight w:val="none"/>
        </w:rPr>
        <w:t>公务用车保有量</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139辆，其中：1辆为中央公园管理巡逻使用的电动车辆；128辆为环卫</w:t>
      </w:r>
      <w:r>
        <w:rPr>
          <w:rFonts w:hint="eastAsia" w:ascii="仿宋_GB2312" w:hAnsi="仿宋_GB2312" w:eastAsia="仿宋_GB2312" w:cs="仿宋_GB2312"/>
          <w:sz w:val="32"/>
          <w:szCs w:val="32"/>
          <w:highlight w:val="none"/>
        </w:rPr>
        <w:t>特种专业技术用车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主要为道路清扫车、洒水车、吸尘车、清洗车等环卫作业专用车辆；10辆园林绿化用车，按照2020年《许昌市园林绿化管理处改制方案》，10辆车由原许昌市园林绿化管理处改革后成立的企业许昌源林实业有限公司使用，自行开支运维费用。</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ordWrap/>
        <w:adjustRightInd/>
        <w:snapToGrid/>
        <w:spacing w:before="0" w:after="0" w:line="560" w:lineRule="exact"/>
        <w:ind w:left="0" w:leftChars="0" w:right="0"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我部门按照《中共许昌市委许昌市人民政府关于全面实施预算绩效管理的实施意见》（许发〔2021〕13号）文件要求，对本部门整体支出和项目支出开展全过程预算绩效管理。</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w:t>
      </w:r>
      <w:r>
        <w:rPr>
          <w:rFonts w:hint="eastAsia" w:ascii="仿宋" w:hAnsi="仿宋" w:eastAsia="仿宋" w:cs="仿宋"/>
          <w:sz w:val="32"/>
          <w:szCs w:val="32"/>
          <w:lang w:eastAsia="zh-CN"/>
        </w:rPr>
        <w:t>部门</w:t>
      </w:r>
      <w:r>
        <w:rPr>
          <w:rFonts w:hint="eastAsia" w:ascii="仿宋" w:hAnsi="仿宋" w:eastAsia="仿宋" w:cs="仿宋"/>
          <w:sz w:val="32"/>
          <w:szCs w:val="32"/>
        </w:rPr>
        <w:t>认真做好年度财政资金的预算编制与预算绩效目标编制工作，做到应编尽编。在资金使用和管理方面，进一步强化支出管理，明确开支范围，细化资金用途，做到“预算编制有目标、预算执行有</w:t>
      </w:r>
      <w:r>
        <w:rPr>
          <w:rFonts w:hint="eastAsia" w:ascii="仿宋" w:hAnsi="仿宋" w:eastAsia="仿宋" w:cs="仿宋"/>
          <w:sz w:val="32"/>
          <w:szCs w:val="32"/>
          <w:lang w:eastAsia="zh-CN"/>
        </w:rPr>
        <w:t>监督</w:t>
      </w:r>
      <w:r>
        <w:rPr>
          <w:rFonts w:hint="eastAsia" w:ascii="仿宋" w:hAnsi="仿宋" w:eastAsia="仿宋" w:cs="仿宋"/>
          <w:sz w:val="32"/>
          <w:szCs w:val="32"/>
        </w:rPr>
        <w:t>”，促进绩效目标如期保质保量实现。</w:t>
      </w:r>
      <w:r>
        <w:rPr>
          <w:rFonts w:hint="eastAsia" w:ascii="仿宋" w:hAnsi="仿宋" w:eastAsia="仿宋" w:cs="仿宋"/>
          <w:color w:val="000000"/>
          <w:kern w:val="0"/>
          <w:sz w:val="32"/>
          <w:szCs w:val="32"/>
          <w:lang w:val="en-US" w:eastAsia="zh-CN"/>
        </w:rPr>
        <w:t>按照年初工作任务安排，在财政资金的支持下有序开展城市管理相关工作，确保各项目标能够完成。实施的预算支出与实际需求高度相关</w:t>
      </w:r>
      <w:r>
        <w:rPr>
          <w:rFonts w:hint="eastAsia" w:ascii="仿宋" w:hAnsi="仿宋" w:eastAsia="仿宋" w:cs="仿宋"/>
          <w:color w:val="auto"/>
          <w:kern w:val="0"/>
          <w:sz w:val="32"/>
          <w:szCs w:val="32"/>
          <w:highlight w:val="none"/>
          <w:lang w:val="en-US" w:eastAsia="zh-CN"/>
        </w:rPr>
        <w:t>；具有明确的绩效目标，预算资金到位及时，预算实施过程中严格按实际需要实施，具有较高的效率；预算项目的顺利实施有力的保障了我部门工作的良性开展，取得了优异的成绩，具有较好的经济效益和社会效益，实施效果较好。</w:t>
      </w:r>
      <w:r>
        <w:rPr>
          <w:rFonts w:hint="eastAsia" w:ascii="仿宋" w:hAnsi="仿宋" w:eastAsia="仿宋" w:cs="仿宋"/>
          <w:sz w:val="32"/>
          <w:szCs w:val="32"/>
        </w:rPr>
        <w:t>全年基本支出保证了部门的正常运行和日常工作的正常开展，项目支出保证了业务工作有效开展，达到预期绩效目标。</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部门对本部门整体绩效目标和项目支出绩效目标进行了自评。一是部门整体绩效自评情况：预算执行率达到100%，财政资金的使用严格按照财政部门工作要求，加强财务管理，规范支出手续，保证资金使用依法依规，有效保证了各项工作的开展，取得了良好的社会效益。二是项目绩效自评情况：</w:t>
      </w:r>
      <w:r>
        <w:rPr>
          <w:rFonts w:hint="eastAsia" w:ascii="仿宋_GB2312" w:hAnsi="Times New Roman" w:eastAsia="仿宋_GB2312" w:cs="Times New Roman"/>
          <w:kern w:val="2"/>
          <w:sz w:val="32"/>
          <w:szCs w:val="32"/>
          <w:lang w:val="en-US" w:eastAsia="zh-CN" w:bidi="ar-SA"/>
        </w:rPr>
        <w:t>38个项目分别按照实施内容和目标进行开展，全部执行完毕，</w:t>
      </w:r>
      <w:r>
        <w:rPr>
          <w:rFonts w:hint="eastAsia" w:ascii="仿宋" w:hAnsi="仿宋" w:eastAsia="仿宋" w:cs="仿宋"/>
          <w:color w:val="000000"/>
          <w:kern w:val="0"/>
          <w:sz w:val="32"/>
          <w:szCs w:val="32"/>
          <w:lang w:val="en-US" w:eastAsia="zh-CN"/>
        </w:rPr>
        <w:t>项目预算执行、产出指标、经济指标、服务对象满意度等指标完成较好，</w:t>
      </w:r>
      <w:r>
        <w:rPr>
          <w:rFonts w:hint="eastAsia" w:ascii="仿宋_GB2312" w:hAnsi="Times New Roman" w:eastAsia="仿宋_GB2312" w:cs="Times New Roman"/>
          <w:kern w:val="2"/>
          <w:sz w:val="32"/>
          <w:szCs w:val="32"/>
          <w:lang w:val="en-US" w:eastAsia="zh-CN" w:bidi="ar-SA"/>
        </w:rPr>
        <w:t>达到了预期效果，有力的保证了我</w:t>
      </w:r>
      <w:r>
        <w:rPr>
          <w:rFonts w:hint="eastAsia" w:ascii="仿宋_GB2312" w:eastAsia="仿宋_GB2312" w:cs="Times New Roman"/>
          <w:kern w:val="2"/>
          <w:sz w:val="32"/>
          <w:szCs w:val="32"/>
          <w:lang w:val="en-US" w:eastAsia="zh-CN" w:bidi="ar-SA"/>
        </w:rPr>
        <w:t>部门</w:t>
      </w:r>
      <w:r>
        <w:rPr>
          <w:rFonts w:hint="eastAsia" w:ascii="仿宋_GB2312" w:hAnsi="Times New Roman" w:eastAsia="仿宋_GB2312" w:cs="Times New Roman"/>
          <w:kern w:val="2"/>
          <w:sz w:val="32"/>
          <w:szCs w:val="32"/>
          <w:lang w:val="en-US" w:eastAsia="zh-CN" w:bidi="ar-SA"/>
        </w:rPr>
        <w:t>工作业务的开展，项目的实施效果得到了实施对象的满意和认可</w:t>
      </w:r>
      <w:r>
        <w:rPr>
          <w:rFonts w:hint="eastAsia" w:ascii="仿宋_GB2312" w:hAnsi="仿宋_GB2312" w:eastAsia="仿宋_GB2312" w:cs="仿宋_GB2312"/>
          <w:color w:val="auto"/>
          <w:sz w:val="32"/>
          <w:szCs w:val="32"/>
          <w:highlight w:val="none"/>
          <w:lang w:val="en-US" w:eastAsia="zh-CN"/>
        </w:rPr>
        <w:t>。我部门共有38个项目批复了绩效目标，项目金额13854.27万元。其中：</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1.许昌市城市管理局（本级）7个，项目金额4599.46万元；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2.许昌市城市管理执法支队5个，项目金额1050.38万元；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3.许昌市环境卫生管理处18个，项目金额5698.72万元；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4.许昌市数字化城市管理中心3个，项目金额1057.28万元；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5.许昌市建筑垃圾管理中心3个，项目金额47.70万元；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6.许昌市生活垃圾处理费征收管理中心1个，项目金额100.73万元；</w:t>
      </w:r>
    </w:p>
    <w:p>
      <w:pPr>
        <w:widowControl/>
        <w:numPr>
          <w:ilvl w:val="0"/>
          <w:numId w:val="0"/>
        </w:numPr>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7.许昌市园林绿化中心1个，项目金额1300.00万元。</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98.76分。其中：38个项目评价等级为“优”、0个项目评价等级为“良”、0个项目评价等级为“中”、0个项目评价等级为“差”。</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ind w:left="0" w:leftChars="0" w:right="0" w:firstLine="640" w:firstLineChars="200"/>
        <w:jc w:val="both"/>
        <w:textAlignment w:val="auto"/>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FFF5A21"/>
    <w:rsid w:val="7FFF2872"/>
    <w:rsid w:val="BB776494"/>
    <w:rsid w:val="CFD5A6B0"/>
    <w:rsid w:val="EBCF7390"/>
    <w:rsid w:val="EFCF0859"/>
    <w:rsid w:val="FF3351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黑体"/>
      <w:sz w:val="36"/>
      <w:szCs w:val="20"/>
    </w:rPr>
  </w:style>
  <w:style w:type="paragraph" w:styleId="3">
    <w:name w:val="Balloon Text"/>
    <w:basedOn w:val="1"/>
    <w:link w:val="19"/>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unhideWhenUsed/>
    <w:qFormat/>
    <w:uiPriority w:val="99"/>
    <w:pPr>
      <w:ind w:firstLine="420" w:firstLineChars="100"/>
    </w:pPr>
    <w:rPr>
      <w:rFonts w:hint="default" w:ascii="Times New Roman" w:hAnsi="Times New Roman" w:eastAsia="宋体"/>
      <w:lang w:val="en-US" w:eastAsia="zh-CN"/>
    </w:rPr>
  </w:style>
  <w:style w:type="character" w:styleId="9">
    <w:name w:val="page number"/>
    <w:basedOn w:val="8"/>
    <w:unhideWhenUsed/>
    <w:qFormat/>
    <w:uiPriority w:val="99"/>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页眉 Char Char Char"/>
    <w:link w:val="5"/>
    <w:qFormat/>
    <w:uiPriority w:val="99"/>
    <w:rPr>
      <w:kern w:val="2"/>
      <w:sz w:val="18"/>
      <w:szCs w:val="18"/>
    </w:rPr>
  </w:style>
  <w:style w:type="character" w:customStyle="1" w:styleId="15">
    <w:name w:val="15"/>
    <w:basedOn w:val="8"/>
    <w:qFormat/>
    <w:uiPriority w:val="0"/>
    <w:rPr>
      <w:rFonts w:hint="default" w:ascii="Times New Roman" w:hAnsi="Times New Roman" w:cs="Times New Roman"/>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页脚 Char Char Char"/>
    <w:link w:val="4"/>
    <w:qFormat/>
    <w:uiPriority w:val="99"/>
    <w:rPr>
      <w:kern w:val="2"/>
      <w:sz w:val="18"/>
      <w:szCs w:val="18"/>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批注框文本 Char Char Char"/>
    <w:link w:val="3"/>
    <w:qFormat/>
    <w:uiPriority w:val="99"/>
    <w:rPr>
      <w:kern w:val="2"/>
      <w:sz w:val="18"/>
      <w:szCs w:val="18"/>
    </w:rPr>
  </w:style>
  <w:style w:type="character" w:customStyle="1" w:styleId="20">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46</Pages>
  <Words>13694</Words>
  <Characters>17249</Characters>
  <Lines>60</Lines>
  <Paragraphs>16</Paragraphs>
  <TotalTime>35</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李阳</cp:lastModifiedBy>
  <cp:lastPrinted>2023-05-11T08:25:00Z</cp:lastPrinted>
  <dcterms:modified xsi:type="dcterms:W3CDTF">2023-05-22T15:19:25Z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AD223F4F9DC141FABB545A49C47556B3</vt:lpwstr>
  </property>
</Properties>
</file>