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许昌市卫生健康委员会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许昌市卫生健康委员会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许昌市卫生健康委员会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pStyle w:val="8"/>
        <w:ind w:firstLine="640"/>
        <w:jc w:val="left"/>
        <w:rPr>
          <w:rFonts w:ascii="仿宋_GB2312" w:eastAsia="仿宋_GB2312"/>
          <w:sz w:val="32"/>
          <w:szCs w:val="32"/>
        </w:rPr>
      </w:pPr>
      <w:r>
        <w:rPr>
          <w:rFonts w:hint="eastAsia" w:ascii="仿宋_GB2312" w:eastAsia="仿宋_GB2312"/>
          <w:sz w:val="32"/>
          <w:szCs w:val="32"/>
        </w:rPr>
        <w:t>许昌市卫生健康委员会贯彻落实党中央关于卫生健康工作的方针政策和省委、市委决策部署，在履行职责过程中坚持和加强党对卫生健康工作的集中统一领导。主要职责是：</w:t>
      </w:r>
    </w:p>
    <w:p>
      <w:pPr>
        <w:pStyle w:val="8"/>
        <w:ind w:firstLine="640"/>
        <w:jc w:val="left"/>
        <w:rPr>
          <w:rFonts w:hint="eastAsia" w:ascii="仿宋_GB2312" w:eastAsia="仿宋_GB2312"/>
          <w:sz w:val="32"/>
          <w:szCs w:val="32"/>
        </w:rPr>
      </w:pPr>
      <w:r>
        <w:rPr>
          <w:rFonts w:hint="eastAsia" w:ascii="仿宋_GB2312" w:eastAsia="仿宋_GB2312"/>
          <w:sz w:val="32"/>
          <w:szCs w:val="32"/>
        </w:rPr>
        <w:t>（一）贯彻执行党和国家国民健康政策，执行党和国家、省卫生健康事业发展法律法规、政府规章、政策、规划，负责起草全市卫生健康、中医药事业发展的规范性文件，拟订卫生健康地方标准和技术规范。统筹规划全市卫生健康资源配置，指导全市卫生健康规划编制和实施。制订推进全市卫生健康基本公共服务均等化、普惠化、便携化和公共资源向基层延伸等措施并组织实施。</w:t>
      </w:r>
    </w:p>
    <w:p>
      <w:pPr>
        <w:pStyle w:val="8"/>
        <w:ind w:firstLine="640"/>
        <w:jc w:val="left"/>
        <w:rPr>
          <w:rFonts w:hint="eastAsia" w:ascii="仿宋_GB2312" w:eastAsia="仿宋_GB2312"/>
          <w:sz w:val="32"/>
          <w:szCs w:val="32"/>
        </w:rPr>
      </w:pPr>
      <w:r>
        <w:rPr>
          <w:rFonts w:hint="eastAsia" w:ascii="仿宋_GB2312" w:eastAsia="仿宋_GB2312"/>
          <w:sz w:val="32"/>
          <w:szCs w:val="32"/>
        </w:rPr>
        <w:t>（二）协调推进深化医药卫生体制改革，研究提出全市深化医药卫生体制改革重大决策、措施的建议。组织深化公立医院综合改革，推进管办分离，健全现代医院管理制度，组织实施国家及省、市推动卫生健康公共服务提供主体多元化、提供方式多样化的政策措施，提出医疗服务和药品价格的有关建议。</w:t>
      </w:r>
    </w:p>
    <w:p>
      <w:pPr>
        <w:pStyle w:val="8"/>
        <w:ind w:firstLine="640"/>
        <w:jc w:val="left"/>
        <w:rPr>
          <w:rFonts w:hint="eastAsia" w:ascii="仿宋_GB2312" w:eastAsia="仿宋_GB2312"/>
          <w:sz w:val="32"/>
          <w:szCs w:val="32"/>
        </w:rPr>
      </w:pPr>
      <w:r>
        <w:rPr>
          <w:rFonts w:hint="eastAsia" w:ascii="仿宋_GB2312" w:eastAsia="仿宋_GB2312"/>
          <w:sz w:val="32"/>
          <w:szCs w:val="32"/>
        </w:rPr>
        <w:t>（三）拟订并组织落实全市疾病预防控制规划、免疫规划以及危害人民健康公共卫生问题的干预措施。负责全市卫生应急工作，组织指导全市突发公共卫生事件的预防控制和各类突发公共事件的医疗卫生救援。发布法定报告传染病疫情信息、突发公共卫生事件应急处置信息。</w:t>
      </w:r>
    </w:p>
    <w:p>
      <w:pPr>
        <w:pStyle w:val="8"/>
        <w:ind w:firstLine="640"/>
        <w:jc w:val="left"/>
        <w:rPr>
          <w:rFonts w:hint="eastAsia" w:ascii="仿宋_GB2312" w:eastAsia="仿宋_GB2312"/>
          <w:sz w:val="32"/>
          <w:szCs w:val="32"/>
        </w:rPr>
      </w:pPr>
      <w:r>
        <w:rPr>
          <w:rFonts w:hint="eastAsia" w:ascii="仿宋_GB2312" w:eastAsia="仿宋_GB2312"/>
          <w:sz w:val="32"/>
          <w:szCs w:val="32"/>
        </w:rPr>
        <w:t>（四）拟订并协调落实应对人口老龄化措施，负责推进老年健康服务体系建设和医养结合工作。</w:t>
      </w:r>
    </w:p>
    <w:p>
      <w:pPr>
        <w:pStyle w:val="8"/>
        <w:ind w:firstLine="640"/>
        <w:jc w:val="left"/>
        <w:rPr>
          <w:rFonts w:hint="eastAsia" w:ascii="仿宋_GB2312" w:eastAsia="仿宋_GB2312"/>
          <w:sz w:val="32"/>
          <w:szCs w:val="32"/>
        </w:rPr>
      </w:pPr>
      <w:r>
        <w:rPr>
          <w:rFonts w:hint="eastAsia" w:ascii="仿宋_GB2312" w:eastAsia="仿宋_GB2312"/>
          <w:sz w:val="32"/>
          <w:szCs w:val="32"/>
        </w:rPr>
        <w:t>（五）贯彻落实国家药物政策和国家基本药物制度，开展药品使用监测、临床综合评价和短缺药品预警。组织开展食品安全风险监测评估，组织拟订食品安全地方标准。</w:t>
      </w:r>
    </w:p>
    <w:p>
      <w:pPr>
        <w:pStyle w:val="8"/>
        <w:ind w:firstLine="640"/>
        <w:jc w:val="left"/>
        <w:rPr>
          <w:rFonts w:hint="eastAsia" w:ascii="仿宋_GB2312" w:eastAsia="仿宋_GB2312"/>
          <w:sz w:val="32"/>
          <w:szCs w:val="32"/>
        </w:rPr>
      </w:pPr>
      <w:r>
        <w:rPr>
          <w:rFonts w:hint="eastAsia" w:ascii="仿宋_GB2312" w:eastAsia="仿宋_GB2312"/>
          <w:sz w:val="32"/>
          <w:szCs w:val="32"/>
        </w:rPr>
        <w:t>（六）负责执行职责范围内的职业卫生、放射卫生、环境卫生、学校卫生、公共场所卫生、饮用水卫生等公共卫生的监督管理，负责传染病防治监督，健全卫生健康综合监督体系。</w:t>
      </w:r>
    </w:p>
    <w:p>
      <w:pPr>
        <w:pStyle w:val="8"/>
        <w:ind w:firstLine="640"/>
        <w:jc w:val="left"/>
        <w:rPr>
          <w:rFonts w:hint="eastAsia" w:ascii="仿宋_GB2312" w:eastAsia="仿宋_GB2312"/>
          <w:sz w:val="32"/>
          <w:szCs w:val="32"/>
        </w:rPr>
      </w:pPr>
      <w:r>
        <w:rPr>
          <w:rFonts w:hint="eastAsia" w:ascii="仿宋_GB2312" w:eastAsia="仿宋_GB2312"/>
          <w:sz w:val="32"/>
          <w:szCs w:val="32"/>
        </w:rPr>
        <w:t>（七）拟订全市医疗机构、医疗服务行业、采供血机构管理办法并监督实施，建立医疗服务评价和监督管理体系。会同有关部门贯彻执行国家、省卫生健康专业技术人员资格标准，拟订医疗服务规范、标准和卫生健康专业技术人员职业规则、服务规范并组织实施。</w:t>
      </w:r>
    </w:p>
    <w:p>
      <w:pPr>
        <w:pStyle w:val="8"/>
        <w:ind w:firstLine="640"/>
        <w:jc w:val="left"/>
        <w:rPr>
          <w:rFonts w:hint="eastAsia" w:ascii="仿宋_GB2312" w:eastAsia="仿宋_GB2312"/>
          <w:sz w:val="32"/>
          <w:szCs w:val="32"/>
        </w:rPr>
      </w:pPr>
      <w:r>
        <w:rPr>
          <w:rFonts w:hint="eastAsia" w:ascii="仿宋_GB2312" w:eastAsia="仿宋_GB2312"/>
          <w:sz w:val="32"/>
          <w:szCs w:val="32"/>
        </w:rPr>
        <w:t>（八）负责计划生育管理和服务工作，开展人口监测预警，研究提出全市人口与家庭发展相关意见和建议。</w:t>
      </w:r>
    </w:p>
    <w:p>
      <w:pPr>
        <w:pStyle w:val="8"/>
        <w:ind w:firstLine="640"/>
        <w:jc w:val="left"/>
        <w:rPr>
          <w:rFonts w:hint="eastAsia" w:ascii="仿宋_GB2312" w:eastAsia="仿宋_GB2312"/>
          <w:sz w:val="32"/>
          <w:szCs w:val="32"/>
        </w:rPr>
      </w:pPr>
      <w:r>
        <w:rPr>
          <w:rFonts w:hint="eastAsia" w:ascii="仿宋_GB2312" w:eastAsia="仿宋_GB2312"/>
          <w:sz w:val="32"/>
          <w:szCs w:val="32"/>
        </w:rPr>
        <w:t>（九）指导全市基层医疗卫生、妇幼健康服务体系建设。贯彻落实国家、省计划生育政策,制订并组织落实人口出生缺陷干预措施，减少新生儿先天性疾病发生率。负责全市卫生健康宣传、健康教育和健康促进工作。加强全科医生队伍建设。推进全市卫生健康科技创新发展。</w:t>
      </w:r>
    </w:p>
    <w:p>
      <w:pPr>
        <w:pStyle w:val="8"/>
        <w:ind w:firstLine="640"/>
        <w:jc w:val="left"/>
        <w:rPr>
          <w:rFonts w:hint="eastAsia" w:ascii="仿宋_GB2312" w:eastAsia="仿宋_GB2312"/>
          <w:sz w:val="32"/>
          <w:szCs w:val="32"/>
        </w:rPr>
      </w:pPr>
      <w:r>
        <w:rPr>
          <w:rFonts w:hint="eastAsia" w:ascii="仿宋_GB2312" w:eastAsia="仿宋_GB2312"/>
          <w:sz w:val="32"/>
          <w:szCs w:val="32"/>
        </w:rPr>
        <w:t>（十）负责市保健对象的医疗保健工作，负责在许昌市召开的国际性、国家和省、市重要会议与重大活动的医疗卫生保障工作。承办市委、市政府委托或指定的有关保健医疗方面的工作任务及相关事项。</w:t>
      </w:r>
    </w:p>
    <w:p>
      <w:pPr>
        <w:pStyle w:val="8"/>
        <w:ind w:firstLine="640"/>
        <w:jc w:val="left"/>
        <w:rPr>
          <w:rFonts w:hint="eastAsia" w:ascii="仿宋_GB2312" w:eastAsia="仿宋_GB2312"/>
          <w:sz w:val="32"/>
          <w:szCs w:val="32"/>
        </w:rPr>
      </w:pPr>
      <w:r>
        <w:rPr>
          <w:rFonts w:hint="eastAsia" w:ascii="仿宋_GB2312" w:eastAsia="仿宋_GB2312"/>
          <w:sz w:val="32"/>
          <w:szCs w:val="32"/>
        </w:rPr>
        <w:t>（十一）负责中医管理工作，拟订全市中医药事业中长期发展规划。</w:t>
      </w:r>
    </w:p>
    <w:p>
      <w:pPr>
        <w:pStyle w:val="8"/>
        <w:ind w:firstLine="640"/>
        <w:jc w:val="left"/>
        <w:rPr>
          <w:rFonts w:hint="eastAsia" w:ascii="仿宋_GB2312" w:eastAsia="仿宋_GB2312"/>
          <w:sz w:val="32"/>
          <w:szCs w:val="32"/>
        </w:rPr>
      </w:pPr>
      <w:r>
        <w:rPr>
          <w:rFonts w:hint="eastAsia" w:ascii="仿宋_GB2312" w:eastAsia="仿宋_GB2312"/>
          <w:sz w:val="32"/>
          <w:szCs w:val="32"/>
        </w:rPr>
        <w:t>（十二）承担许昌市爱国卫生运动委员会、许昌市艾滋病防治工作委员会、许昌市深化医药卫生体制改革领导小组、许昌市人口和计划生育工作领导小组、许昌市老龄工作委员会、许昌市保健委员会的日常工作。指导许昌市计划生育协会的业务工作。</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（十三）完成市委、市政府交办的其他事项。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许昌市卫生健康委员会</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个，包括：</w:t>
      </w:r>
      <w:r>
        <w:rPr>
          <w:rFonts w:hint="eastAsia" w:ascii="仿宋_GB2312" w:eastAsia="仿宋_GB2312"/>
          <w:sz w:val="32"/>
          <w:szCs w:val="32"/>
        </w:rPr>
        <w:t>办公室（宣传科）、人事科教与合作交流科、财务科、规划发展与信息化工作科（爱国卫生运动委员会办公室）、体制改革科、疾病预防控制科（卫生应急办公室）、医政医管科、中医科、基层卫生健康科、综合监督与法规科、药物政策与基本药物制度科、妇幼健康科、职业健康科、人口监测与家庭发展科、老龄健康科（保健科，离退休干部工作科）、政务服务科</w:t>
      </w:r>
      <w:r>
        <w:rPr>
          <w:rFonts w:hint="eastAsia" w:ascii="仿宋_GB2312" w:hAnsi="仿宋_GB2312" w:eastAsia="仿宋_GB2312" w:cs="仿宋_GB2312"/>
          <w:kern w:val="0"/>
          <w:sz w:val="32"/>
          <w:szCs w:val="32"/>
          <w:highlight w:val="none"/>
        </w:rPr>
        <w:t>（等共</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个）。另设有</w:t>
      </w:r>
      <w:r>
        <w:rPr>
          <w:rFonts w:hint="eastAsia" w:ascii="仿宋_GB2312" w:hAnsi="仿宋_GB2312" w:eastAsia="仿宋_GB2312" w:cs="仿宋_GB2312"/>
          <w:kern w:val="0"/>
          <w:sz w:val="32"/>
          <w:szCs w:val="32"/>
          <w:highlight w:val="none"/>
          <w:lang w:val="en-US" w:eastAsia="zh-CN"/>
        </w:rPr>
        <w:t>机关党委</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许昌市卫生健康委员会</w:t>
      </w:r>
      <w:r>
        <w:rPr>
          <w:rFonts w:hint="eastAsia" w:ascii="仿宋_GB2312" w:hAnsi="仿宋_GB2312" w:eastAsia="仿宋_GB2312" w:cs="仿宋_GB2312"/>
          <w:kern w:val="0"/>
          <w:sz w:val="32"/>
          <w:szCs w:val="32"/>
          <w:highlight w:val="none"/>
        </w:rPr>
        <w:t>部门决</w:t>
      </w:r>
      <w:r>
        <w:rPr>
          <w:rFonts w:hint="eastAsia" w:ascii="仿宋_GB2312" w:hAnsi="仿宋_GB2312" w:eastAsia="仿宋_GB2312" w:cs="仿宋_GB2312"/>
          <w:kern w:val="0"/>
          <w:sz w:val="32"/>
          <w:szCs w:val="32"/>
          <w:highlight w:val="none"/>
          <w:lang w:val="en-US" w:eastAsia="zh-CN"/>
        </w:rPr>
        <w:t>算包</w:t>
      </w:r>
      <w:r>
        <w:rPr>
          <w:rFonts w:hint="eastAsia" w:ascii="仿宋_GB2312" w:hAnsi="仿宋_GB2312" w:eastAsia="仿宋_GB2312" w:cs="仿宋_GB2312"/>
          <w:kern w:val="0"/>
          <w:sz w:val="32"/>
          <w:szCs w:val="32"/>
          <w:highlight w:val="none"/>
        </w:rPr>
        <w:t xml:space="preserve">括:本级决算(1个)、所属二级预算单位决算(10个)。 </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本决算为汇总决算，纳入本部门2021年度部门决算编制范围的单位共11个，</w:t>
      </w:r>
      <w:r>
        <w:rPr>
          <w:rFonts w:hint="eastAsia" w:ascii="仿宋_GB2312" w:hAnsi="仿宋_GB2312" w:eastAsia="仿宋_GB2312" w:cs="仿宋_GB2312"/>
          <w:sz w:val="32"/>
          <w:szCs w:val="32"/>
          <w:highlight w:val="none"/>
          <w:lang w:eastAsia="zh-CN"/>
        </w:rPr>
        <w:t>其中二级预算单位</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个，</w:t>
      </w:r>
      <w:bookmarkStart w:id="0" w:name="_GoBack"/>
      <w:bookmarkEnd w:id="0"/>
      <w:r>
        <w:rPr>
          <w:rFonts w:hint="eastAsia" w:ascii="仿宋_GB2312" w:hAnsi="仿宋_GB2312" w:eastAsia="仿宋_GB2312" w:cs="仿宋_GB2312"/>
          <w:color w:val="auto"/>
          <w:kern w:val="0"/>
          <w:sz w:val="32"/>
          <w:szCs w:val="32"/>
          <w:highlight w:val="none"/>
          <w:lang w:val="en-US" w:eastAsia="zh-CN"/>
        </w:rPr>
        <w:t>具体是：</w:t>
      </w:r>
    </w:p>
    <w:p>
      <w:pPr>
        <w:pStyle w:val="8"/>
        <w:ind w:firstLine="640"/>
        <w:jc w:val="left"/>
        <w:rPr>
          <w:rFonts w:ascii="仿宋_GB2312" w:eastAsia="仿宋_GB2312"/>
          <w:sz w:val="32"/>
          <w:szCs w:val="32"/>
        </w:rPr>
      </w:pPr>
      <w:r>
        <w:rPr>
          <w:rFonts w:hint="eastAsia" w:ascii="仿宋_GB2312" w:eastAsia="仿宋_GB2312"/>
          <w:sz w:val="32"/>
          <w:szCs w:val="32"/>
        </w:rPr>
        <w:t>1.许昌市卫生健康委员会（本级）</w:t>
      </w:r>
    </w:p>
    <w:p>
      <w:pPr>
        <w:pStyle w:val="8"/>
        <w:ind w:firstLine="640"/>
        <w:jc w:val="left"/>
        <w:rPr>
          <w:rFonts w:hint="eastAsia" w:ascii="仿宋_GB2312" w:eastAsia="仿宋_GB2312"/>
          <w:sz w:val="32"/>
          <w:szCs w:val="32"/>
        </w:rPr>
      </w:pPr>
      <w:r>
        <w:rPr>
          <w:rFonts w:hint="eastAsia" w:ascii="仿宋_GB2312" w:eastAsia="仿宋_GB2312"/>
          <w:sz w:val="32"/>
          <w:szCs w:val="32"/>
        </w:rPr>
        <w:t>2.许昌市中心医院</w:t>
      </w:r>
    </w:p>
    <w:p>
      <w:pPr>
        <w:pStyle w:val="8"/>
        <w:ind w:firstLine="640"/>
        <w:jc w:val="left"/>
        <w:rPr>
          <w:rFonts w:hint="eastAsia" w:ascii="仿宋_GB2312" w:eastAsia="仿宋_GB2312"/>
          <w:sz w:val="32"/>
          <w:szCs w:val="32"/>
        </w:rPr>
      </w:pPr>
      <w:r>
        <w:rPr>
          <w:rFonts w:hint="eastAsia" w:ascii="仿宋_GB2312" w:eastAsia="仿宋_GB2312"/>
          <w:sz w:val="32"/>
          <w:szCs w:val="32"/>
        </w:rPr>
        <w:t>3.许昌市建安医院</w:t>
      </w:r>
    </w:p>
    <w:p>
      <w:pPr>
        <w:pStyle w:val="8"/>
        <w:ind w:firstLine="640"/>
        <w:jc w:val="left"/>
        <w:rPr>
          <w:rFonts w:hint="eastAsia" w:ascii="仿宋_GB2312" w:eastAsia="仿宋_GB2312"/>
          <w:sz w:val="32"/>
          <w:szCs w:val="32"/>
        </w:rPr>
      </w:pPr>
      <w:r>
        <w:rPr>
          <w:rFonts w:hint="eastAsia" w:ascii="仿宋_GB2312" w:eastAsia="仿宋_GB2312"/>
          <w:sz w:val="32"/>
          <w:szCs w:val="32"/>
        </w:rPr>
        <w:t>4.许昌市疾病预防控制中心</w:t>
      </w:r>
    </w:p>
    <w:p>
      <w:pPr>
        <w:pStyle w:val="8"/>
        <w:ind w:firstLine="640"/>
        <w:jc w:val="left"/>
        <w:rPr>
          <w:rFonts w:hint="eastAsia" w:ascii="仿宋_GB2312" w:eastAsia="仿宋_GB2312"/>
          <w:sz w:val="32"/>
          <w:szCs w:val="32"/>
        </w:rPr>
      </w:pPr>
      <w:r>
        <w:rPr>
          <w:rFonts w:hint="eastAsia" w:ascii="仿宋_GB2312" w:eastAsia="仿宋_GB2312"/>
          <w:sz w:val="32"/>
          <w:szCs w:val="32"/>
        </w:rPr>
        <w:t>5.许昌市妇幼保健院</w:t>
      </w:r>
    </w:p>
    <w:p>
      <w:pPr>
        <w:pStyle w:val="8"/>
        <w:ind w:firstLine="640"/>
        <w:jc w:val="left"/>
        <w:rPr>
          <w:rFonts w:hint="eastAsia" w:ascii="仿宋_GB2312" w:eastAsia="仿宋_GB2312"/>
          <w:sz w:val="32"/>
          <w:szCs w:val="32"/>
        </w:rPr>
      </w:pPr>
      <w:r>
        <w:rPr>
          <w:rFonts w:hint="eastAsia" w:ascii="仿宋_GB2312" w:eastAsia="仿宋_GB2312"/>
          <w:sz w:val="32"/>
          <w:szCs w:val="32"/>
        </w:rPr>
        <w:t>6、许昌市传染病医院</w:t>
      </w:r>
    </w:p>
    <w:p>
      <w:pPr>
        <w:pStyle w:val="8"/>
        <w:ind w:firstLine="640"/>
        <w:jc w:val="left"/>
        <w:rPr>
          <w:rFonts w:hint="eastAsia" w:ascii="仿宋_GB2312" w:eastAsia="仿宋_GB2312"/>
          <w:sz w:val="32"/>
          <w:szCs w:val="32"/>
        </w:rPr>
      </w:pPr>
      <w:r>
        <w:rPr>
          <w:rFonts w:hint="eastAsia" w:ascii="仿宋_GB2312" w:eastAsia="仿宋_GB2312"/>
          <w:sz w:val="32"/>
          <w:szCs w:val="32"/>
        </w:rPr>
        <w:t>7.许昌市卫生计生监督局</w:t>
      </w:r>
    </w:p>
    <w:p>
      <w:pPr>
        <w:pStyle w:val="8"/>
        <w:ind w:firstLine="640"/>
        <w:jc w:val="left"/>
        <w:rPr>
          <w:rFonts w:hint="eastAsia" w:ascii="仿宋_GB2312" w:eastAsia="仿宋_GB2312"/>
          <w:sz w:val="32"/>
          <w:szCs w:val="32"/>
        </w:rPr>
      </w:pPr>
      <w:r>
        <w:rPr>
          <w:rFonts w:hint="eastAsia" w:ascii="仿宋_GB2312" w:eastAsia="仿宋_GB2312"/>
          <w:sz w:val="32"/>
          <w:szCs w:val="32"/>
        </w:rPr>
        <w:t>8.许昌市120急救中心</w:t>
      </w:r>
    </w:p>
    <w:p>
      <w:pPr>
        <w:pStyle w:val="8"/>
        <w:ind w:firstLine="640"/>
        <w:jc w:val="left"/>
        <w:rPr>
          <w:rFonts w:hint="eastAsia" w:ascii="仿宋_GB2312" w:eastAsia="仿宋_GB2312"/>
          <w:sz w:val="32"/>
          <w:szCs w:val="32"/>
        </w:rPr>
      </w:pPr>
      <w:r>
        <w:rPr>
          <w:rFonts w:hint="eastAsia" w:ascii="仿宋_GB2312" w:eastAsia="仿宋_GB2312"/>
          <w:sz w:val="32"/>
          <w:szCs w:val="32"/>
        </w:rPr>
        <w:t>9.许昌市计划生育药具站</w:t>
      </w:r>
    </w:p>
    <w:p>
      <w:pPr>
        <w:pStyle w:val="8"/>
        <w:ind w:firstLine="640"/>
        <w:jc w:val="left"/>
        <w:rPr>
          <w:rFonts w:hint="eastAsia" w:ascii="仿宋_GB2312" w:eastAsia="仿宋_GB2312"/>
          <w:sz w:val="32"/>
          <w:szCs w:val="32"/>
        </w:rPr>
      </w:pPr>
      <w:r>
        <w:rPr>
          <w:rFonts w:hint="eastAsia" w:ascii="仿宋_GB2312" w:eastAsia="仿宋_GB2312"/>
          <w:sz w:val="32"/>
          <w:szCs w:val="32"/>
        </w:rPr>
        <w:t>10.许昌市中心血站</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eastAsia="仿宋_GB2312"/>
          <w:sz w:val="32"/>
          <w:szCs w:val="32"/>
        </w:rPr>
        <w:t>11.许昌市红十字会</w:t>
      </w: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41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533"/>
        <w:gridCol w:w="30"/>
        <w:gridCol w:w="742"/>
        <w:gridCol w:w="2220"/>
        <w:gridCol w:w="139"/>
        <w:gridCol w:w="3761"/>
        <w:gridCol w:w="327"/>
        <w:gridCol w:w="555"/>
        <w:gridCol w:w="382"/>
        <w:gridCol w:w="2393"/>
        <w:gridCol w:w="26"/>
      </w:tblGrid>
      <w:tr>
        <w:trPr>
          <w:trHeight w:val="390" w:hRule="atLeast"/>
        </w:trPr>
        <w:tc>
          <w:tcPr>
            <w:tcW w:w="14108"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rPr>
          <w:trHeight w:val="285" w:hRule="atLeast"/>
        </w:trPr>
        <w:tc>
          <w:tcPr>
            <w:tcW w:w="6664" w:type="dxa"/>
            <w:gridSpan w:val="5"/>
            <w:vAlign w:val="bottom"/>
          </w:tcPr>
          <w:p>
            <w:pPr>
              <w:autoSpaceDN w:val="0"/>
              <w:jc w:val="left"/>
              <w:textAlignment w:val="bottom"/>
              <w:rPr>
                <w:rFonts w:hint="default" w:ascii="Arial" w:hAnsi="宋体"/>
                <w:b w:val="0"/>
                <w:i w:val="0"/>
                <w:color w:val="000000"/>
                <w:sz w:val="20"/>
                <w:u w:val="none"/>
              </w:rPr>
            </w:pPr>
          </w:p>
        </w:tc>
        <w:tc>
          <w:tcPr>
            <w:tcW w:w="7444" w:type="dxa"/>
            <w:gridSpan w:val="6"/>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rPr>
          <w:trHeight w:val="285" w:hRule="atLeast"/>
        </w:trPr>
        <w:tc>
          <w:tcPr>
            <w:tcW w:w="6664"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7444" w:type="dxa"/>
            <w:gridSpan w:val="6"/>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6664" w:type="dxa"/>
            <w:gridSpan w:val="5"/>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收入</w:t>
            </w:r>
          </w:p>
        </w:tc>
        <w:tc>
          <w:tcPr>
            <w:tcW w:w="7444" w:type="dxa"/>
            <w:gridSpan w:val="6"/>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支出</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金额</w:t>
            </w: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金额</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一、一般公共预算财政拨款收入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12,096.28</w:t>
            </w: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一、一般公共服务支出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32</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35.87</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二、政府性基金预算财政拨款收入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二、外交支出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三、国有资本经营预算财政拨款收入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三、国防支出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34</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四、上级补助收入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四、公共安全支出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五、事业收入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136,298.54</w:t>
            </w: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五、教育支出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36</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六、经营收入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六、科学技术支出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37</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1.00</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七、附属单位上缴收入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七、文化旅游体育与传媒支出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38</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八、其他收入</w:t>
            </w: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496.67</w:t>
            </w: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八、社会保障和就业支出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858.21</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九、卫生健康支出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40</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157,070.91</w:t>
            </w: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十、节能环保支出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41</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十一、城乡社区支出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42</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十二、农林水支出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十三、交通运输支出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44</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十四、资源勘探工业信息等支出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十五、商业服务业等支出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46</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533"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7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w:t>
            </w:r>
          </w:p>
        </w:tc>
        <w:tc>
          <w:tcPr>
            <w:tcW w:w="235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4088"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十六、金融支出</w:t>
            </w:r>
          </w:p>
        </w:tc>
        <w:tc>
          <w:tcPr>
            <w:tcW w:w="93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47</w:t>
            </w:r>
          </w:p>
        </w:tc>
        <w:tc>
          <w:tcPr>
            <w:tcW w:w="2419"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十七、援助其他地区支出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十八、自然资源海洋气象等支出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49</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十九、住房保障支出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50</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二十、粮油物资储备支出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51</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二十一、国有资本经营预算支出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52</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二十二、灾害防治及应急管理支出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53</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二十三、其他支出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54</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1,494.89</w:t>
            </w: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24</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二十四、债务还本支出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55</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25</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二十五、债务付息支出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56</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26</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二十六、抗疫特别国债安排的支出</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57</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本年收入合计</w:t>
            </w: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27</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148,891.48</w:t>
            </w: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本年支出合计</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159,460.88</w:t>
            </w: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使用非财政拨款结余</w:t>
            </w: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28</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结余分配</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59</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280.95</w:t>
            </w: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年初结转和结余</w:t>
            </w: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15,242.74</w:t>
            </w: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年末结转和结余</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60</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4,392.39</w:t>
            </w: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74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61</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r>
      <w:tr>
        <w:trPr>
          <w:gridAfter w:val="1"/>
          <w:wAfter w:w="26" w:type="dxa"/>
          <w:trHeight w:val="300" w:hRule="atLeast"/>
        </w:trPr>
        <w:tc>
          <w:tcPr>
            <w:tcW w:w="3563"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742" w:type="dxa"/>
            <w:tcBorders>
              <w:bottom w:val="single" w:color="000000" w:sz="8"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w:t>
            </w:r>
          </w:p>
        </w:tc>
        <w:tc>
          <w:tcPr>
            <w:tcW w:w="2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164,134.22</w:t>
            </w:r>
          </w:p>
        </w:tc>
        <w:tc>
          <w:tcPr>
            <w:tcW w:w="3900"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88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62</w:t>
            </w:r>
          </w:p>
        </w:tc>
        <w:tc>
          <w:tcPr>
            <w:tcW w:w="277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164,134.22</w:t>
            </w:r>
          </w:p>
        </w:tc>
      </w:tr>
      <w:tr>
        <w:trPr>
          <w:gridAfter w:val="1"/>
          <w:wAfter w:w="26" w:type="dxa"/>
          <w:trHeight w:val="300" w:hRule="atLeast"/>
        </w:trPr>
        <w:tc>
          <w:tcPr>
            <w:tcW w:w="14082"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4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75"/>
        <w:gridCol w:w="990"/>
        <w:gridCol w:w="990"/>
        <w:gridCol w:w="2850"/>
        <w:gridCol w:w="1470"/>
        <w:gridCol w:w="1425"/>
        <w:gridCol w:w="945"/>
        <w:gridCol w:w="1455"/>
        <w:gridCol w:w="917"/>
        <w:gridCol w:w="152"/>
        <w:gridCol w:w="731"/>
        <w:gridCol w:w="169"/>
        <w:gridCol w:w="1575"/>
        <w:gridCol w:w="17"/>
      </w:tblGrid>
      <w:tr>
        <w:trPr>
          <w:trHeight w:val="390" w:hRule="atLeast"/>
        </w:trPr>
        <w:tc>
          <w:tcPr>
            <w:tcW w:w="14061" w:type="dxa"/>
            <w:gridSpan w:val="14"/>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rPr>
          <w:trHeight w:val="285" w:hRule="atLeast"/>
        </w:trPr>
        <w:tc>
          <w:tcPr>
            <w:tcW w:w="375"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2850" w:type="dxa"/>
            <w:vAlign w:val="bottom"/>
          </w:tcPr>
          <w:p>
            <w:pPr>
              <w:autoSpaceDN w:val="0"/>
              <w:jc w:val="left"/>
              <w:textAlignment w:val="bottom"/>
              <w:rPr>
                <w:rFonts w:hint="default" w:ascii="Arial" w:hAnsi="宋体"/>
                <w:b w:val="0"/>
                <w:i w:val="0"/>
                <w:color w:val="000000"/>
                <w:sz w:val="20"/>
                <w:u w:val="none"/>
              </w:rPr>
            </w:pPr>
          </w:p>
        </w:tc>
        <w:tc>
          <w:tcPr>
            <w:tcW w:w="1470" w:type="dxa"/>
            <w:vAlign w:val="bottom"/>
          </w:tcPr>
          <w:p>
            <w:pPr>
              <w:autoSpaceDN w:val="0"/>
              <w:jc w:val="left"/>
              <w:textAlignment w:val="bottom"/>
              <w:rPr>
                <w:rFonts w:hint="default" w:ascii="Arial" w:hAnsi="宋体"/>
                <w:b w:val="0"/>
                <w:i w:val="0"/>
                <w:color w:val="000000"/>
                <w:sz w:val="20"/>
                <w:u w:val="none"/>
              </w:rPr>
            </w:pPr>
          </w:p>
        </w:tc>
        <w:tc>
          <w:tcPr>
            <w:tcW w:w="1425" w:type="dxa"/>
            <w:vAlign w:val="bottom"/>
          </w:tcPr>
          <w:p>
            <w:pPr>
              <w:autoSpaceDN w:val="0"/>
              <w:jc w:val="left"/>
              <w:textAlignment w:val="bottom"/>
              <w:rPr>
                <w:rFonts w:hint="default" w:ascii="Arial" w:hAnsi="宋体"/>
                <w:b w:val="0"/>
                <w:i w:val="0"/>
                <w:color w:val="000000"/>
                <w:sz w:val="20"/>
                <w:u w:val="none"/>
              </w:rPr>
            </w:pPr>
          </w:p>
        </w:tc>
        <w:tc>
          <w:tcPr>
            <w:tcW w:w="945" w:type="dxa"/>
            <w:vAlign w:val="bottom"/>
          </w:tcPr>
          <w:p>
            <w:pPr>
              <w:autoSpaceDN w:val="0"/>
              <w:jc w:val="left"/>
              <w:textAlignment w:val="bottom"/>
              <w:rPr>
                <w:rFonts w:hint="default" w:ascii="Arial" w:hAnsi="宋体"/>
                <w:b w:val="0"/>
                <w:i w:val="0"/>
                <w:color w:val="000000"/>
                <w:sz w:val="20"/>
                <w:u w:val="none"/>
              </w:rPr>
            </w:pPr>
          </w:p>
        </w:tc>
        <w:tc>
          <w:tcPr>
            <w:tcW w:w="5016" w:type="dxa"/>
            <w:gridSpan w:val="7"/>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rPr>
          <w:trHeight w:val="285" w:hRule="atLeast"/>
        </w:trPr>
        <w:tc>
          <w:tcPr>
            <w:tcW w:w="9045"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5016" w:type="dxa"/>
            <w:gridSpan w:val="7"/>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5205"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47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本年收入合计</w:t>
            </w:r>
          </w:p>
        </w:tc>
        <w:tc>
          <w:tcPr>
            <w:tcW w:w="142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财政拨款收入</w:t>
            </w:r>
          </w:p>
        </w:tc>
        <w:tc>
          <w:tcPr>
            <w:tcW w:w="94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上级补助收入</w:t>
            </w:r>
          </w:p>
        </w:tc>
        <w:tc>
          <w:tcPr>
            <w:tcW w:w="145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事业收入</w:t>
            </w:r>
          </w:p>
        </w:tc>
        <w:tc>
          <w:tcPr>
            <w:tcW w:w="917"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经营收入</w:t>
            </w:r>
          </w:p>
        </w:tc>
        <w:tc>
          <w:tcPr>
            <w:tcW w:w="883" w:type="dxa"/>
            <w:gridSpan w:val="2"/>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附属单位上缴收入</w:t>
            </w:r>
          </w:p>
        </w:tc>
        <w:tc>
          <w:tcPr>
            <w:tcW w:w="1761" w:type="dxa"/>
            <w:gridSpan w:val="3"/>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其他收入</w:t>
            </w:r>
          </w:p>
        </w:tc>
      </w:tr>
      <w:tr>
        <w:trPr>
          <w:trHeight w:val="300" w:hRule="atLeast"/>
        </w:trPr>
        <w:tc>
          <w:tcPr>
            <w:tcW w:w="2355" w:type="dxa"/>
            <w:gridSpan w:val="3"/>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285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4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2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5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1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883"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761" w:type="dxa"/>
            <w:gridSpan w:val="3"/>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2355" w:type="dxa"/>
            <w:gridSpan w:val="3"/>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85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4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2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5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1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883"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761" w:type="dxa"/>
            <w:gridSpan w:val="3"/>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2355" w:type="dxa"/>
            <w:gridSpan w:val="3"/>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85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4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2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5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1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883"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761" w:type="dxa"/>
            <w:gridSpan w:val="3"/>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5205" w:type="dxa"/>
            <w:gridSpan w:val="4"/>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47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42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94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45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917"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883"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1761" w:type="dxa"/>
            <w:gridSpan w:val="3"/>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r>
      <w:tr>
        <w:trPr>
          <w:trHeight w:val="300" w:hRule="atLeast"/>
        </w:trPr>
        <w:tc>
          <w:tcPr>
            <w:tcW w:w="5205" w:type="dxa"/>
            <w:gridSpan w:val="4"/>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47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148,891.48</w:t>
            </w:r>
          </w:p>
        </w:tc>
        <w:tc>
          <w:tcPr>
            <w:tcW w:w="142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12,096.28</w:t>
            </w:r>
          </w:p>
        </w:tc>
        <w:tc>
          <w:tcPr>
            <w:tcW w:w="94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45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136,298.54</w:t>
            </w:r>
          </w:p>
        </w:tc>
        <w:tc>
          <w:tcPr>
            <w:tcW w:w="917"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883"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761"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496.67</w:t>
            </w: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27.10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726.61</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726.61</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573.13</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573.13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209.70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209.70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324.50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324.50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36.26</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36.26</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机关事业单位职业年金缴费支出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45.72</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45.72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45.72</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45.72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红十字事业</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107.75</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107.75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1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61"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82.24</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82.24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12.52</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其他红十字事业支出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148,137.78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11,342.57</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136,298.54</w:t>
            </w: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496.67</w:t>
            </w: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1,491.59</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1,491.59</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1,464.25</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1,464.25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27.34</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27.34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公立医院</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139,126.18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2,330.98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136,298.54</w:t>
            </w: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496.67</w:t>
            </w: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综合医院</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118,375.33</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1,225.45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117,149.87</w:t>
            </w: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2100203</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传染病医院</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2100205</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精神病医院</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6,865.08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314.10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6,054.31</w:t>
            </w: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496.67</w:t>
            </w: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妇幼保健医院</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13,325.58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231.23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13,094.35</w:t>
            </w: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其他公立医院支出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558.40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558.40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基层医疗卫生机构</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其他基层医疗卫生机构支出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6,838.88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6,838.88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疾病预防控制机构</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3,340.33</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3,340.33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卫生监督机构</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291.91</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291.91</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采供血机构</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1,978.28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1,978.28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440.70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440.70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重大公共卫生服务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644.02</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644.02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其他公共卫生支出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143.63</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143.63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中医药</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2100601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中医（民族医）药专项</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139.60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139.60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2100717</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计划生育服务</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85.13</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85.13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29.18</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29.18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15.76</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15.76</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13.41</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13.41</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其他卫生健康支出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142.40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142.40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2109999</w:t>
            </w:r>
          </w:p>
        </w:tc>
        <w:tc>
          <w:tcPr>
            <w:tcW w:w="28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其他卫生健康支出</w:t>
            </w:r>
          </w:p>
        </w:tc>
        <w:tc>
          <w:tcPr>
            <w:tcW w:w="14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142.40</w:t>
            </w:r>
          </w:p>
        </w:tc>
        <w:tc>
          <w:tcPr>
            <w:tcW w:w="14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142.40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6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7" w:type="dxa"/>
          <w:trHeight w:val="300" w:hRule="atLeast"/>
        </w:trPr>
        <w:tc>
          <w:tcPr>
            <w:tcW w:w="14044"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65"/>
        <w:gridCol w:w="3150"/>
        <w:gridCol w:w="3150"/>
        <w:gridCol w:w="1575"/>
        <w:gridCol w:w="1440"/>
        <w:gridCol w:w="990"/>
        <w:gridCol w:w="1020"/>
        <w:gridCol w:w="1089"/>
        <w:gridCol w:w="21"/>
      </w:tblGrid>
      <w:tr>
        <w:trPr>
          <w:trHeight w:val="390" w:hRule="atLeast"/>
        </w:trPr>
        <w:tc>
          <w:tcPr>
            <w:tcW w:w="14100"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rPr>
          <w:trHeight w:val="285" w:hRule="atLeast"/>
        </w:trPr>
        <w:tc>
          <w:tcPr>
            <w:tcW w:w="7965" w:type="dxa"/>
            <w:gridSpan w:val="3"/>
            <w:vAlign w:val="bottom"/>
          </w:tcPr>
          <w:p>
            <w:pPr>
              <w:autoSpaceDN w:val="0"/>
              <w:jc w:val="center"/>
              <w:textAlignment w:val="bottom"/>
              <w:rPr>
                <w:rFonts w:hint="default" w:ascii="Arial" w:hAnsi="宋体"/>
                <w:b w:val="0"/>
                <w:i w:val="0"/>
                <w:color w:val="000000"/>
                <w:sz w:val="20"/>
                <w:u w:val="none"/>
              </w:rPr>
            </w:pPr>
          </w:p>
        </w:tc>
        <w:tc>
          <w:tcPr>
            <w:tcW w:w="1575" w:type="dxa"/>
            <w:vAlign w:val="bottom"/>
          </w:tcPr>
          <w:p>
            <w:pPr>
              <w:autoSpaceDN w:val="0"/>
              <w:jc w:val="left"/>
              <w:textAlignment w:val="bottom"/>
              <w:rPr>
                <w:rFonts w:hint="default" w:ascii="Arial" w:hAnsi="宋体"/>
                <w:b w:val="0"/>
                <w:i w:val="0"/>
                <w:color w:val="000000"/>
                <w:sz w:val="20"/>
                <w:u w:val="none"/>
              </w:rPr>
            </w:pPr>
          </w:p>
        </w:tc>
        <w:tc>
          <w:tcPr>
            <w:tcW w:w="1440" w:type="dxa"/>
            <w:vAlign w:val="bottom"/>
          </w:tcPr>
          <w:p>
            <w:pPr>
              <w:autoSpaceDN w:val="0"/>
              <w:jc w:val="left"/>
              <w:textAlignment w:val="bottom"/>
              <w:rPr>
                <w:rFonts w:hint="default" w:ascii="Arial" w:hAnsi="宋体"/>
                <w:b w:val="0"/>
                <w:i w:val="0"/>
                <w:color w:val="000000"/>
                <w:sz w:val="20"/>
                <w:u w:val="none"/>
              </w:rPr>
            </w:pPr>
          </w:p>
        </w:tc>
        <w:tc>
          <w:tcPr>
            <w:tcW w:w="312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rPr>
          <w:trHeight w:val="285" w:hRule="atLeast"/>
        </w:trPr>
        <w:tc>
          <w:tcPr>
            <w:tcW w:w="9540"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1440" w:type="dxa"/>
            <w:vAlign w:val="bottom"/>
          </w:tcPr>
          <w:p>
            <w:pPr>
              <w:autoSpaceDN w:val="0"/>
              <w:jc w:val="left"/>
              <w:textAlignment w:val="bottom"/>
              <w:rPr>
                <w:rFonts w:hint="default" w:ascii="Arial" w:hAnsi="宋体"/>
                <w:b w:val="0"/>
                <w:i w:val="0"/>
                <w:color w:val="000000"/>
                <w:sz w:val="20"/>
                <w:u w:val="none"/>
              </w:rPr>
            </w:pPr>
          </w:p>
        </w:tc>
        <w:tc>
          <w:tcPr>
            <w:tcW w:w="312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481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315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本年支出合计</w:t>
            </w:r>
          </w:p>
        </w:tc>
        <w:tc>
          <w:tcPr>
            <w:tcW w:w="157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144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c>
          <w:tcPr>
            <w:tcW w:w="99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上缴上级支出</w:t>
            </w:r>
          </w:p>
        </w:tc>
        <w:tc>
          <w:tcPr>
            <w:tcW w:w="102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经营支出</w:t>
            </w:r>
          </w:p>
        </w:tc>
        <w:tc>
          <w:tcPr>
            <w:tcW w:w="1110" w:type="dxa"/>
            <w:gridSpan w:val="2"/>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对附属单位补助支出</w:t>
            </w:r>
          </w:p>
        </w:tc>
      </w:tr>
      <w:tr>
        <w:trPr>
          <w:trHeight w:val="300" w:hRule="atLeast"/>
        </w:trPr>
        <w:tc>
          <w:tcPr>
            <w:tcW w:w="1665"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315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31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4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2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315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31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4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2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315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31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57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44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2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gridSpan w:val="2"/>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481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315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5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14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02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110"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r>
      <w:tr>
        <w:trPr>
          <w:trHeight w:val="300" w:hRule="atLeast"/>
        </w:trPr>
        <w:tc>
          <w:tcPr>
            <w:tcW w:w="481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315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159,460.88</w:t>
            </w:r>
          </w:p>
        </w:tc>
        <w:tc>
          <w:tcPr>
            <w:tcW w:w="157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146,612.49</w:t>
            </w:r>
          </w:p>
        </w:tc>
        <w:tc>
          <w:tcPr>
            <w:tcW w:w="144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12,848.39</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0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110"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r>
      <w:tr>
        <w:trPr>
          <w:trHeight w:val="300" w:hRule="atLeast"/>
        </w:trPr>
        <w:tc>
          <w:tcPr>
            <w:tcW w:w="1665"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201</w:t>
            </w:r>
          </w:p>
        </w:tc>
        <w:tc>
          <w:tcPr>
            <w:tcW w:w="315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一般公共服务支出</w:t>
            </w:r>
          </w:p>
        </w:tc>
        <w:tc>
          <w:tcPr>
            <w:tcW w:w="315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35.87</w:t>
            </w:r>
          </w:p>
        </w:tc>
        <w:tc>
          <w:tcPr>
            <w:tcW w:w="157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35.87</w:t>
            </w:r>
          </w:p>
        </w:tc>
        <w:tc>
          <w:tcPr>
            <w:tcW w:w="144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0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10"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科学技术支出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应用研究</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社会公益研究</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858.21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831.45</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26.76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665.63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665.63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237.11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237.11</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360.53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360.53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65.32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65.32</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机关事业单位职业年金缴费支出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红十字事业</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119.12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26.76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13.77</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其他红十字事业支出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157,070.91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145,745.18</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11,325.74</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1,694.50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公立医院</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141,737.50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140,727.25</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1,010.25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综合医院</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121,519.45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121,519.45</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2100203</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传染病医院</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2100205</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精神病医院</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6,064.51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5,868.83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195.68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妇幼保健医院</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13,360.53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13,338.98</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其他公立医院支出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791.22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791.22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基层医疗卫生机构</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其他基层医疗卫生机构支出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10,599.58</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3,333.86</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7,265.72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疾病预防控制机构</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3,573.40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2,203.80</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1,369.60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卫生监督机构</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320.91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320.91</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采供血机构</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3,818.87</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728.93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3,089.94</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512.22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512.22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重大公共卫生服务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1,406.25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1,406.25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2100410</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突发公共卫生事件应急处理</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802.64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802.64</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其他公共卫生支出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165.30</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80.22</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85.08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中医药</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中医（民族医）药专项</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1,622.41</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91.44</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2100717</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计划生育服务</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829.69</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91.44</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47.84</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44.18</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28.89</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25.23</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18.62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18.62</w:t>
            </w: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其他卫生健康支出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其他卫生健康支出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1,494.89</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1,494.89</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22904</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其他政府性基金及对应专项债务收入安排的支出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2290402</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其他地方自行试点项目收益专项债券收入安排的支出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2.78</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2299999</w:t>
            </w:r>
          </w:p>
        </w:tc>
        <w:tc>
          <w:tcPr>
            <w:tcW w:w="315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3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2.78</w:t>
            </w:r>
          </w:p>
        </w:tc>
        <w:tc>
          <w:tcPr>
            <w:tcW w:w="15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21" w:type="dxa"/>
          <w:trHeight w:val="300" w:hRule="atLeast"/>
        </w:trPr>
        <w:tc>
          <w:tcPr>
            <w:tcW w:w="14079" w:type="dxa"/>
            <w:gridSpan w:val="8"/>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98"/>
        <w:gridCol w:w="475"/>
        <w:gridCol w:w="2784"/>
        <w:gridCol w:w="2784"/>
        <w:gridCol w:w="460"/>
        <w:gridCol w:w="1190"/>
        <w:gridCol w:w="982"/>
        <w:gridCol w:w="1131"/>
        <w:gridCol w:w="1329"/>
        <w:gridCol w:w="27"/>
      </w:tblGrid>
      <w:tr>
        <w:trPr>
          <w:trHeight w:val="276" w:hRule="atLeast"/>
        </w:trPr>
        <w:tc>
          <w:tcPr>
            <w:tcW w:w="13960"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rPr>
          <w:trHeight w:val="138" w:hRule="atLeast"/>
        </w:trPr>
        <w:tc>
          <w:tcPr>
            <w:tcW w:w="2798" w:type="dxa"/>
            <w:vAlign w:val="bottom"/>
          </w:tcPr>
          <w:p>
            <w:pPr>
              <w:autoSpaceDN w:val="0"/>
              <w:jc w:val="left"/>
              <w:textAlignment w:val="bottom"/>
              <w:rPr>
                <w:rFonts w:hint="default" w:ascii="Arial" w:hAnsi="宋体"/>
                <w:b w:val="0"/>
                <w:i w:val="0"/>
                <w:color w:val="000000"/>
                <w:sz w:val="20"/>
                <w:u w:val="none"/>
              </w:rPr>
            </w:pPr>
          </w:p>
        </w:tc>
        <w:tc>
          <w:tcPr>
            <w:tcW w:w="475" w:type="dxa"/>
            <w:vAlign w:val="bottom"/>
          </w:tcPr>
          <w:p>
            <w:pPr>
              <w:autoSpaceDN w:val="0"/>
              <w:jc w:val="left"/>
              <w:textAlignment w:val="bottom"/>
              <w:rPr>
                <w:rFonts w:hint="default" w:ascii="Arial" w:hAnsi="宋体"/>
                <w:b w:val="0"/>
                <w:i w:val="0"/>
                <w:color w:val="000000"/>
                <w:sz w:val="20"/>
                <w:u w:val="none"/>
              </w:rPr>
            </w:pPr>
          </w:p>
        </w:tc>
        <w:tc>
          <w:tcPr>
            <w:tcW w:w="2784" w:type="dxa"/>
            <w:vAlign w:val="bottom"/>
          </w:tcPr>
          <w:p>
            <w:pPr>
              <w:autoSpaceDN w:val="0"/>
              <w:jc w:val="left"/>
              <w:textAlignment w:val="bottom"/>
              <w:rPr>
                <w:rFonts w:hint="default" w:ascii="Arial" w:hAnsi="宋体"/>
                <w:b w:val="0"/>
                <w:i w:val="0"/>
                <w:color w:val="000000"/>
                <w:sz w:val="20"/>
                <w:u w:val="none"/>
              </w:rPr>
            </w:pPr>
          </w:p>
        </w:tc>
        <w:tc>
          <w:tcPr>
            <w:tcW w:w="2784" w:type="dxa"/>
            <w:vAlign w:val="bottom"/>
          </w:tcPr>
          <w:p>
            <w:pPr>
              <w:autoSpaceDN w:val="0"/>
              <w:jc w:val="left"/>
              <w:textAlignment w:val="bottom"/>
              <w:rPr>
                <w:rFonts w:hint="default" w:ascii="Arial" w:hAnsi="宋体"/>
                <w:b w:val="0"/>
                <w:i w:val="0"/>
                <w:color w:val="000000"/>
                <w:sz w:val="20"/>
                <w:u w:val="none"/>
              </w:rPr>
            </w:pPr>
          </w:p>
        </w:tc>
        <w:tc>
          <w:tcPr>
            <w:tcW w:w="460" w:type="dxa"/>
            <w:vAlign w:val="bottom"/>
          </w:tcPr>
          <w:p>
            <w:pPr>
              <w:autoSpaceDN w:val="0"/>
              <w:jc w:val="left"/>
              <w:textAlignment w:val="bottom"/>
              <w:rPr>
                <w:rFonts w:hint="default" w:ascii="Arial" w:hAnsi="宋体"/>
                <w:b w:val="0"/>
                <w:i w:val="0"/>
                <w:color w:val="000000"/>
                <w:sz w:val="20"/>
                <w:u w:val="none"/>
              </w:rPr>
            </w:pPr>
          </w:p>
        </w:tc>
        <w:tc>
          <w:tcPr>
            <w:tcW w:w="1190" w:type="dxa"/>
            <w:vAlign w:val="bottom"/>
          </w:tcPr>
          <w:p>
            <w:pPr>
              <w:autoSpaceDN w:val="0"/>
              <w:jc w:val="left"/>
              <w:textAlignment w:val="bottom"/>
              <w:rPr>
                <w:rFonts w:hint="default" w:ascii="Arial" w:hAnsi="宋体"/>
                <w:b w:val="0"/>
                <w:i w:val="0"/>
                <w:color w:val="000000"/>
                <w:sz w:val="20"/>
                <w:u w:val="none"/>
              </w:rPr>
            </w:pPr>
          </w:p>
        </w:tc>
        <w:tc>
          <w:tcPr>
            <w:tcW w:w="3469"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rPr>
          <w:trHeight w:val="138" w:hRule="atLeast"/>
        </w:trPr>
        <w:tc>
          <w:tcPr>
            <w:tcW w:w="8841"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460" w:type="dxa"/>
            <w:vAlign w:val="bottom"/>
          </w:tcPr>
          <w:p>
            <w:pPr>
              <w:autoSpaceDN w:val="0"/>
              <w:jc w:val="left"/>
              <w:textAlignment w:val="bottom"/>
              <w:rPr>
                <w:rFonts w:hint="default" w:ascii="Arial" w:hAnsi="宋体"/>
                <w:b w:val="0"/>
                <w:i w:val="0"/>
                <w:color w:val="000000"/>
                <w:sz w:val="20"/>
                <w:u w:val="none"/>
              </w:rPr>
            </w:pPr>
          </w:p>
        </w:tc>
        <w:tc>
          <w:tcPr>
            <w:tcW w:w="1190" w:type="dxa"/>
            <w:vAlign w:val="bottom"/>
          </w:tcPr>
          <w:p>
            <w:pPr>
              <w:autoSpaceDN w:val="0"/>
              <w:jc w:val="left"/>
              <w:textAlignment w:val="bottom"/>
              <w:rPr>
                <w:rFonts w:hint="default" w:ascii="Arial" w:hAnsi="宋体"/>
                <w:b w:val="0"/>
                <w:i w:val="0"/>
                <w:color w:val="000000"/>
                <w:sz w:val="20"/>
                <w:u w:val="none"/>
              </w:rPr>
            </w:pPr>
          </w:p>
        </w:tc>
        <w:tc>
          <w:tcPr>
            <w:tcW w:w="3469"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142" w:hRule="atLeast"/>
        </w:trPr>
        <w:tc>
          <w:tcPr>
            <w:tcW w:w="605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收     入</w:t>
            </w:r>
          </w:p>
        </w:tc>
        <w:tc>
          <w:tcPr>
            <w:tcW w:w="7903" w:type="dxa"/>
            <w:gridSpan w:val="7"/>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支     出</w:t>
            </w:r>
          </w:p>
        </w:tc>
      </w:tr>
      <w:tr>
        <w:trPr>
          <w:trHeight w:val="312" w:hRule="atLeast"/>
        </w:trPr>
        <w:tc>
          <w:tcPr>
            <w:tcW w:w="2798"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47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278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金额</w:t>
            </w:r>
          </w:p>
        </w:tc>
        <w:tc>
          <w:tcPr>
            <w:tcW w:w="278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46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119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982"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一般公共预算财政拨款</w:t>
            </w:r>
          </w:p>
        </w:tc>
        <w:tc>
          <w:tcPr>
            <w:tcW w:w="1131"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政府性基金预算财政拨款</w:t>
            </w:r>
          </w:p>
        </w:tc>
        <w:tc>
          <w:tcPr>
            <w:tcW w:w="1356"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国有资本经营预算财政拨款</w:t>
            </w:r>
          </w:p>
        </w:tc>
      </w:tr>
      <w:tr>
        <w:trPr>
          <w:trHeight w:val="312" w:hRule="atLeast"/>
        </w:trPr>
        <w:tc>
          <w:tcPr>
            <w:tcW w:w="2798"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7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784"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784"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46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9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98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31"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356"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一、一般公共预算财政拨款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12,096.28</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一、一般公共服务支出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35.87</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35.87</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214"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二、政府性基金预算财政拨款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二、外交支出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34</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三、国有资本经营财政拨款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三、国防支出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四、公共安全支出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36</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五、教育支出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37</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六、科学技术支出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38</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1.00</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1.00</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94"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七、文化旅游体育与传媒支出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八、社会保障和就业支出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40</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858.21</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858.21</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九、卫生健康支出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41</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21,245.77</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21,245.77</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十、节能环保支出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42</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十一、城乡社区支出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十二、农林水支出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44</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十三、交通运输支出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56"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十四、资源勘探工业信息等支出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46</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十五、商业服务业等支出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47</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十六、金融支出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十七、援助其他地区支出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49</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十八、自然资源海洋气象等支出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50</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十九、住房保障支出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51</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二十、粮油物资储备支出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52</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二十一、国有资本经营预算支出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53</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二十二、灾害防治及应急管理支出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54</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二十三、其他支出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55</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1,492.12</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1,492.12</w:t>
            </w: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二十四、债务还本支出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56</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25</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二十五、债务付息支出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57</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二十六、抗疫特别国债安排的支出</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本年收入合计</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27</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12,096.28</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本年支出合计</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59</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23,632.96</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22,140.85</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1,492.12</w:t>
            </w: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年初财政拨款结转和结余</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28</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14,483.02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年末财政拨款结转和结余</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60</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2,946.33</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138.45</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2,807.88</w:t>
            </w: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一般公共预算财政拨款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10,183.02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61</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142"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政府性基金预算财政拨款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4,300.00</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62</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国有资本经营预算财政拨款</w:t>
            </w:r>
          </w:p>
        </w:tc>
        <w:tc>
          <w:tcPr>
            <w:tcW w:w="4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63</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0" w:hRule="atLeast"/>
        </w:trPr>
        <w:tc>
          <w:tcPr>
            <w:tcW w:w="2798"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475" w:type="dxa"/>
            <w:tcBorders>
              <w:bottom w:val="single" w:color="000000" w:sz="8"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32</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26,579.30</w:t>
            </w:r>
          </w:p>
        </w:tc>
        <w:tc>
          <w:tcPr>
            <w:tcW w:w="278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46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64</w:t>
            </w:r>
          </w:p>
        </w:tc>
        <w:tc>
          <w:tcPr>
            <w:tcW w:w="11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26,579.30</w:t>
            </w:r>
          </w:p>
        </w:tc>
        <w:tc>
          <w:tcPr>
            <w:tcW w:w="98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22,279.30</w:t>
            </w:r>
          </w:p>
        </w:tc>
        <w:tc>
          <w:tcPr>
            <w:tcW w:w="113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4,300.00</w:t>
            </w:r>
          </w:p>
        </w:tc>
        <w:tc>
          <w:tcPr>
            <w:tcW w:w="132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27" w:type="dxa"/>
          <w:trHeight w:val="284" w:hRule="atLeast"/>
        </w:trPr>
        <w:tc>
          <w:tcPr>
            <w:tcW w:w="13933"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65"/>
        <w:gridCol w:w="4035"/>
        <w:gridCol w:w="4035"/>
        <w:gridCol w:w="2172"/>
        <w:gridCol w:w="2175"/>
      </w:tblGrid>
      <w:tr>
        <w:trPr>
          <w:trHeight w:val="390" w:hRule="atLeast"/>
        </w:trPr>
        <w:tc>
          <w:tcPr>
            <w:tcW w:w="14082" w:type="dxa"/>
            <w:gridSpan w:val="5"/>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rPr>
          <w:trHeight w:val="285" w:hRule="atLeast"/>
        </w:trPr>
        <w:tc>
          <w:tcPr>
            <w:tcW w:w="9735" w:type="dxa"/>
            <w:gridSpan w:val="3"/>
            <w:vAlign w:val="bottom"/>
          </w:tcPr>
          <w:p>
            <w:pPr>
              <w:autoSpaceDN w:val="0"/>
              <w:jc w:val="left"/>
              <w:textAlignment w:val="bottom"/>
              <w:rPr>
                <w:rFonts w:hint="default" w:ascii="Arial" w:hAnsi="宋体"/>
                <w:b w:val="0"/>
                <w:i w:val="0"/>
                <w:color w:val="000000"/>
                <w:sz w:val="20"/>
                <w:u w:val="none"/>
              </w:rPr>
            </w:pPr>
          </w:p>
        </w:tc>
        <w:tc>
          <w:tcPr>
            <w:tcW w:w="434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rPr>
          <w:trHeight w:val="285" w:hRule="atLeast"/>
        </w:trPr>
        <w:tc>
          <w:tcPr>
            <w:tcW w:w="9735"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434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570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8382" w:type="dxa"/>
            <w:gridSpan w:val="3"/>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w:t>
            </w:r>
          </w:p>
        </w:tc>
      </w:tr>
      <w:tr>
        <w:trPr>
          <w:trHeight w:val="300" w:hRule="atLeast"/>
        </w:trPr>
        <w:tc>
          <w:tcPr>
            <w:tcW w:w="1665"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403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403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2172"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217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r>
      <w:tr>
        <w:trPr>
          <w:trHeight w:val="27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03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403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17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17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03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403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17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17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5700"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403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217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217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r>
      <w:tr>
        <w:trPr>
          <w:trHeight w:val="300" w:hRule="atLeast"/>
        </w:trPr>
        <w:tc>
          <w:tcPr>
            <w:tcW w:w="5700"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403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22,140.85</w:t>
            </w:r>
          </w:p>
        </w:tc>
        <w:tc>
          <w:tcPr>
            <w:tcW w:w="217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10,787.35</w:t>
            </w:r>
          </w:p>
        </w:tc>
        <w:tc>
          <w:tcPr>
            <w:tcW w:w="217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11,353.50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35.87</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科学技术支出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应用研究</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2060302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社会公益研究</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858.21</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831.45</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26.76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665.63</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665.63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237.11</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237.11</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360.53</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360.53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65.32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65.32</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机关事业单位职业年金缴费支出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73.46</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红十字事业</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119.12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26.76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92.35</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13.77</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2081699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其他红十字事业支出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12.99</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21,245.77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9,920.03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11,325.74</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1,694.50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1,548.44</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公立医院</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5,912.36</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4,902.11</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1,010.25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综合医院</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4,369.57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4,369.57</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2100203</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传染病医院</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2100205</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精神病医院</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483.59</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287.91</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195.68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妇幼保健医院</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266.18</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244.63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2100299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其他公立医院支出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791.22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791.22</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基层医疗卫生机构</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2100399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其他基层医疗卫生机构支出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369.00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10,599.58</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3,333.86</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7,265.72</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疾病预防控制机构</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3,573.40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2,203.80</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1,369.60</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卫生监督机构</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320.91</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320.91</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采供血机构</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3,818.87</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728.93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3,089.94</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512.22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512.22</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重大公共卫生服务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1,406.25</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1,406.25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2100410</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突发公共卫生事件应急处理</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802.64</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802.64</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其他公共卫生支出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165.30</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80.22</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85.08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中医药</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2100601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中医（民族医）药专项</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1,622.41</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91.44</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2100717</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计划生育服务</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829.69</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91.44</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47.84</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44.18</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0.33</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28.89</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25.23</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3.66</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18.62</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18.62</w:t>
            </w: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其他卫生健康支出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2109999</w:t>
            </w:r>
          </w:p>
        </w:tc>
        <w:tc>
          <w:tcPr>
            <w:tcW w:w="40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其他卫生健康支出</w:t>
            </w:r>
          </w:p>
        </w:tc>
        <w:tc>
          <w:tcPr>
            <w:tcW w:w="40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c>
          <w:tcPr>
            <w:tcW w:w="217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999.13</w:t>
            </w:r>
          </w:p>
        </w:tc>
      </w:tr>
      <w:tr>
        <w:trPr>
          <w:trHeight w:val="300" w:hRule="atLeast"/>
        </w:trPr>
        <w:tc>
          <w:tcPr>
            <w:tcW w:w="14082" w:type="dxa"/>
            <w:gridSpan w:val="5"/>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80"/>
        <w:gridCol w:w="2310"/>
        <w:gridCol w:w="1215"/>
        <w:gridCol w:w="120"/>
        <w:gridCol w:w="1107"/>
        <w:gridCol w:w="1398"/>
        <w:gridCol w:w="458"/>
        <w:gridCol w:w="54"/>
        <w:gridCol w:w="958"/>
        <w:gridCol w:w="204"/>
        <w:gridCol w:w="846"/>
        <w:gridCol w:w="317"/>
        <w:gridCol w:w="2008"/>
        <w:gridCol w:w="17"/>
        <w:gridCol w:w="523"/>
        <w:gridCol w:w="1729"/>
        <w:gridCol w:w="35"/>
      </w:tblGrid>
      <w:tr>
        <w:trPr>
          <w:trHeight w:val="390" w:hRule="atLeast"/>
        </w:trPr>
        <w:tc>
          <w:tcPr>
            <w:tcW w:w="14079" w:type="dxa"/>
            <w:gridSpan w:val="1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rPr>
          <w:trHeight w:val="285" w:hRule="atLeast"/>
        </w:trPr>
        <w:tc>
          <w:tcPr>
            <w:tcW w:w="6930" w:type="dxa"/>
            <w:gridSpan w:val="6"/>
            <w:vAlign w:val="bottom"/>
          </w:tcPr>
          <w:p>
            <w:pPr>
              <w:autoSpaceDN w:val="0"/>
              <w:jc w:val="left"/>
              <w:textAlignment w:val="bottom"/>
              <w:rPr>
                <w:rFonts w:hint="default" w:ascii="Arial" w:hAnsi="宋体"/>
                <w:b w:val="0"/>
                <w:i w:val="0"/>
                <w:color w:val="000000"/>
                <w:sz w:val="20"/>
                <w:u w:val="none"/>
              </w:rPr>
            </w:pPr>
          </w:p>
        </w:tc>
        <w:tc>
          <w:tcPr>
            <w:tcW w:w="7149" w:type="dxa"/>
            <w:gridSpan w:val="11"/>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rPr>
          <w:trHeight w:val="285" w:hRule="atLeast"/>
        </w:trPr>
        <w:tc>
          <w:tcPr>
            <w:tcW w:w="6930"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7149" w:type="dxa"/>
            <w:gridSpan w:val="11"/>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金额单位：万元</w:t>
            </w:r>
          </w:p>
        </w:tc>
      </w:tr>
      <w:tr>
        <w:trPr>
          <w:trHeight w:val="300" w:hRule="atLeast"/>
        </w:trPr>
        <w:tc>
          <w:tcPr>
            <w:tcW w:w="4305"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人员经费</w:t>
            </w:r>
          </w:p>
        </w:tc>
        <w:tc>
          <w:tcPr>
            <w:tcW w:w="9774" w:type="dxa"/>
            <w:gridSpan w:val="14"/>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公用经费</w:t>
            </w:r>
          </w:p>
        </w:tc>
      </w:tr>
      <w:tr>
        <w:trPr>
          <w:trHeight w:val="300" w:hRule="atLeast"/>
        </w:trPr>
        <w:tc>
          <w:tcPr>
            <w:tcW w:w="780"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231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21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c>
          <w:tcPr>
            <w:tcW w:w="1227"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1910" w:type="dxa"/>
            <w:gridSpan w:val="3"/>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162"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c>
          <w:tcPr>
            <w:tcW w:w="1163"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2025"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2287" w:type="dxa"/>
            <w:gridSpan w:val="3"/>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r>
      <w:tr>
        <w:trPr>
          <w:trHeight w:val="300" w:hRule="atLeast"/>
        </w:trPr>
        <w:tc>
          <w:tcPr>
            <w:tcW w:w="780"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31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1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27"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910" w:type="dxa"/>
            <w:gridSpan w:val="3"/>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62"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63"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025"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287" w:type="dxa"/>
            <w:gridSpan w:val="3"/>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工资福利支出</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5,106.85</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商品和服务支出</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4,872.15</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债务利息及费用支出</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30101</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基本工资</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1,675.69</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30201</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办公费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71.12</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30701</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国内债务付息</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30102</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津贴补贴</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1,186.03</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30202</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印刷费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3.94</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30702</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国外债务付息</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30103</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奖金</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792.54</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30203</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咨询费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8.00</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资本性支出</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9.48</w:t>
            </w: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30106</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伙食补助费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30204</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手续费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0.14</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31001</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房屋建筑物购建</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30107</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绩效工资</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458.21</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30205</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水费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4.77</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31002</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办公设备购置</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4.59</w:t>
            </w:r>
          </w:p>
        </w:tc>
      </w:tr>
      <w:tr>
        <w:trPr>
          <w:trHeight w:val="57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30108</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机关事业单位基本养老保险缴费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316.65</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30206</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电费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31.42</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31003</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专用设备购置</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4.89</w:t>
            </w: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30109</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职业年金缴费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42.21</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30207</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邮电费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9.27</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31005</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基础设施建设</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30110</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职工基本医疗保险缴费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136.46</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30208</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取暖费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31006</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大型修缮</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30111</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公务员医疗补助缴费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47.00</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30209</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物业管理费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13.61</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31007</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信息网络及软件购置更新</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30112</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其他社会保障缴费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61.12</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30211</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差旅费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20.86</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31008</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物资储备</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30113</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住房公积金</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364.58</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30212</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因公出国（境）费用</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31009</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土地补偿</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30114</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医疗费</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30213</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维修（护）费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25.34</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31010</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安置补助</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30199</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其他工资福利支出</w:t>
            </w:r>
          </w:p>
        </w:tc>
        <w:tc>
          <w:tcPr>
            <w:tcW w:w="12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26.39</w:t>
            </w:r>
          </w:p>
        </w:tc>
        <w:tc>
          <w:tcPr>
            <w:tcW w:w="1227"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30214</w:t>
            </w:r>
          </w:p>
        </w:tc>
        <w:tc>
          <w:tcPr>
            <w:tcW w:w="1910" w:type="dxa"/>
            <w:gridSpan w:val="3"/>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租赁费</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2.91</w:t>
            </w:r>
          </w:p>
        </w:tc>
        <w:tc>
          <w:tcPr>
            <w:tcW w:w="1163"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31011</w:t>
            </w:r>
          </w:p>
        </w:tc>
        <w:tc>
          <w:tcPr>
            <w:tcW w:w="20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地上附着物和青苗补偿</w:t>
            </w:r>
          </w:p>
        </w:tc>
        <w:tc>
          <w:tcPr>
            <w:tcW w:w="2287"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对个人和家庭的补助</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798.86</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30215</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会议费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5.72</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31012</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拆迁补偿</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30301</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离休费</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40.63</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30216</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培训费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2.75</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31013</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公务用车购置</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30302</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退休费</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669.80</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30217</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公务接待费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2.17</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31019</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其他交通工具购置</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30303</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退职（役）费</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30218</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专用材料费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4,385.21</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31021</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文物和陈列品购置</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30304</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抚恤金</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73.46</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30224</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被装购置费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31022</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无形资产购置</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30305</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生活补助</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5.42</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30225</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专用燃料费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31099</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其他资本性支出</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30306</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救济费</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2.50</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30226</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劳务费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40.61</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其他支出</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30307</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医疗费补助</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30227</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委托业务费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3.76</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39906</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赠与</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30308</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助学金</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30228</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工会经费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53.18</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39907</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国家赔偿费用支出</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30309</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奖励金</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1.20</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30229</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福利费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32.41</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39908</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对民间非营利组织和群众性自治组织补贴</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30310</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个人农业生产补贴</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30231</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公务用车运行维护费</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46.31</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39999</w:t>
            </w: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其他支出</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30311</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代缴社会保险费</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30239</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其他交通费用</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58.27</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30399</w:t>
            </w: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其他对个人和家庭的补助</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5.85</w:t>
            </w: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30240</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税金及附加费用</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4.56</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780"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31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107"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30299</w:t>
            </w:r>
          </w:p>
        </w:tc>
        <w:tc>
          <w:tcPr>
            <w:tcW w:w="1856"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其他商品和服务支出</w:t>
            </w:r>
          </w:p>
        </w:tc>
        <w:tc>
          <w:tcPr>
            <w:tcW w:w="1012"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45.81</w:t>
            </w:r>
          </w:p>
        </w:tc>
        <w:tc>
          <w:tcPr>
            <w:tcW w:w="1050"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325" w:type="dxa"/>
            <w:gridSpan w:val="2"/>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gridAfter w:val="1"/>
          <w:wAfter w:w="35" w:type="dxa"/>
          <w:trHeight w:val="300" w:hRule="atLeast"/>
        </w:trPr>
        <w:tc>
          <w:tcPr>
            <w:tcW w:w="3090"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人员经费合计</w:t>
            </w:r>
          </w:p>
        </w:tc>
        <w:tc>
          <w:tcPr>
            <w:tcW w:w="1335"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5,905.71</w:t>
            </w:r>
          </w:p>
        </w:tc>
        <w:tc>
          <w:tcPr>
            <w:tcW w:w="7350" w:type="dxa"/>
            <w:gridSpan w:val="9"/>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公用经费合计</w:t>
            </w:r>
          </w:p>
        </w:tc>
        <w:tc>
          <w:tcPr>
            <w:tcW w:w="2269" w:type="dxa"/>
            <w:gridSpan w:val="3"/>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4,881.63</w:t>
            </w:r>
          </w:p>
        </w:tc>
      </w:tr>
      <w:tr>
        <w:trPr>
          <w:gridAfter w:val="2"/>
          <w:wAfter w:w="1764" w:type="dxa"/>
          <w:trHeight w:val="300" w:hRule="atLeast"/>
        </w:trPr>
        <w:tc>
          <w:tcPr>
            <w:tcW w:w="12315" w:type="dxa"/>
            <w:gridSpan w:val="15"/>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35"/>
        <w:gridCol w:w="990"/>
        <w:gridCol w:w="990"/>
        <w:gridCol w:w="990"/>
        <w:gridCol w:w="1020"/>
        <w:gridCol w:w="1220"/>
        <w:gridCol w:w="1069"/>
        <w:gridCol w:w="696"/>
        <w:gridCol w:w="466"/>
        <w:gridCol w:w="1219"/>
        <w:gridCol w:w="1125"/>
        <w:gridCol w:w="1200"/>
        <w:gridCol w:w="1837"/>
      </w:tblGrid>
      <w:tr>
        <w:trPr>
          <w:trHeight w:val="540" w:hRule="atLeast"/>
        </w:trPr>
        <w:tc>
          <w:tcPr>
            <w:tcW w:w="13857" w:type="dxa"/>
            <w:gridSpan w:val="13"/>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rPr>
          <w:trHeight w:val="285" w:hRule="atLeast"/>
        </w:trPr>
        <w:tc>
          <w:tcPr>
            <w:tcW w:w="8010" w:type="dxa"/>
            <w:gridSpan w:val="8"/>
            <w:vAlign w:val="bottom"/>
          </w:tcPr>
          <w:p>
            <w:pPr>
              <w:autoSpaceDN w:val="0"/>
              <w:jc w:val="left"/>
              <w:textAlignment w:val="bottom"/>
              <w:rPr>
                <w:rFonts w:hint="default" w:ascii="Arial" w:hAnsi="宋体"/>
                <w:b w:val="0"/>
                <w:i w:val="0"/>
                <w:color w:val="000000"/>
                <w:sz w:val="20"/>
                <w:u w:val="none"/>
              </w:rPr>
            </w:pPr>
          </w:p>
        </w:tc>
        <w:tc>
          <w:tcPr>
            <w:tcW w:w="5847" w:type="dxa"/>
            <w:gridSpan w:val="5"/>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rPr>
          <w:trHeight w:val="285" w:hRule="atLeast"/>
        </w:trPr>
        <w:tc>
          <w:tcPr>
            <w:tcW w:w="8010" w:type="dxa"/>
            <w:gridSpan w:val="8"/>
            <w:vAlign w:val="bottom"/>
          </w:tcPr>
          <w:p>
            <w:pPr>
              <w:autoSpaceDN w:val="0"/>
              <w:jc w:val="left"/>
              <w:textAlignment w:val="bottom"/>
              <w:rPr>
                <w:rFonts w:hint="default" w:ascii="Arial" w:hAnsi="宋体"/>
                <w:b w:val="0"/>
                <w:i w:val="0"/>
                <w:color w:val="000000"/>
                <w:sz w:val="20"/>
                <w:u w:val="none"/>
              </w:rPr>
            </w:pPr>
            <w:r>
              <w:rPr>
                <w:rFonts w:hint="default" w:ascii="宋体" w:hAnsi="宋体" w:eastAsia="宋体"/>
                <w:b w:val="0"/>
                <w:i w:val="0"/>
                <w:color w:val="000000"/>
                <w:sz w:val="20"/>
                <w:u w:val="none"/>
                <w:lang w:eastAsia="zh-CN"/>
              </w:rPr>
              <w:t>部门：许昌市卫生健康委员会</w:t>
            </w:r>
          </w:p>
        </w:tc>
        <w:tc>
          <w:tcPr>
            <w:tcW w:w="5847" w:type="dxa"/>
            <w:gridSpan w:val="5"/>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6245" w:type="dxa"/>
            <w:gridSpan w:val="6"/>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预算数</w:t>
            </w:r>
          </w:p>
        </w:tc>
        <w:tc>
          <w:tcPr>
            <w:tcW w:w="7612" w:type="dxa"/>
            <w:gridSpan w:val="7"/>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r>
      <w:tr>
        <w:trPr>
          <w:trHeight w:val="300" w:hRule="atLeast"/>
        </w:trPr>
        <w:tc>
          <w:tcPr>
            <w:tcW w:w="1035"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99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因公出国（境）费</w:t>
            </w:r>
          </w:p>
        </w:tc>
        <w:tc>
          <w:tcPr>
            <w:tcW w:w="3000" w:type="dxa"/>
            <w:gridSpan w:val="3"/>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公务用车购置及运行费</w:t>
            </w:r>
          </w:p>
        </w:tc>
        <w:tc>
          <w:tcPr>
            <w:tcW w:w="122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公务接待费</w:t>
            </w:r>
          </w:p>
        </w:tc>
        <w:tc>
          <w:tcPr>
            <w:tcW w:w="106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162"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因公出国（境）费</w:t>
            </w:r>
          </w:p>
        </w:tc>
        <w:tc>
          <w:tcPr>
            <w:tcW w:w="3544" w:type="dxa"/>
            <w:gridSpan w:val="3"/>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公务用车购置及运行费</w:t>
            </w:r>
          </w:p>
        </w:tc>
        <w:tc>
          <w:tcPr>
            <w:tcW w:w="1837"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公务接待费</w:t>
            </w:r>
          </w:p>
        </w:tc>
      </w:tr>
      <w:tr>
        <w:trPr>
          <w:trHeight w:val="615" w:hRule="atLeast"/>
        </w:trPr>
        <w:tc>
          <w:tcPr>
            <w:tcW w:w="1035" w:type="dxa"/>
            <w:vMerge w:val="continue"/>
            <w:tcBorders>
              <w:left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公务用车购置费</w:t>
            </w:r>
          </w:p>
        </w:tc>
        <w:tc>
          <w:tcPr>
            <w:tcW w:w="102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公务用车运行费</w:t>
            </w:r>
          </w:p>
        </w:tc>
        <w:tc>
          <w:tcPr>
            <w:tcW w:w="122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069"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162" w:type="dxa"/>
            <w:gridSpan w:val="2"/>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1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12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公务用车购置费</w:t>
            </w:r>
          </w:p>
        </w:tc>
        <w:tc>
          <w:tcPr>
            <w:tcW w:w="120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公务用车运行费</w:t>
            </w:r>
          </w:p>
        </w:tc>
        <w:tc>
          <w:tcPr>
            <w:tcW w:w="1837"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1035"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02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22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106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c>
          <w:tcPr>
            <w:tcW w:w="1162"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w:t>
            </w:r>
          </w:p>
        </w:tc>
        <w:tc>
          <w:tcPr>
            <w:tcW w:w="121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w:t>
            </w:r>
          </w:p>
        </w:tc>
        <w:tc>
          <w:tcPr>
            <w:tcW w:w="112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w:t>
            </w:r>
          </w:p>
        </w:tc>
        <w:tc>
          <w:tcPr>
            <w:tcW w:w="120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w:t>
            </w:r>
          </w:p>
        </w:tc>
        <w:tc>
          <w:tcPr>
            <w:tcW w:w="1837"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w:t>
            </w:r>
          </w:p>
        </w:tc>
      </w:tr>
      <w:tr>
        <w:trPr>
          <w:trHeight w:val="300" w:hRule="atLeast"/>
        </w:trPr>
        <w:tc>
          <w:tcPr>
            <w:tcW w:w="1035"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216.38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209.08</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110.00</w:t>
            </w:r>
          </w:p>
        </w:tc>
        <w:tc>
          <w:tcPr>
            <w:tcW w:w="10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99.08</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7.29</w:t>
            </w:r>
          </w:p>
        </w:tc>
        <w:tc>
          <w:tcPr>
            <w:tcW w:w="10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208.70</w:t>
            </w:r>
          </w:p>
        </w:tc>
        <w:tc>
          <w:tcPr>
            <w:tcW w:w="11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204.63</w:t>
            </w: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109.80</w:t>
            </w:r>
          </w:p>
        </w:tc>
        <w:tc>
          <w:tcPr>
            <w:tcW w:w="12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94.83</w:t>
            </w:r>
          </w:p>
        </w:tc>
        <w:tc>
          <w:tcPr>
            <w:tcW w:w="18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4.06</w:t>
            </w:r>
          </w:p>
        </w:tc>
      </w:tr>
    </w:tbl>
    <w:p>
      <w:pPr>
        <w:sectPr>
          <w:pgSz w:w="16838" w:h="11906" w:orient="landscape"/>
          <w:pgMar w:top="2098" w:right="1474" w:bottom="1984" w:left="1587" w:header="720" w:footer="720" w:gutter="0"/>
          <w:pgNumType w:fmt="numberInDash"/>
          <w:cols w:space="720" w:num="1"/>
          <w:docGrid w:type="lines" w:linePitch="312"/>
        </w:sectPr>
      </w:pPr>
    </w:p>
    <w:tbl>
      <w:tblPr>
        <w:tblW w:w="14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65"/>
        <w:gridCol w:w="3180"/>
        <w:gridCol w:w="1350"/>
        <w:gridCol w:w="1050"/>
        <w:gridCol w:w="2683"/>
        <w:gridCol w:w="1444"/>
        <w:gridCol w:w="1468"/>
        <w:gridCol w:w="1251"/>
      </w:tblGrid>
      <w:tr>
        <w:trPr>
          <w:trHeight w:val="390" w:hRule="atLeast"/>
        </w:trPr>
        <w:tc>
          <w:tcPr>
            <w:tcW w:w="14091" w:type="dxa"/>
            <w:gridSpan w:val="8"/>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rPr>
          <w:trHeight w:val="285" w:hRule="atLeast"/>
        </w:trPr>
        <w:tc>
          <w:tcPr>
            <w:tcW w:w="9928" w:type="dxa"/>
            <w:gridSpan w:val="5"/>
            <w:vAlign w:val="bottom"/>
          </w:tcPr>
          <w:p>
            <w:pPr>
              <w:autoSpaceDN w:val="0"/>
              <w:jc w:val="center"/>
              <w:textAlignment w:val="bottom"/>
              <w:rPr>
                <w:rFonts w:hint="default" w:ascii="Arial" w:hAnsi="宋体"/>
                <w:b w:val="0"/>
                <w:i w:val="0"/>
                <w:color w:val="000000"/>
                <w:sz w:val="20"/>
                <w:u w:val="none"/>
              </w:rPr>
            </w:pPr>
          </w:p>
        </w:tc>
        <w:tc>
          <w:tcPr>
            <w:tcW w:w="4163"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rPr>
          <w:trHeight w:val="285" w:hRule="atLeast"/>
        </w:trPr>
        <w:tc>
          <w:tcPr>
            <w:tcW w:w="9928"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部门：许昌市卫生健康委员会</w:t>
            </w:r>
          </w:p>
        </w:tc>
        <w:tc>
          <w:tcPr>
            <w:tcW w:w="4163"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484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35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年初结转和结余</w:t>
            </w:r>
          </w:p>
        </w:tc>
        <w:tc>
          <w:tcPr>
            <w:tcW w:w="105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本年收入</w:t>
            </w:r>
          </w:p>
        </w:tc>
        <w:tc>
          <w:tcPr>
            <w:tcW w:w="5595" w:type="dxa"/>
            <w:gridSpan w:val="3"/>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w:t>
            </w:r>
          </w:p>
        </w:tc>
        <w:tc>
          <w:tcPr>
            <w:tcW w:w="1251"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年末结转和结余</w:t>
            </w:r>
          </w:p>
        </w:tc>
      </w:tr>
      <w:tr>
        <w:trPr>
          <w:trHeight w:val="300" w:hRule="atLeast"/>
        </w:trPr>
        <w:tc>
          <w:tcPr>
            <w:tcW w:w="1665"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318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3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683"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44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1468"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c>
          <w:tcPr>
            <w:tcW w:w="1251"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3180"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50"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2683"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44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468"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51"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3180"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50"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2683"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44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468"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51"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484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35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05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26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44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46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251"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r>
      <w:tr>
        <w:trPr>
          <w:trHeight w:val="300" w:hRule="atLeast"/>
        </w:trPr>
        <w:tc>
          <w:tcPr>
            <w:tcW w:w="484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35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4,300.00</w:t>
            </w:r>
          </w:p>
        </w:tc>
        <w:tc>
          <w:tcPr>
            <w:tcW w:w="105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268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1,492.12</w:t>
            </w:r>
          </w:p>
        </w:tc>
        <w:tc>
          <w:tcPr>
            <w:tcW w:w="144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46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1,492.12</w:t>
            </w:r>
          </w:p>
        </w:tc>
        <w:tc>
          <w:tcPr>
            <w:tcW w:w="1251"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2,807.88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w:t>
            </w: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4,300.00</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2,807.88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22904</w:t>
            </w: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其他政府性基金及对应专项债务收入安排的支出</w:t>
            </w: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4,300.00</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2,807.88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2290402</w:t>
            </w: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其他地方自行试点项目收益专项债券收入安排的支出</w:t>
            </w: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4,300.00</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1,492.12</w:t>
            </w: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2,807.88</w:t>
            </w: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8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6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4091" w:type="dxa"/>
            <w:gridSpan w:val="8"/>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注：本表反映部门本年度政府性基金预算财政拨款收入、支出及结转和结余情况。本表金额转换为万元时，因四舍五入可能存在尾差。</w:t>
            </w: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164134.22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20052.11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事业收入支出增加较多</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148891.48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12096.28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8.12</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136298.54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91.54</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496.67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0.33</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159460.88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146612.49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91.94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12848.39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26579.30万元</w:t>
      </w:r>
      <w:r>
        <w:rPr>
          <w:rFonts w:hint="eastAsia" w:ascii="仿宋_GB2312" w:hAnsi="仿宋_GB2312" w:eastAsia="仿宋_GB2312" w:cs="仿宋_GB2312"/>
          <w:sz w:val="32"/>
          <w:szCs w:val="32"/>
          <w:highlight w:val="none"/>
        </w:rPr>
        <w:t>。与上年度相比，财政拨款收、支总计各减少</w:t>
      </w:r>
      <w:r>
        <w:rPr>
          <w:rFonts w:hint="eastAsia" w:ascii="仿宋_GB2312" w:hAnsi="仿宋_GB2312" w:eastAsia="仿宋_GB2312" w:cs="仿宋_GB2312"/>
          <w:sz w:val="32"/>
          <w:szCs w:val="32"/>
          <w:highlight w:val="none"/>
          <w:lang w:val="en-US" w:eastAsia="zh-CN"/>
        </w:rPr>
        <w:t>4297.36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13.92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一般公共预算财政拨款减少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22140.85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13.88</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2850.02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14.77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卫生健康支出和公共卫生支出增加较多</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22140.85</w:t>
      </w:r>
      <w:r>
        <w:rPr>
          <w:rFonts w:hint="eastAsia" w:ascii="仿宋_GB2312" w:hAnsi="仿宋_GB2312" w:eastAsia="仿宋_GB2312" w:cs="仿宋_GB2312"/>
          <w:sz w:val="32"/>
          <w:szCs w:val="32"/>
          <w:highlight w:val="none"/>
        </w:rPr>
        <w:t>万元，主要用于以下方面：一般公共服务支出</w:t>
      </w:r>
      <w:r>
        <w:rPr>
          <w:rFonts w:hint="eastAsia" w:ascii="仿宋_GB2312" w:hAnsi="仿宋_GB2312" w:eastAsia="仿宋_GB2312" w:cs="仿宋_GB2312"/>
          <w:sz w:val="32"/>
          <w:szCs w:val="32"/>
          <w:highlight w:val="none"/>
          <w:lang w:val="en-US" w:eastAsia="zh-CN"/>
        </w:rPr>
        <w:t>35.87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科学技术支出1万元，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社会保障和就业支出858.21万元，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卫生健康支出21245.77万元，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95.96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autoSpaceDE w:val="0"/>
        <w:autoSpaceDN w:val="0"/>
        <w:adjustRightInd w:val="0"/>
        <w:ind w:firstLine="643" w:firstLineChars="200"/>
        <w:jc w:val="left"/>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28.76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124.72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上年有结转</w:t>
      </w:r>
      <w:r>
        <w:rPr>
          <w:rFonts w:hint="eastAsia" w:ascii="仿宋_GB2312" w:hAnsi="仿宋_GB2312" w:eastAsia="仿宋_GB2312" w:cs="仿宋_GB2312"/>
          <w:sz w:val="32"/>
          <w:szCs w:val="32"/>
        </w:rPr>
        <w:t>。</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．科学技术支出（类）应用研究（款）社会公益研究（项）。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万元，支出决算为1.00万元。决算数与年初预算数存在差异的主要原因是该支出为追加预算。</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207.95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237.11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114.02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。决算数与年初预算数存在差异的主要原因是上年有结转。</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．社会保障和就业支出（类）行政事业单位养老支出（款）事业单位离退休（项）。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345.38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360.53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104.39</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。决算数与年初预算数存在差异的主要原因是上年有结转。</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46.07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65.32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141.78</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。决算数与年初预算数存在差异的主要原因是上年有结转。</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．社会保障和就业支出（类）行政事业单位养老支出（款）机关事业单位职业年金缴费支出（项）。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26.17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10.24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许昌市中心血站该项支出实际在其他功能科目下列支</w:t>
      </w:r>
      <w:r>
        <w:rPr>
          <w:rFonts w:hint="eastAsia" w:ascii="仿宋_GB2312" w:hAnsi="仿宋_GB2312" w:eastAsia="仿宋_GB2312" w:cs="仿宋_GB2312"/>
          <w:sz w:val="32"/>
          <w:szCs w:val="32"/>
          <w:highlight w:val="none"/>
        </w:rPr>
        <w:t>。</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73.46</w:t>
      </w:r>
      <w:r>
        <w:rPr>
          <w:rFonts w:hint="eastAsia" w:ascii="仿宋_GB2312" w:hAnsi="仿宋_GB2312" w:eastAsia="仿宋_GB2312" w:cs="仿宋_GB2312"/>
          <w:sz w:val="32"/>
          <w:szCs w:val="32"/>
          <w:highlight w:val="none"/>
        </w:rPr>
        <w:t>万元。决算数与年初预算数存在差异的主要原因是该项支出为年中追加预算。</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．社会保障和就业支出（类）红十字事业（款）行政运行（项）。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86.94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92.35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106.22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上年有结转</w:t>
      </w:r>
      <w:r>
        <w:rPr>
          <w:rFonts w:hint="eastAsia" w:ascii="仿宋_GB2312" w:hAnsi="仿宋_GB2312" w:eastAsia="仿宋_GB2312" w:cs="仿宋_GB2312"/>
          <w:sz w:val="32"/>
          <w:szCs w:val="32"/>
          <w:highlight w:val="none"/>
        </w:rPr>
        <w:t>。</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．社会保障和就业支出（类）红十字事业（款）一般行政管理事务（项）。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12.62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13.77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109.11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。决算数与年初预算数存在差异的主要原因是部分额度结转下年支付。</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．社会保障和就业支出（类）红十字事业（款）</w:t>
      </w:r>
      <w:r>
        <w:rPr>
          <w:rFonts w:hint="eastAsia" w:ascii="仿宋_GB2312" w:hAnsi="仿宋_GB2312" w:eastAsia="仿宋_GB2312" w:cs="仿宋_GB2312"/>
          <w:b/>
          <w:bCs/>
          <w:sz w:val="32"/>
          <w:szCs w:val="32"/>
          <w:highlight w:val="none"/>
          <w:lang w:val="en-US" w:eastAsia="zh-CN"/>
        </w:rPr>
        <w:t>其他红十字支出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12.99</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val="en-US" w:eastAsia="zh-CN"/>
        </w:rPr>
        <w:t>该支出是年中追加预算</w:t>
      </w:r>
      <w:r>
        <w:rPr>
          <w:rFonts w:hint="eastAsia" w:ascii="仿宋_GB2312" w:hAnsi="仿宋_GB2312" w:eastAsia="仿宋_GB2312" w:cs="仿宋_GB2312"/>
          <w:sz w:val="32"/>
          <w:szCs w:val="32"/>
          <w:highlight w:val="none"/>
        </w:rPr>
        <w:t>。</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．卫生健康支出（类）卫生健康管理事务（款）行政运行（项）。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1112.97</w:t>
      </w:r>
      <w:r>
        <w:rPr>
          <w:rFonts w:hint="eastAsia" w:ascii="仿宋_GB2312" w:hAnsi="仿宋_GB2312" w:eastAsia="仿宋_GB2312" w:cs="仿宋_GB2312"/>
          <w:sz w:val="32"/>
          <w:szCs w:val="32"/>
          <w:highlight w:val="none"/>
        </w:rPr>
        <w:t>万，支出决算为</w:t>
      </w:r>
      <w:r>
        <w:rPr>
          <w:rFonts w:hint="eastAsia" w:ascii="仿宋_GB2312" w:hAnsi="仿宋_GB2312" w:eastAsia="仿宋_GB2312" w:cs="仿宋_GB2312"/>
          <w:sz w:val="32"/>
          <w:szCs w:val="32"/>
          <w:highlight w:val="none"/>
          <w:lang w:val="en-US" w:eastAsia="zh-CN"/>
        </w:rPr>
        <w:t>1548.44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139.13</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。决算数与年初预算数存在差异的主要原因是年初有结转。</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．卫生健康支出（类）卫生健康管理事务（款）一般行政管理事务（项）。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146.06</w:t>
      </w:r>
      <w:r>
        <w:rPr>
          <w:rFonts w:hint="eastAsia" w:ascii="仿宋_GB2312" w:hAnsi="仿宋_GB2312" w:eastAsia="仿宋_GB2312" w:cs="仿宋_GB2312"/>
          <w:sz w:val="32"/>
          <w:szCs w:val="32"/>
          <w:highlight w:val="none"/>
        </w:rPr>
        <w:t>万元，决算数与年初预算数存在差异的主要原因是部分</w:t>
      </w:r>
      <w:r>
        <w:rPr>
          <w:rFonts w:hint="eastAsia" w:ascii="仿宋_GB2312" w:hAnsi="仿宋_GB2312" w:eastAsia="仿宋_GB2312" w:cs="仿宋_GB2312"/>
          <w:sz w:val="32"/>
          <w:szCs w:val="32"/>
          <w:highlight w:val="none"/>
          <w:lang w:val="en-US" w:eastAsia="zh-CN"/>
        </w:rPr>
        <w:t>该支出为年中追加预算</w:t>
      </w:r>
      <w:r>
        <w:rPr>
          <w:rFonts w:hint="eastAsia" w:ascii="仿宋_GB2312" w:hAnsi="仿宋_GB2312" w:eastAsia="仿宋_GB2312" w:cs="仿宋_GB2312"/>
          <w:sz w:val="32"/>
          <w:szCs w:val="32"/>
          <w:highlight w:val="none"/>
        </w:rPr>
        <w:t>。</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．卫生健康支出（类）公立医院（款）综合医院（项）。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4369.57</w:t>
      </w:r>
      <w:r>
        <w:rPr>
          <w:rFonts w:hint="eastAsia" w:ascii="仿宋_GB2312" w:hAnsi="仿宋_GB2312" w:eastAsia="仿宋_GB2312" w:cs="仿宋_GB2312"/>
          <w:sz w:val="32"/>
          <w:szCs w:val="32"/>
          <w:highlight w:val="none"/>
        </w:rPr>
        <w:t>万元，决算数与年初预算数存在差异的主要原因是该支出为</w:t>
      </w:r>
      <w:r>
        <w:rPr>
          <w:rFonts w:hint="eastAsia" w:ascii="仿宋_GB2312" w:hAnsi="仿宋_GB2312" w:eastAsia="仿宋_GB2312" w:cs="仿宋_GB2312"/>
          <w:sz w:val="32"/>
          <w:szCs w:val="32"/>
          <w:highlight w:val="none"/>
          <w:lang w:val="en-US" w:eastAsia="zh-CN"/>
        </w:rPr>
        <w:t>该项支出为年中追加预算</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．卫生健康支出（类）公立医院（款）传染病医院（项）。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val="en-US" w:eastAsia="zh-CN"/>
        </w:rPr>
        <w:t>存在上年有结转</w:t>
      </w:r>
      <w:r>
        <w:rPr>
          <w:rFonts w:hint="eastAsia" w:ascii="仿宋_GB2312" w:hAnsi="仿宋_GB2312" w:eastAsia="仿宋_GB2312" w:cs="仿宋_GB2312"/>
          <w:sz w:val="32"/>
          <w:szCs w:val="32"/>
          <w:highlight w:val="none"/>
        </w:rPr>
        <w:t>。</w:t>
      </w:r>
    </w:p>
    <w:p>
      <w:pPr>
        <w:autoSpaceDE w:val="0"/>
        <w:autoSpaceDN w:val="0"/>
        <w:adjustRightInd w:val="0"/>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．卫生健康支出（类）公立医院（款）精神病医院（项）。</w:t>
      </w:r>
      <w:r>
        <w:rPr>
          <w:rFonts w:hint="eastAsia" w:ascii="仿宋_GB2312" w:hAnsi="仿宋_GB2312" w:eastAsia="仿宋_GB2312" w:cs="仿宋_GB2312"/>
          <w:sz w:val="32"/>
          <w:szCs w:val="32"/>
          <w:highlight w:val="none"/>
        </w:rPr>
        <w:t>年初预算为287.91万元，支出决算为</w:t>
      </w:r>
      <w:r>
        <w:rPr>
          <w:rFonts w:hint="eastAsia" w:ascii="仿宋_GB2312" w:hAnsi="仿宋_GB2312" w:eastAsia="仿宋_GB2312" w:cs="仿宋_GB2312"/>
          <w:sz w:val="32"/>
          <w:szCs w:val="32"/>
          <w:highlight w:val="none"/>
          <w:lang w:val="en-US" w:eastAsia="zh-CN"/>
        </w:rPr>
        <w:t>483.59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167.97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。决算数与年初预算数存在差异的主要原因是部分为公立医院改革等项目支出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为年中追加预算</w:t>
      </w:r>
      <w:r>
        <w:rPr>
          <w:rFonts w:hint="eastAsia" w:ascii="仿宋_GB2312" w:hAnsi="仿宋_GB2312" w:eastAsia="仿宋_GB2312" w:cs="仿宋_GB2312"/>
          <w:sz w:val="32"/>
          <w:szCs w:val="32"/>
          <w:highlight w:val="none"/>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．卫生健康支出（类）公立医院（款）妇幼保健医院（项）。</w:t>
      </w:r>
      <w:r>
        <w:rPr>
          <w:rFonts w:hint="eastAsia" w:ascii="仿宋_GB2312" w:hAnsi="仿宋_GB2312" w:eastAsia="仿宋_GB2312" w:cs="仿宋_GB2312"/>
          <w:sz w:val="32"/>
          <w:szCs w:val="32"/>
        </w:rPr>
        <w:t>年初预算为209.68万元，支出决算为</w:t>
      </w:r>
      <w:r>
        <w:rPr>
          <w:rFonts w:hint="eastAsia" w:ascii="仿宋_GB2312" w:hAnsi="仿宋_GB2312" w:eastAsia="仿宋_GB2312" w:cs="仿宋_GB2312"/>
          <w:sz w:val="32"/>
          <w:szCs w:val="32"/>
          <w:lang w:val="en-US" w:eastAsia="zh-CN"/>
        </w:rPr>
        <w:t>266.18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。决算数与年初预算数存在差异的主要原因是部分为公立医院改革等项目支出，</w:t>
      </w:r>
      <w:r>
        <w:rPr>
          <w:rFonts w:hint="eastAsia" w:ascii="仿宋_GB2312" w:hAnsi="仿宋_GB2312" w:eastAsia="仿宋_GB2312" w:cs="仿宋_GB2312"/>
          <w:sz w:val="32"/>
          <w:szCs w:val="32"/>
          <w:lang w:val="en-US" w:eastAsia="zh-CN"/>
        </w:rPr>
        <w:t>为年中追加预算，</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．卫生健康支出（类）公立医院（款）其他公立医院支出（项）。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791.22</w:t>
      </w:r>
      <w:r>
        <w:rPr>
          <w:rFonts w:hint="eastAsia" w:ascii="仿宋_GB2312" w:hAnsi="仿宋_GB2312" w:eastAsia="仿宋_GB2312" w:cs="仿宋_GB2312"/>
          <w:sz w:val="32"/>
          <w:szCs w:val="32"/>
        </w:rPr>
        <w:t>万元，完成年初预算的141.31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该支出为年中追加预算，</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．卫生健康支出（类）基层医疗卫生机构（款）其他基层医疗卫生机构支出（项）。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369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决算数与年初预算数存在差异的主要原因是该支出为年中追加预算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．卫生健康支出（类）公共卫生（款）疾病预防控制机构（项）。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2010.73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3573.40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177.72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。决算数与年初预算数存在差异的主要原因是部分支出为基本公卫等项目支出，为年中追加预算不在年初决算数。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．卫生健康支出（类）公共卫生（款）卫生监督机构（项）。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493.43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320.91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65.04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．卫生健康支出（类）公共卫生（款）采供血机构（项）。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3677.17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3818.87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103.85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．卫生健康支出（类）公共卫生（款）基本公共卫生服务（项）。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512.22</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该支出为年中追加预算，</w:t>
      </w:r>
      <w:r>
        <w:rPr>
          <w:rFonts w:hint="eastAsia" w:ascii="仿宋_GB2312" w:hAnsi="仿宋_GB2312" w:eastAsia="仿宋_GB2312" w:cs="仿宋_GB2312"/>
          <w:sz w:val="32"/>
          <w:szCs w:val="32"/>
        </w:rPr>
        <w:t>不在年初预算数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23</w:t>
      </w:r>
      <w:r>
        <w:rPr>
          <w:rFonts w:hint="eastAsia" w:ascii="仿宋_GB2312" w:hAnsi="仿宋_GB2312" w:eastAsia="仿宋_GB2312" w:cs="仿宋_GB2312"/>
          <w:b/>
          <w:bCs/>
          <w:sz w:val="32"/>
          <w:szCs w:val="32"/>
        </w:rPr>
        <w:t>．卫生健康支出（类）公共卫生（款）重大公共卫生服务（项）。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1406.25</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该支出为年中追加预算，</w:t>
      </w:r>
      <w:r>
        <w:rPr>
          <w:rFonts w:hint="eastAsia" w:ascii="仿宋_GB2312" w:hAnsi="仿宋_GB2312" w:eastAsia="仿宋_GB2312" w:cs="仿宋_GB2312"/>
          <w:sz w:val="32"/>
          <w:szCs w:val="32"/>
        </w:rPr>
        <w:t>不在年初预算数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．卫生健康支出（类）公共卫生（款）突发公共卫生事件应急处理（项）。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802.64</w:t>
      </w:r>
      <w:r>
        <w:rPr>
          <w:rFonts w:hint="eastAsia" w:ascii="仿宋_GB2312" w:hAnsi="仿宋_GB2312" w:eastAsia="仿宋_GB2312" w:cs="仿宋_GB2312"/>
          <w:sz w:val="32"/>
          <w:szCs w:val="32"/>
        </w:rPr>
        <w:t>万元。决算数与年初预算数存在差异的主要原因是应对新冠肺炎疫情资金，为年中追加预算。</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25</w:t>
      </w:r>
      <w:r>
        <w:rPr>
          <w:rFonts w:hint="eastAsia" w:ascii="仿宋_GB2312" w:hAnsi="仿宋_GB2312" w:eastAsia="仿宋_GB2312" w:cs="仿宋_GB2312"/>
          <w:b/>
          <w:bCs/>
          <w:sz w:val="32"/>
          <w:szCs w:val="32"/>
        </w:rPr>
        <w:t>．卫生健康支出（类）公共卫生（款）其他公共卫生支出（项）。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76.06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165.30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217.33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该支出部分为年中追加预算，</w:t>
      </w:r>
      <w:r>
        <w:rPr>
          <w:rFonts w:hint="eastAsia" w:ascii="仿宋_GB2312" w:hAnsi="仿宋_GB2312" w:eastAsia="仿宋_GB2312" w:cs="仿宋_GB2312"/>
          <w:sz w:val="32"/>
          <w:szCs w:val="32"/>
        </w:rPr>
        <w:t>不在年初预算数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部分支出结转下年支付。</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．卫生健康支出（类）</w:t>
      </w:r>
      <w:r>
        <w:rPr>
          <w:rFonts w:hint="eastAsia" w:ascii="仿宋_GB2312" w:hAnsi="仿宋_GB2312" w:eastAsia="仿宋_GB2312" w:cs="仿宋_GB2312"/>
          <w:b/>
          <w:bCs/>
          <w:sz w:val="32"/>
          <w:szCs w:val="32"/>
          <w:lang w:val="en-US" w:eastAsia="zh-CN"/>
        </w:rPr>
        <w:t>中医药</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中医（民主医）药专项</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0.95</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该支出部分为年中追加预算，</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27</w:t>
      </w:r>
      <w:r>
        <w:rPr>
          <w:rFonts w:hint="eastAsia" w:ascii="仿宋_GB2312" w:hAnsi="仿宋_GB2312" w:eastAsia="仿宋_GB2312" w:cs="仿宋_GB2312"/>
          <w:b/>
          <w:bCs/>
          <w:sz w:val="32"/>
          <w:szCs w:val="32"/>
        </w:rPr>
        <w:t>．卫生健康支出（类）计划生育事务（款）计划生育服务（项）。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60.03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829.69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1382.13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该支出部分为年中追加预算，</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28</w:t>
      </w:r>
      <w:r>
        <w:rPr>
          <w:rFonts w:hint="eastAsia" w:ascii="仿宋_GB2312" w:hAnsi="仿宋_GB2312" w:eastAsia="仿宋_GB2312" w:cs="仿宋_GB2312"/>
          <w:b/>
          <w:bCs/>
          <w:sz w:val="32"/>
          <w:szCs w:val="32"/>
        </w:rPr>
        <w:t>．卫生健康支出（类）计划生育事务（款）其他计划生育事务支出（项）。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792.72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该支出部分为年中追加预算，</w:t>
      </w:r>
      <w:r>
        <w:rPr>
          <w:rFonts w:hint="eastAsia" w:ascii="仿宋_GB2312" w:hAnsi="仿宋_GB2312" w:eastAsia="仿宋_GB2312" w:cs="仿宋_GB2312"/>
          <w:sz w:val="32"/>
          <w:szCs w:val="32"/>
        </w:rPr>
        <w:t>不在年初预算数。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万元。决算数与年初预算数存在差异的主要原因是存在上年结转数。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141.88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。决算数与年初预算数存在差异的主要原因是存在上年结转数。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18.62</w:t>
      </w:r>
      <w:r>
        <w:rPr>
          <w:rFonts w:hint="eastAsia" w:ascii="仿宋_GB2312" w:hAnsi="仿宋_GB2312" w:eastAsia="仿宋_GB2312" w:cs="仿宋_GB2312"/>
          <w:sz w:val="32"/>
          <w:szCs w:val="32"/>
        </w:rPr>
        <w:t>万元。决算数与年初预算数存在差异的主要原因是存在上年结转数。</w:t>
      </w:r>
    </w:p>
    <w:p>
      <w:pPr>
        <w:autoSpaceDE w:val="0"/>
        <w:autoSpaceDN w:val="0"/>
        <w:adjustRightInd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32</w:t>
      </w:r>
      <w:r>
        <w:rPr>
          <w:rFonts w:hint="eastAsia" w:ascii="仿宋_GB2312" w:hAnsi="仿宋_GB2312" w:eastAsia="仿宋_GB2312" w:cs="仿宋_GB2312"/>
          <w:b/>
          <w:bCs/>
          <w:sz w:val="32"/>
          <w:szCs w:val="32"/>
        </w:rPr>
        <w:t>．卫生健康支出（类）其他卫生健康支出（款）其他卫生健康支出（项）。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999.13</w:t>
      </w:r>
      <w:r>
        <w:rPr>
          <w:rFonts w:hint="eastAsia" w:ascii="仿宋_GB2312" w:hAnsi="仿宋_GB2312" w:eastAsia="仿宋_GB2312" w:cs="仿宋_GB2312"/>
          <w:sz w:val="32"/>
          <w:szCs w:val="32"/>
        </w:rPr>
        <w:t>万元。决算数与年初预算数存在差异的主要原因是该项支出部分为上年结转，部分为年中追加预算。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10787.35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5905.71</w:t>
      </w:r>
      <w:r>
        <w:rPr>
          <w:rFonts w:hint="eastAsia" w:ascii="仿宋_GB2312" w:hAnsi="仿宋_GB2312" w:eastAsia="仿宋_GB2312" w:cs="仿宋_GB2312"/>
          <w:sz w:val="32"/>
          <w:szCs w:val="32"/>
          <w:highlight w:val="none"/>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highlight w:val="none"/>
          <w:lang w:val="en-US" w:eastAsia="zh-CN"/>
        </w:rPr>
        <w:t>4881.63</w:t>
      </w:r>
      <w:r>
        <w:rPr>
          <w:rFonts w:hint="eastAsia" w:ascii="仿宋_GB2312" w:hAnsi="仿宋_GB2312" w:eastAsia="仿宋_GB2312" w:cs="仿宋_GB2312"/>
          <w:sz w:val="32"/>
          <w:szCs w:val="32"/>
          <w:highlight w:val="non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216.38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94.57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严格控制三公经费支出。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204.63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97.87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98.05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55.69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%。具体情况如下：</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209.08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97.87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压缩三公支出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109.8</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台，其中</w:t>
      </w:r>
      <w:r>
        <w:rPr>
          <w:rFonts w:hint="eastAsia" w:ascii="仿宋_GB2312" w:hAnsi="仿宋_GB2312" w:eastAsia="仿宋_GB2312" w:cs="仿宋_GB2312"/>
          <w:sz w:val="32"/>
          <w:szCs w:val="32"/>
          <w:highlight w:val="none"/>
          <w:lang w:val="en-US" w:eastAsia="zh-CN"/>
        </w:rPr>
        <w:t>中心血站采血车1台</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94.83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公务用车运行维护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w:t>
      </w:r>
      <w:r>
        <w:rPr>
          <w:rFonts w:hint="eastAsia" w:ascii="仿宋_GB2312" w:hAnsi="仿宋_GB2312" w:eastAsia="仿宋_GB2312" w:cs="仿宋_GB2312"/>
          <w:sz w:val="32"/>
          <w:szCs w:val="32"/>
          <w:highlight w:val="none"/>
          <w:lang w:val="en-US" w:eastAsia="zh-CN"/>
        </w:rPr>
        <w:t>保有量为35辆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55.69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严格控制公务接待支出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上级及同级我是医疗机构检查、督导、调研等接待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271</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1492.12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妇幼保健院新院区整体迁建项目</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val="en-US" w:eastAsia="zh-CN"/>
        </w:rPr>
        <w:t>妇幼保健院新院区整体迁建项目</w:t>
      </w:r>
      <w:r>
        <w:rPr>
          <w:rFonts w:hint="eastAsia" w:ascii="仿宋_GB2312" w:hAnsi="仿宋_GB2312" w:eastAsia="仿宋_GB2312" w:cs="仿宋_GB2312"/>
          <w:sz w:val="32"/>
          <w:szCs w:val="32"/>
          <w:highlight w:val="none"/>
        </w:rPr>
        <w:t>年末结转和结余资金数额较大，主要原因：</w:t>
      </w:r>
      <w:r>
        <w:rPr>
          <w:rFonts w:hint="eastAsia" w:ascii="仿宋_GB2312" w:hAnsi="仿宋_GB2312" w:eastAsia="仿宋_GB2312" w:cs="仿宋_GB2312"/>
          <w:sz w:val="32"/>
          <w:szCs w:val="32"/>
          <w:highlight w:val="none"/>
          <w:lang w:val="en-US" w:eastAsia="zh-CN"/>
        </w:rPr>
        <w:t>付款条件达到后支付。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153.16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155.16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101.31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存在上年结转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5481.90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1899.65</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3582.25</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1608.94</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29.35</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77.97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114</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22140.85万元，其中：基本支出10787.35万元；支出项目37个，支出金额11353.50万元。开展项目绩效自评项目39个，自评金额10435.55万元；纳入重点绩效评价1个，评价金额415.9万元。</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2021〕1号）等文件精神，我部门对本部门）整体绩效目标和项目支出绩效目标进行了自评。一是部门整体绩效自评情况：我委从疫情防控、</w:t>
      </w:r>
      <w:r>
        <w:rPr>
          <w:rFonts w:hint="eastAsia" w:ascii="仿宋_GB2312" w:eastAsia="仿宋_GB2312"/>
          <w:sz w:val="32"/>
          <w:szCs w:val="32"/>
        </w:rPr>
        <w:t>贯彻执行党和国家国民健康政策</w:t>
      </w:r>
      <w:r>
        <w:rPr>
          <w:rFonts w:hint="eastAsia" w:ascii="仿宋_GB2312" w:eastAsia="仿宋_GB2312"/>
          <w:sz w:val="32"/>
          <w:szCs w:val="32"/>
          <w:lang w:eastAsia="zh-CN"/>
        </w:rPr>
        <w:t>、</w:t>
      </w:r>
      <w:r>
        <w:rPr>
          <w:rFonts w:hint="eastAsia" w:ascii="仿宋_GB2312" w:eastAsia="仿宋_GB2312"/>
          <w:sz w:val="32"/>
          <w:szCs w:val="32"/>
        </w:rPr>
        <w:t>推进深化医药卫生体制改革</w:t>
      </w:r>
      <w:r>
        <w:rPr>
          <w:rFonts w:hint="eastAsia" w:ascii="仿宋_GB2312" w:eastAsia="仿宋_GB2312"/>
          <w:sz w:val="32"/>
          <w:szCs w:val="32"/>
          <w:lang w:eastAsia="zh-CN"/>
        </w:rPr>
        <w:t>、</w:t>
      </w:r>
      <w:r>
        <w:rPr>
          <w:rFonts w:hint="eastAsia" w:ascii="仿宋_GB2312" w:eastAsia="仿宋_GB2312"/>
          <w:sz w:val="32"/>
          <w:szCs w:val="32"/>
        </w:rPr>
        <w:t>全市疾病预防控制规划、免疫规划以及危害人民健康公共卫生问题的干预措施</w:t>
      </w:r>
      <w:r>
        <w:rPr>
          <w:rFonts w:hint="eastAsia" w:ascii="仿宋_GB2312" w:eastAsia="仿宋_GB2312"/>
          <w:sz w:val="32"/>
          <w:szCs w:val="32"/>
          <w:lang w:val="en-US" w:eastAsia="zh-CN"/>
        </w:rPr>
        <w:t>拟定及落实</w:t>
      </w:r>
      <w:r>
        <w:rPr>
          <w:rFonts w:hint="eastAsia" w:ascii="仿宋_GB2312" w:eastAsia="仿宋_GB2312"/>
          <w:sz w:val="32"/>
          <w:szCs w:val="32"/>
          <w:lang w:eastAsia="zh-CN"/>
        </w:rPr>
        <w:t>、</w:t>
      </w:r>
      <w:r>
        <w:rPr>
          <w:rFonts w:hint="eastAsia" w:ascii="仿宋_GB2312" w:eastAsia="仿宋_GB2312"/>
          <w:sz w:val="32"/>
          <w:szCs w:val="32"/>
          <w:lang w:val="en-US" w:eastAsia="zh-CN"/>
        </w:rPr>
        <w:t>应对人口老龄化、贯彻落实基本药物制度、</w:t>
      </w:r>
      <w:r>
        <w:rPr>
          <w:rFonts w:hint="eastAsia" w:ascii="仿宋_GB2312" w:eastAsia="仿宋_GB2312"/>
          <w:sz w:val="32"/>
          <w:szCs w:val="32"/>
        </w:rPr>
        <w:t>职业卫生、放射卫生、环境卫生、学校卫生、公共场所卫生、饮用水卫生等公共卫生的监督管理</w:t>
      </w:r>
      <w:r>
        <w:rPr>
          <w:rFonts w:hint="eastAsia" w:ascii="仿宋_GB2312" w:eastAsia="仿宋_GB2312"/>
          <w:sz w:val="32"/>
          <w:szCs w:val="32"/>
          <w:lang w:eastAsia="zh-CN"/>
        </w:rPr>
        <w:t>、</w:t>
      </w:r>
      <w:r>
        <w:rPr>
          <w:rFonts w:hint="eastAsia" w:ascii="仿宋_GB2312" w:eastAsia="仿宋_GB2312"/>
          <w:sz w:val="32"/>
          <w:szCs w:val="32"/>
        </w:rPr>
        <w:t>全市医疗机构、医疗服务行业、采供血机构管理办法并监督</w:t>
      </w:r>
      <w:r>
        <w:rPr>
          <w:rFonts w:hint="eastAsia" w:ascii="仿宋_GB2312" w:eastAsia="仿宋_GB2312"/>
          <w:sz w:val="32"/>
          <w:szCs w:val="32"/>
          <w:lang w:eastAsia="zh-CN"/>
        </w:rPr>
        <w:t>、</w:t>
      </w:r>
      <w:r>
        <w:rPr>
          <w:rFonts w:hint="eastAsia" w:ascii="仿宋_GB2312" w:eastAsia="仿宋_GB2312"/>
          <w:sz w:val="32"/>
          <w:szCs w:val="32"/>
        </w:rPr>
        <w:t>计划生育管理和服务工作，开展人口监测预警</w:t>
      </w:r>
      <w:r>
        <w:rPr>
          <w:rFonts w:hint="eastAsia" w:ascii="仿宋_GB2312" w:eastAsia="仿宋_GB2312"/>
          <w:sz w:val="32"/>
          <w:szCs w:val="32"/>
          <w:lang w:eastAsia="zh-CN"/>
        </w:rPr>
        <w:t>、</w:t>
      </w:r>
      <w:r>
        <w:rPr>
          <w:rFonts w:hint="eastAsia" w:ascii="仿宋_GB2312" w:eastAsia="仿宋_GB2312"/>
          <w:sz w:val="32"/>
          <w:szCs w:val="32"/>
          <w:lang w:val="en-US" w:eastAsia="zh-CN"/>
        </w:rPr>
        <w:t>基层卫生和妇幼健康及职业健康管理情况、中医管理、市保健对象保健工作开展情况进行全面评价管理，</w:t>
      </w:r>
      <w:r>
        <w:rPr>
          <w:rFonts w:hint="eastAsia" w:ascii="仿宋_GB2312" w:hAnsi="仿宋_GB2312" w:eastAsia="仿宋_GB2312" w:cs="仿宋_GB2312"/>
          <w:color w:val="auto"/>
          <w:sz w:val="32"/>
          <w:szCs w:val="32"/>
          <w:highlight w:val="none"/>
          <w:lang w:val="en-US" w:eastAsia="zh-CN"/>
        </w:rPr>
        <w:t>要求预算涉及机关业务科室和相关单位绩效评价全覆盖，并严格按照通知要求开展绩效自评，在评价过程中，要本着实事求是的原则，确保数据准确、结果客观，严禁刻意提高评价结果、弄虚作假，针对自评中发现的问题要认真分析原因，明确责任，并积极落实整改，切实提高资金使用效益。二是项目绩效自评情况。我部门共有37个项目批复了绩效目标。其中：</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许昌市卫生健康委员会（本级）4个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许昌市疾病预防控制中心4个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许昌市卫生医学考试中心0个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许昌市妇幼保健院5个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许昌市120指挥中心0个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许昌市卫生计生监督局3个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许昌市建安医院2个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许昌市中心医院13个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许昌市传染病医院8个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许昌市红十字会0个</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94.20分。其中：36个项目评价等级为“优”、1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我部门选取0项目开展了部门重点评价。许昌市财政局选取我部门：许昌市家庭医生签约服务项目1个项目开展财政重点评价。其中：</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许昌市家庭医生签约服务项目评价得分：66.83分，等次为“中”。</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chineseCounting"/>
      <w:suff w:val="nothing"/>
      <w:lvlText w:val="%1、"/>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tyle>
  <w:style w:type="paragraph" w:styleId="2">
    <w:name w:val="footer"/>
    <w:basedOn w:val="1"/>
    <w:link w:val="9"/>
    <w:pPr>
      <w:tabs>
        <w:tab w:val="center" w:pos="4153"/>
        <w:tab w:val="right" w:pos="8306"/>
      </w:tabs>
      <w:snapToGrid w:val="0"/>
      <w:jc w:val="left"/>
    </w:pPr>
    <w:rPr>
      <w:kern w:val="2"/>
      <w:sz w:val="18"/>
      <w:szCs w:val="18"/>
    </w:rPr>
  </w:style>
  <w:style w:type="paragraph" w:styleId="3">
    <w:name w:val="header"/>
    <w:basedOn w:val="1"/>
    <w:link w:val="11"/>
    <w:pPr>
      <w:pBdr>
        <w:bottom w:val="single" w:color="auto" w:sz="6" w:space="1"/>
      </w:pBdr>
      <w:tabs>
        <w:tab w:val="center" w:pos="4153"/>
        <w:tab w:val="right" w:pos="8306"/>
      </w:tabs>
      <w:snapToGrid w:val="0"/>
      <w:jc w:val="center"/>
    </w:pPr>
    <w:rPr>
      <w:kern w:val="2"/>
      <w:sz w:val="18"/>
      <w:szCs w:val="18"/>
    </w:rPr>
  </w:style>
  <w:style w:type="character" w:styleId="5">
    <w:name w:val="FollowedHyperlink"/>
    <w:rPr>
      <w:color w:val="800080"/>
      <w:u w:val="single"/>
    </w:rPr>
  </w:style>
  <w:style w:type="character" w:styleId="6">
    <w:name w:val="Hyperlink"/>
    <w:rPr>
      <w:color w:val="0000FF"/>
      <w:u w:val="single"/>
    </w:rPr>
  </w:style>
  <w:style w:type="paragraph" w:customStyle="1" w:styleId="7">
    <w:name w:val="批注框文本 Char Char"/>
    <w:basedOn w:val="1"/>
    <w:rPr>
      <w:kern w:val="2"/>
      <w:sz w:val="18"/>
      <w:szCs w:val="18"/>
    </w:rPr>
  </w:style>
  <w:style w:type="paragraph" w:customStyle="1" w:styleId="8">
    <w:name w:val="p0"/>
    <w:basedOn w:val="1"/>
    <w:pPr>
      <w:widowControl/>
    </w:pPr>
    <w:rPr>
      <w:rFonts w:cs="宋体"/>
      <w:kern w:val="0"/>
      <w:szCs w:val="21"/>
    </w:rPr>
  </w:style>
  <w:style w:type="character" w:customStyle="1" w:styleId="9">
    <w:name w:val="页脚 Char Char"/>
    <w:link w:val="2"/>
    <w:semiHidden/>
    <w:rPr>
      <w:kern w:val="2"/>
      <w:sz w:val="18"/>
      <w:szCs w:val="18"/>
    </w:rPr>
  </w:style>
  <w:style w:type="character" w:customStyle="1" w:styleId="10">
    <w:name w:val="font01"/>
    <w:rPr>
      <w:rFonts w:hint="eastAsia" w:ascii="宋体" w:hAnsi="宋体" w:eastAsia="宋体" w:cs="宋体"/>
      <w:color w:val="000000"/>
      <w:sz w:val="22"/>
      <w:szCs w:val="22"/>
      <w:u w:val="none"/>
    </w:rPr>
  </w:style>
  <w:style w:type="character" w:customStyle="1" w:styleId="11">
    <w:name w:val="页眉 Char Char"/>
    <w:link w:val="3"/>
    <w:semiHidden/>
    <w:rPr>
      <w:kern w:val="2"/>
      <w:sz w:val="18"/>
      <w:szCs w:val="18"/>
    </w:rPr>
  </w:style>
  <w:style w:type="character" w:customStyle="1" w:styleId="12">
    <w:name w:val="font51"/>
    <w:rPr>
      <w:rFonts w:hint="eastAsia" w:ascii="宋体" w:hAnsi="宋体" w:eastAsia="宋体" w:cs="宋体"/>
      <w:color w:val="000000"/>
      <w:sz w:val="24"/>
      <w:szCs w:val="24"/>
      <w:u w:val="none"/>
    </w:rPr>
  </w:style>
  <w:style w:type="character" w:customStyle="1" w:styleId="13">
    <w:name w:val="font21"/>
    <w:rPr>
      <w:rFonts w:hint="eastAsia" w:ascii="宋体" w:hAnsi="宋体" w:eastAsia="宋体" w:cs="宋体"/>
      <w:color w:val="000000"/>
      <w:sz w:val="22"/>
      <w:szCs w:val="22"/>
      <w:u w:val="none"/>
    </w:rPr>
  </w:style>
  <w:style w:type="character" w:customStyle="1" w:styleId="14">
    <w:name w:val="font11"/>
    <w:rPr>
      <w:rFonts w:hint="eastAsia" w:ascii="宋体" w:hAnsi="宋体" w:eastAsia="宋体" w:cs="宋体"/>
      <w:color w:val="000000"/>
      <w:sz w:val="20"/>
      <w:szCs w:val="20"/>
      <w:u w:val="none"/>
    </w:rPr>
  </w:style>
  <w:style w:type="character" w:customStyle="1" w:styleId="15">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43</Pages>
  <Words>13200</Words>
  <Characters>17663</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Printed>2018-07-25T02:50:00Z</cp:lastPrinted>
  <dcterms:modified xsi:type="dcterms:W3CDTF">2023-05-15T15:52:42Z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7C020063AEE54AA9BD60CFA1D5807EBD</vt:lpwstr>
  </property>
</Properties>
</file>