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jc w:val="center"/>
        <w:rPr>
          <w:rFonts w:ascii="黑体" w:hAnsi="黑体" w:eastAsia="黑体"/>
          <w:sz w:val="52"/>
          <w:szCs w:val="52"/>
        </w:rPr>
      </w:pPr>
      <w:r>
        <w:rPr>
          <w:rFonts w:ascii="黑体" w:hAnsi="黑体" w:eastAsia="黑体" w:cs="黑体"/>
          <w:sz w:val="52"/>
          <w:szCs w:val="52"/>
        </w:rPr>
        <w:t>2021</w:t>
      </w:r>
      <w:r>
        <w:rPr>
          <w:rFonts w:hint="eastAsia" w:ascii="黑体" w:hAnsi="黑体" w:eastAsia="黑体" w:cs="黑体"/>
          <w:sz w:val="52"/>
          <w:szCs w:val="52"/>
        </w:rPr>
        <w:t>年度</w:t>
      </w:r>
    </w:p>
    <w:p>
      <w:pPr>
        <w:jc w:val="center"/>
        <w:rPr>
          <w:rFonts w:ascii="黑体" w:hAnsi="黑体" w:eastAsia="黑体"/>
          <w:sz w:val="52"/>
          <w:szCs w:val="52"/>
        </w:rPr>
      </w:pPr>
      <w:r>
        <w:rPr>
          <w:rFonts w:hint="eastAsia" w:ascii="黑体" w:hAnsi="黑体" w:eastAsia="黑体" w:cs="黑体"/>
          <w:sz w:val="52"/>
          <w:szCs w:val="52"/>
        </w:rPr>
        <w:t>许昌市公务接待服务中心部门决算</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32"/>
          <w:szCs w:val="32"/>
        </w:rPr>
      </w:pPr>
      <w:r>
        <w:rPr>
          <w:rFonts w:hint="eastAsia" w:ascii="黑体" w:hAnsi="黑体" w:eastAsia="黑体" w:cs="黑体"/>
          <w:sz w:val="32"/>
          <w:szCs w:val="32"/>
        </w:rPr>
        <w:t>二〇二二年九月</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sectPr>
          <w:pgSz w:w="11906" w:h="16838"/>
          <w:pgMar w:top="1440" w:right="1531" w:bottom="1440" w:left="1587" w:header="850" w:footer="992" w:gutter="0"/>
          <w:pgNumType w:fmt="numberInDash"/>
          <w:cols w:space="720" w:num="1"/>
          <w:docGrid w:type="lines" w:linePitch="317" w:charSpace="0"/>
        </w:sectPr>
      </w:pPr>
    </w:p>
    <w:p>
      <w:pPr>
        <w:jc w:val="center"/>
        <w:rPr>
          <w:rFonts w:ascii="黑体" w:hAnsi="黑体" w:eastAsia="黑体"/>
          <w:sz w:val="36"/>
          <w:szCs w:val="36"/>
        </w:rPr>
      </w:pPr>
      <w:r>
        <w:rPr>
          <w:rFonts w:hint="eastAsia" w:ascii="黑体" w:hAnsi="黑体" w:eastAsia="黑体" w:cs="黑体"/>
          <w:sz w:val="36"/>
          <w:szCs w:val="36"/>
        </w:rPr>
        <w:t>目　　录</w:t>
      </w:r>
    </w:p>
    <w:p>
      <w:pPr>
        <w:jc w:val="left"/>
        <w:rPr>
          <w:rFonts w:ascii="黑体" w:hAnsi="黑体" w:eastAsia="黑体"/>
          <w:sz w:val="32"/>
          <w:szCs w:val="32"/>
        </w:rPr>
      </w:pPr>
      <w:r>
        <w:rPr>
          <w:rFonts w:hint="eastAsia" w:ascii="黑体" w:hAnsi="黑体" w:eastAsia="黑体" w:cs="黑体"/>
          <w:sz w:val="32"/>
          <w:szCs w:val="32"/>
        </w:rPr>
        <w:t>第一部分　许昌市公务接待服务中心概况</w:t>
      </w:r>
    </w:p>
    <w:p>
      <w:pPr>
        <w:numPr>
          <w:ilvl w:val="0"/>
          <w:numId w:val="1"/>
        </w:numPr>
        <w:ind w:firstLine="640" w:firstLineChars="200"/>
        <w:jc w:val="left"/>
        <w:rPr>
          <w:rFonts w:ascii="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sz w:val="32"/>
          <w:szCs w:val="32"/>
        </w:rPr>
      </w:pPr>
      <w:r>
        <w:rPr>
          <w:rFonts w:hint="eastAsia" w:ascii="宋体" w:hAnsi="宋体" w:cs="宋体"/>
          <w:sz w:val="32"/>
          <w:szCs w:val="32"/>
        </w:rPr>
        <w:t>机构设置</w:t>
      </w:r>
    </w:p>
    <w:p>
      <w:pPr>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年度部门决算表</w:t>
      </w:r>
    </w:p>
    <w:p>
      <w:pPr>
        <w:ind w:firstLine="640" w:firstLineChars="200"/>
        <w:jc w:val="left"/>
        <w:rPr>
          <w:rFonts w:ascii="宋体"/>
          <w:sz w:val="32"/>
          <w:szCs w:val="32"/>
        </w:rPr>
      </w:pPr>
      <w:r>
        <w:rPr>
          <w:rFonts w:hint="eastAsia" w:ascii="宋体" w:hAnsi="宋体" w:cs="宋体"/>
          <w:sz w:val="32"/>
          <w:szCs w:val="32"/>
        </w:rPr>
        <w:t>一、收入支出决算总表</w:t>
      </w:r>
    </w:p>
    <w:p>
      <w:pPr>
        <w:ind w:firstLine="640" w:firstLineChars="200"/>
        <w:jc w:val="left"/>
        <w:rPr>
          <w:rFonts w:ascii="宋体"/>
          <w:sz w:val="32"/>
          <w:szCs w:val="32"/>
        </w:rPr>
      </w:pPr>
      <w:r>
        <w:rPr>
          <w:rFonts w:hint="eastAsia" w:ascii="宋体" w:hAnsi="宋体" w:cs="宋体"/>
          <w:sz w:val="32"/>
          <w:szCs w:val="32"/>
        </w:rPr>
        <w:t>二、收入决算表</w:t>
      </w:r>
    </w:p>
    <w:p>
      <w:pPr>
        <w:ind w:firstLine="640" w:firstLineChars="200"/>
        <w:jc w:val="left"/>
        <w:rPr>
          <w:rFonts w:ascii="宋体"/>
          <w:sz w:val="32"/>
          <w:szCs w:val="32"/>
        </w:rPr>
      </w:pPr>
      <w:r>
        <w:rPr>
          <w:rFonts w:hint="eastAsia" w:ascii="宋体" w:hAnsi="宋体" w:cs="宋体"/>
          <w:sz w:val="32"/>
          <w:szCs w:val="32"/>
        </w:rPr>
        <w:t>三、支出决算表</w:t>
      </w:r>
    </w:p>
    <w:p>
      <w:pPr>
        <w:ind w:firstLine="640" w:firstLineChars="200"/>
        <w:jc w:val="left"/>
        <w:rPr>
          <w:rFonts w:ascii="宋体"/>
          <w:sz w:val="32"/>
          <w:szCs w:val="32"/>
        </w:rPr>
      </w:pPr>
      <w:r>
        <w:rPr>
          <w:rFonts w:hint="eastAsia" w:ascii="宋体" w:hAnsi="宋体" w:cs="宋体"/>
          <w:sz w:val="32"/>
          <w:szCs w:val="32"/>
        </w:rPr>
        <w:t>四、财政拨款收入支出决算总表</w:t>
      </w:r>
    </w:p>
    <w:p>
      <w:pPr>
        <w:ind w:firstLine="640" w:firstLineChars="200"/>
        <w:jc w:val="left"/>
        <w:rPr>
          <w:rFonts w:ascii="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sz w:val="32"/>
          <w:szCs w:val="32"/>
        </w:rPr>
      </w:pPr>
      <w:r>
        <w:rPr>
          <w:rFonts w:hint="eastAsia" w:ascii="宋体" w:hAnsi="宋体" w:cs="宋体"/>
          <w:sz w:val="32"/>
          <w:szCs w:val="32"/>
        </w:rPr>
        <w:t>六、一般公共预算财政拨款基本支出决算明细表</w:t>
      </w:r>
    </w:p>
    <w:p>
      <w:pPr>
        <w:ind w:firstLine="640" w:firstLineChars="200"/>
        <w:jc w:val="left"/>
        <w:rPr>
          <w:rFonts w:ascii="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年度部门决算情况说明</w:t>
      </w:r>
    </w:p>
    <w:p>
      <w:pPr>
        <w:ind w:firstLine="640" w:firstLineChars="200"/>
        <w:jc w:val="left"/>
        <w:rPr>
          <w:rFonts w:ascii="宋体"/>
          <w:sz w:val="32"/>
          <w:szCs w:val="32"/>
        </w:rPr>
      </w:pPr>
      <w:r>
        <w:rPr>
          <w:rFonts w:hint="eastAsia" w:ascii="宋体" w:hAnsi="宋体" w:cs="宋体"/>
          <w:sz w:val="32"/>
          <w:szCs w:val="32"/>
        </w:rPr>
        <w:t>一、收入支出决算总体情况说明</w:t>
      </w:r>
    </w:p>
    <w:p>
      <w:pPr>
        <w:ind w:firstLine="640" w:firstLineChars="200"/>
        <w:jc w:val="left"/>
        <w:rPr>
          <w:rFonts w:ascii="宋体"/>
          <w:sz w:val="32"/>
          <w:szCs w:val="32"/>
        </w:rPr>
      </w:pPr>
      <w:r>
        <w:rPr>
          <w:rFonts w:hint="eastAsia" w:ascii="宋体" w:hAnsi="宋体" w:cs="宋体"/>
          <w:sz w:val="32"/>
          <w:szCs w:val="32"/>
        </w:rPr>
        <w:t>二、收入决算情况说明</w:t>
      </w:r>
    </w:p>
    <w:p>
      <w:pPr>
        <w:ind w:firstLine="640" w:firstLineChars="200"/>
        <w:jc w:val="left"/>
        <w:rPr>
          <w:rFonts w:ascii="宋体"/>
          <w:sz w:val="32"/>
          <w:szCs w:val="32"/>
        </w:rPr>
      </w:pPr>
      <w:r>
        <w:rPr>
          <w:rFonts w:hint="eastAsia" w:ascii="宋体" w:hAnsi="宋体" w:cs="宋体"/>
          <w:sz w:val="32"/>
          <w:szCs w:val="32"/>
        </w:rPr>
        <w:t>三、支出决算情况说明</w:t>
      </w:r>
    </w:p>
    <w:p>
      <w:pPr>
        <w:ind w:firstLine="640" w:firstLineChars="200"/>
        <w:jc w:val="left"/>
        <w:rPr>
          <w:rFonts w:ascii="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sz w:val="32"/>
          <w:szCs w:val="32"/>
        </w:rPr>
      </w:pPr>
      <w:r>
        <w:rPr>
          <w:rFonts w:hint="eastAsia" w:ascii="宋体" w:hAnsi="宋体" w:cs="宋体"/>
          <w:sz w:val="32"/>
          <w:szCs w:val="32"/>
        </w:rPr>
        <w:t>九、机关运行经费支出情况说明</w:t>
      </w:r>
    </w:p>
    <w:p>
      <w:pPr>
        <w:ind w:firstLine="640" w:firstLineChars="200"/>
        <w:jc w:val="left"/>
        <w:rPr>
          <w:rFonts w:ascii="宋体"/>
          <w:sz w:val="32"/>
          <w:szCs w:val="32"/>
        </w:rPr>
      </w:pPr>
      <w:r>
        <w:rPr>
          <w:rFonts w:hint="eastAsia" w:ascii="宋体" w:hAnsi="宋体" w:cs="宋体"/>
          <w:sz w:val="32"/>
          <w:szCs w:val="32"/>
        </w:rPr>
        <w:t>十、政府采购支出情况说明</w:t>
      </w:r>
    </w:p>
    <w:p>
      <w:pPr>
        <w:ind w:firstLine="640" w:firstLineChars="200"/>
        <w:jc w:val="left"/>
        <w:rPr>
          <w:rFonts w:ascii="宋体"/>
          <w:sz w:val="32"/>
          <w:szCs w:val="32"/>
        </w:rPr>
      </w:pPr>
      <w:r>
        <w:rPr>
          <w:rFonts w:hint="eastAsia" w:ascii="宋体" w:hAnsi="宋体" w:cs="宋体"/>
          <w:sz w:val="32"/>
          <w:szCs w:val="32"/>
        </w:rPr>
        <w:t>十一、国有资产占用情况说明</w:t>
      </w:r>
    </w:p>
    <w:p>
      <w:pPr>
        <w:ind w:firstLine="640" w:firstLineChars="200"/>
        <w:jc w:val="left"/>
        <w:rPr>
          <w:rFonts w:ascii="宋体"/>
          <w:sz w:val="32"/>
          <w:szCs w:val="32"/>
        </w:rPr>
      </w:pPr>
      <w:r>
        <w:rPr>
          <w:rFonts w:hint="eastAsia" w:ascii="宋体" w:hAnsi="宋体" w:cs="宋体"/>
          <w:sz w:val="32"/>
          <w:szCs w:val="32"/>
        </w:rPr>
        <w:t>十二、预算绩效情况说明</w:t>
      </w:r>
    </w:p>
    <w:p>
      <w:pPr>
        <w:jc w:val="left"/>
        <w:rPr>
          <w:rFonts w:ascii="黑体" w:hAnsi="黑体" w:eastAsia="黑体"/>
          <w:sz w:val="32"/>
          <w:szCs w:val="32"/>
        </w:rPr>
      </w:pPr>
      <w:r>
        <w:rPr>
          <w:rFonts w:hint="eastAsia" w:ascii="黑体" w:hAnsi="黑体" w:eastAsia="黑体" w:cs="黑体"/>
          <w:sz w:val="32"/>
          <w:szCs w:val="32"/>
        </w:rPr>
        <w:t>第四部分　　名词解释</w:t>
      </w: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outlineLvl w:val="0"/>
        <w:rPr>
          <w:rFonts w:ascii="黑体" w:hAnsi="黑体" w:eastAsia="黑体"/>
          <w:sz w:val="48"/>
          <w:szCs w:val="48"/>
        </w:rPr>
      </w:pPr>
    </w:p>
    <w:p>
      <w:pPr>
        <w:widowControl/>
        <w:jc w:val="center"/>
        <w:outlineLvl w:val="0"/>
        <w:rPr>
          <w:rFonts w:ascii="黑体" w:hAnsi="黑体" w:eastAsia="黑体"/>
          <w:sz w:val="48"/>
          <w:szCs w:val="48"/>
        </w:rPr>
      </w:pPr>
    </w:p>
    <w:p>
      <w:pPr>
        <w:widowControl/>
        <w:jc w:val="center"/>
        <w:outlineLvl w:val="0"/>
        <w:rPr>
          <w:rFonts w:ascii="黑体" w:hAnsi="黑体" w:eastAsia="黑体"/>
          <w:sz w:val="48"/>
          <w:szCs w:val="48"/>
        </w:rPr>
      </w:pPr>
    </w:p>
    <w:p>
      <w:pPr>
        <w:widowControl/>
        <w:jc w:val="center"/>
        <w:outlineLvl w:val="0"/>
        <w:rPr>
          <w:rFonts w:ascii="黑体" w:hAnsi="黑体" w:eastAsia="黑体"/>
          <w:sz w:val="48"/>
          <w:szCs w:val="48"/>
        </w:rPr>
      </w:pPr>
    </w:p>
    <w:p>
      <w:pPr>
        <w:widowControl/>
        <w:jc w:val="center"/>
        <w:outlineLvl w:val="0"/>
        <w:rPr>
          <w:rFonts w:ascii="黑体" w:hAnsi="黑体" w:eastAsia="黑体"/>
          <w:sz w:val="48"/>
          <w:szCs w:val="48"/>
        </w:rPr>
      </w:pPr>
    </w:p>
    <w:p>
      <w:pPr>
        <w:widowControl/>
        <w:jc w:val="center"/>
        <w:outlineLvl w:val="0"/>
        <w:rPr>
          <w:rFonts w:ascii="黑体" w:hAnsi="黑体" w:eastAsia="黑体"/>
          <w:sz w:val="48"/>
          <w:szCs w:val="48"/>
        </w:rPr>
      </w:pPr>
    </w:p>
    <w:p>
      <w:pPr>
        <w:widowControl/>
        <w:jc w:val="center"/>
        <w:outlineLvl w:val="0"/>
        <w:rPr>
          <w:rFonts w:ascii="黑体" w:hAnsi="黑体" w:eastAsia="黑体"/>
          <w:sz w:val="48"/>
          <w:szCs w:val="48"/>
        </w:rPr>
      </w:pPr>
      <w:r>
        <w:rPr>
          <w:rFonts w:hint="eastAsia" w:ascii="黑体" w:hAnsi="黑体" w:eastAsia="黑体" w:cs="黑体"/>
          <w:sz w:val="48"/>
          <w:szCs w:val="48"/>
        </w:rPr>
        <w:t>第一部分</w:t>
      </w:r>
    </w:p>
    <w:p>
      <w:pPr>
        <w:widowControl/>
        <w:jc w:val="center"/>
        <w:outlineLvl w:val="0"/>
        <w:rPr>
          <w:rFonts w:ascii="黑体" w:hAnsi="宋体" w:eastAsia="黑体"/>
          <w:kern w:val="0"/>
          <w:sz w:val="48"/>
          <w:szCs w:val="48"/>
        </w:rPr>
      </w:pPr>
      <w:r>
        <w:rPr>
          <w:rFonts w:hint="eastAsia" w:ascii="黑体" w:hAnsi="黑体" w:eastAsia="黑体" w:cs="黑体"/>
          <w:sz w:val="48"/>
          <w:szCs w:val="48"/>
        </w:rPr>
        <w:t>许昌市公务接待服务中心概况</w:t>
      </w: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p>
    <w:p>
      <w:pPr>
        <w:widowControl/>
        <w:jc w:val="left"/>
        <w:outlineLvl w:val="1"/>
        <w:rPr>
          <w:rFonts w:ascii="黑体" w:hAnsi="黑体" w:eastAsia="黑体"/>
          <w:kern w:val="0"/>
          <w:sz w:val="32"/>
          <w:szCs w:val="32"/>
        </w:rPr>
      </w:pPr>
    </w:p>
    <w:p>
      <w:pPr>
        <w:widowControl/>
        <w:jc w:val="left"/>
        <w:outlineLvl w:val="1"/>
        <w:rPr>
          <w:rFonts w:ascii="黑体" w:hAnsi="黑体" w:eastAsia="黑体"/>
          <w:kern w:val="0"/>
          <w:sz w:val="32"/>
          <w:szCs w:val="32"/>
        </w:rPr>
      </w:pPr>
    </w:p>
    <w:p>
      <w:pPr>
        <w:widowControl/>
        <w:jc w:val="left"/>
        <w:outlineLvl w:val="1"/>
        <w:rPr>
          <w:rFonts w:ascii="黑体" w:hAnsi="黑体" w:eastAsia="黑体"/>
          <w:kern w:val="0"/>
          <w:sz w:val="32"/>
          <w:szCs w:val="32"/>
        </w:rPr>
      </w:pPr>
    </w:p>
    <w:p>
      <w:pPr>
        <w:widowControl/>
        <w:jc w:val="left"/>
        <w:outlineLvl w:val="1"/>
        <w:rPr>
          <w:rFonts w:ascii="黑体" w:hAnsi="黑体" w:eastAsia="黑体"/>
          <w:kern w:val="0"/>
          <w:sz w:val="32"/>
          <w:szCs w:val="32"/>
        </w:rPr>
      </w:pPr>
    </w:p>
    <w:p>
      <w:pPr>
        <w:widowControl/>
        <w:jc w:val="left"/>
        <w:outlineLvl w:val="1"/>
        <w:rPr>
          <w:rFonts w:ascii="黑体" w:hAnsi="黑体" w:eastAsia="黑体"/>
          <w:kern w:val="0"/>
          <w:sz w:val="32"/>
          <w:szCs w:val="32"/>
        </w:rPr>
      </w:pPr>
    </w:p>
    <w:p>
      <w:pPr>
        <w:widowControl/>
        <w:ind w:firstLine="640" w:firstLineChars="200"/>
        <w:jc w:val="left"/>
        <w:outlineLvl w:val="1"/>
        <w:rPr>
          <w:rFonts w:ascii="黑体" w:hAnsi="黑体" w:eastAsia="黑体"/>
          <w:kern w:val="0"/>
          <w:sz w:val="32"/>
          <w:szCs w:val="32"/>
        </w:rPr>
      </w:pPr>
      <w:r>
        <w:rPr>
          <w:rFonts w:hint="eastAsia" w:ascii="黑体" w:hAnsi="黑体" w:eastAsia="黑体" w:cs="黑体"/>
          <w:kern w:val="0"/>
          <w:sz w:val="32"/>
          <w:szCs w:val="32"/>
        </w:rPr>
        <w:t>一、部门</w:t>
      </w:r>
      <w:r>
        <w:rPr>
          <w:rFonts w:hint="eastAsia" w:ascii="黑体" w:hAnsi="黑体" w:eastAsia="黑体" w:cs="黑体"/>
          <w:sz w:val="32"/>
          <w:szCs w:val="32"/>
        </w:rPr>
        <w:t>职责</w:t>
      </w:r>
    </w:p>
    <w:p>
      <w:pPr>
        <w:adjustRightInd w:val="0"/>
        <w:snapToGrid w:val="0"/>
        <w:spacing w:line="600" w:lineRule="exact"/>
        <w:ind w:firstLine="627" w:firstLineChars="196"/>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负责接待来许的副部级以上领导同志。</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负责接待省（直辖市、自治区）四大机关及兄弟地市四大机关副厅级以上领导同志。</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负责接待全国和省四大机关在我市召开的各类重要会议。</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负责接待国家和省四大机关来许的工作组、检查组、调研组等。</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根据中央、省有关公务接待的要求，制定我市公务接待的有关规定、办法并组织实施。</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负责协调、指导全市接待工作和接待人员的业务培训工作。</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负责安排四大班子领导同志外出公务活动的联络工作。</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负责办理市政府工作范围内的人大、政协的建议和提案工作。</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协助市直部门接待来许的中央、省直部门其他领导同志。</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协助有关部门对党政机关公务接待定点酒店服务质量的监督、检查工作。</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为市委、市政府提供接待工作信息。</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完成市委、市人大、市政府、市政协交办的其他接待事宜。</w:t>
      </w:r>
    </w:p>
    <w:p>
      <w:pPr>
        <w:widowControl/>
        <w:ind w:firstLine="640" w:firstLineChars="200"/>
        <w:jc w:val="left"/>
        <w:outlineLvl w:val="1"/>
        <w:rPr>
          <w:rFonts w:ascii="黑体" w:hAnsi="黑体" w:eastAsia="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许昌市公务接待服务中心内设机构</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个，包括：综合科、接待一科、接待二科。</w:t>
      </w:r>
    </w:p>
    <w:p>
      <w:pPr>
        <w:widowControl/>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从决算单位构成看，许昌市公务接待服务中心部门决算包括：本级决算</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本决算为汇总决算，纳入本部门</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年度部门决算编制范围的单位共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个，具体是：</w:t>
      </w:r>
    </w:p>
    <w:p>
      <w:pPr>
        <w:widowControl/>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许昌市公务接待服务中心</w:t>
      </w:r>
    </w:p>
    <w:p>
      <w:pPr>
        <w:widowControl/>
        <w:jc w:val="left"/>
        <w:rPr>
          <w:rFonts w:ascii="仿宋_GB2312" w:hAnsi="仿宋_GB2312" w:eastAsia="仿宋_GB2312"/>
          <w:kern w:val="0"/>
          <w:sz w:val="32"/>
          <w:szCs w:val="32"/>
        </w:rPr>
      </w:pPr>
    </w:p>
    <w:p>
      <w:pPr>
        <w:widowControl/>
        <w:jc w:val="left"/>
        <w:rPr>
          <w:rFonts w:ascii="黑体" w:hAnsi="宋体" w:eastAsia="黑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jc w:val="center"/>
        <w:outlineLvl w:val="0"/>
        <w:rPr>
          <w:rFonts w:ascii="黑体" w:hAnsi="黑体" w:eastAsia="黑体"/>
          <w:sz w:val="48"/>
          <w:szCs w:val="48"/>
        </w:rPr>
      </w:pPr>
      <w:r>
        <w:rPr>
          <w:rFonts w:hint="eastAsia" w:ascii="黑体" w:hAnsi="黑体" w:eastAsia="黑体" w:cs="黑体"/>
          <w:sz w:val="48"/>
          <w:szCs w:val="48"/>
        </w:rPr>
        <w:t>第二部分</w:t>
      </w:r>
      <w:r>
        <w:rPr>
          <w:rFonts w:ascii="黑体" w:hAnsi="黑体" w:eastAsia="黑体" w:cs="黑体"/>
          <w:sz w:val="48"/>
          <w:szCs w:val="48"/>
        </w:rPr>
        <w:t xml:space="preserve">  2021</w:t>
      </w:r>
      <w:r>
        <w:rPr>
          <w:rFonts w:hint="eastAsia" w:ascii="黑体" w:hAnsi="黑体" w:eastAsia="黑体" w:cs="黑体"/>
          <w:sz w:val="48"/>
          <w:szCs w:val="48"/>
        </w:rPr>
        <w:t>年度部门决算表</w:t>
      </w:r>
    </w:p>
    <w:p>
      <w:pPr>
        <w:widowControl/>
        <w:jc w:val="left"/>
        <w:rPr>
          <w:rFonts w:ascii="黑体" w:hAnsi="宋体" w:eastAsia="黑体"/>
          <w:kern w:val="0"/>
          <w:sz w:val="28"/>
          <w:szCs w:val="28"/>
        </w:rPr>
      </w:pPr>
    </w:p>
    <w:p>
      <w:pPr>
        <w:widowControl/>
        <w:jc w:val="left"/>
        <w:rPr>
          <w:rFonts w:ascii="黑体" w:hAnsi="宋体" w:eastAsia="黑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收入支出决算总表</w:t>
            </w:r>
          </w:p>
        </w:tc>
      </w:tr>
      <w:tr>
        <w:tblPrEx>
          <w:tblCellMar>
            <w:top w:w="0" w:type="dxa"/>
            <w:left w:w="0" w:type="dxa"/>
            <w:bottom w:w="0" w:type="dxa"/>
            <w:right w:w="0" w:type="dxa"/>
          </w:tblCellMar>
        </w:tblPrEx>
        <w:trPr>
          <w:trHeight w:val="199" w:hRule="atLeast"/>
        </w:trPr>
        <w:tc>
          <w:tcPr>
            <w:tcW w:w="5104" w:type="dxa"/>
            <w:gridSpan w:val="2"/>
            <w:vMerge w:val="restart"/>
            <w:tcBorders>
              <w:top w:val="nil"/>
              <w:left w:val="nil"/>
              <w:right w:val="nil"/>
            </w:tcBorders>
            <w:shd w:val="clear" w:color="auto" w:fill="FFFFFF"/>
            <w:noWrap/>
            <w:tcMar>
              <w:top w:w="15" w:type="dxa"/>
              <w:left w:w="15" w:type="dxa"/>
              <w:right w:w="15" w:type="dxa"/>
            </w:tcMar>
            <w:vAlign w:val="bottom"/>
          </w:tcPr>
          <w:p>
            <w:pPr>
              <w:rPr>
                <w:rFonts w:ascii="宋体"/>
                <w:color w:val="000000"/>
                <w:sz w:val="20"/>
                <w:szCs w:val="20"/>
              </w:rPr>
            </w:pPr>
            <w:r>
              <w:rPr>
                <w:rFonts w:hint="eastAsia" w:ascii="宋体" w:hAnsi="宋体" w:cs="宋体"/>
                <w:color w:val="000000"/>
                <w:kern w:val="0"/>
                <w:sz w:val="20"/>
                <w:szCs w:val="20"/>
              </w:rPr>
              <w:t>部门：许昌市公务接待服务中心</w:t>
            </w: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5104" w:type="dxa"/>
            <w:gridSpan w:val="2"/>
            <w:vMerge w:val="continue"/>
            <w:tcBorders>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w:t>
            </w:r>
            <w:r>
              <w:rPr>
                <w:rFonts w:ascii="宋体" w:hAnsi="宋体" w:cs="宋体"/>
                <w:color w:val="000000"/>
                <w:kern w:val="0"/>
                <w:sz w:val="22"/>
                <w:szCs w:val="22"/>
              </w:rPr>
              <w:t xml:space="preserve">    </w:t>
            </w:r>
            <w:r>
              <w:rPr>
                <w:rFonts w:hint="eastAsia" w:ascii="宋体" w:hAnsi="宋体" w:cs="宋体"/>
                <w:color w:val="000000"/>
                <w:kern w:val="0"/>
                <w:sz w:val="22"/>
                <w:szCs w:val="22"/>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w:t>
            </w:r>
            <w:r>
              <w:rPr>
                <w:rFonts w:ascii="宋体" w:hAnsi="宋体" w:cs="宋体"/>
                <w:color w:val="000000"/>
                <w:kern w:val="0"/>
                <w:sz w:val="22"/>
                <w:szCs w:val="22"/>
              </w:rPr>
              <w:t xml:space="preserve">    </w:t>
            </w:r>
            <w:r>
              <w:rPr>
                <w:rFonts w:hint="eastAsia" w:ascii="宋体" w:hAnsi="宋体" w:cs="宋体"/>
                <w:color w:val="000000"/>
                <w:kern w:val="0"/>
                <w:sz w:val="22"/>
                <w:szCs w:val="22"/>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t>536.34</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t>657.26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t>4.88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r>
              <w:t>8.89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19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b/>
                <w:bCs/>
              </w:rPr>
            </w:pPr>
            <w:r>
              <w:rPr>
                <w:rFonts w:hint="eastAsia" w:cs="宋体"/>
                <w:b/>
                <w:bCs/>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b/>
                <w:bCs/>
              </w:rPr>
            </w:pPr>
            <w:r>
              <w:rPr>
                <w:b/>
                <w:bCs/>
              </w:rPr>
              <w:t>27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rPr>
            </w:pPr>
            <w:r>
              <w:rPr>
                <w:b/>
                <w:bCs/>
              </w:rPr>
              <w:t>536.34</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b/>
                <w:bCs/>
              </w:rPr>
            </w:pPr>
            <w:r>
              <w:rPr>
                <w:rFonts w:hint="eastAsia" w:cs="宋体"/>
                <w:b/>
                <w:bCs/>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b/>
                <w:bCs/>
              </w:rPr>
            </w:pPr>
            <w:r>
              <w:rPr>
                <w:b/>
                <w:bCs/>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b/>
                <w:bCs/>
              </w:rPr>
            </w:pPr>
            <w:r>
              <w:rPr>
                <w:b/>
                <w:bCs/>
              </w:rPr>
              <w:t>671.03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使用非财政拨款结余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r>
              <w:rPr>
                <w:rFonts w:hint="eastAsia" w:cs="宋体"/>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29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t>134.69</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noWrap/>
            <w:tcMar>
              <w:top w:w="15" w:type="dxa"/>
              <w:left w:w="15" w:type="dxa"/>
              <w:right w:w="15" w:type="dxa"/>
            </w:tcMar>
            <w:vAlign w:val="center"/>
          </w:tcPr>
          <w:p>
            <w:r>
              <w:rPr>
                <w:rFonts w:hint="eastAsia" w:cs="宋体"/>
              </w:rPr>
              <w:t>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30</w:t>
            </w:r>
          </w:p>
        </w:tc>
        <w:tc>
          <w:tcPr>
            <w:tcW w:w="17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r>
              <w:rPr>
                <w:rFonts w:hint="eastAsia" w:cs="宋体"/>
              </w:rPr>
              <w:t>　</w:t>
            </w:r>
          </w:p>
        </w:tc>
        <w:tc>
          <w:tcPr>
            <w:tcW w:w="4671" w:type="dxa"/>
            <w:tcBorders>
              <w:top w:val="single" w:color="000000" w:sz="4" w:space="0"/>
              <w:left w:val="single" w:color="000000" w:sz="4" w:space="0"/>
              <w:bottom w:val="nil"/>
              <w:right w:val="nil"/>
            </w:tcBorders>
            <w:noWrap/>
            <w:tcMar>
              <w:top w:w="15" w:type="dxa"/>
              <w:left w:w="15" w:type="dxa"/>
              <w:right w:w="15" w:type="dxa"/>
            </w:tcMar>
            <w:vAlign w:val="center"/>
          </w:tcPr>
          <w:p>
            <w:r>
              <w:rPr>
                <w:rFonts w:hint="eastAsia" w:cs="宋体"/>
              </w:rPr>
              <w:t>　</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r>
              <w:rPr>
                <w:rFonts w:hint="eastAsia" w:cs="宋体"/>
              </w:rPr>
              <w:t>　</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rPr>
                <w:rFonts w:ascii="宋体"/>
                <w:b/>
                <w:bCs/>
                <w:color w:val="000000"/>
                <w:sz w:val="22"/>
                <w:szCs w:val="22"/>
              </w:rPr>
            </w:pPr>
            <w:r>
              <w:rPr>
                <w:rFonts w:hint="eastAsia" w:cs="宋体"/>
                <w:b/>
                <w:bCs/>
                <w:color w:val="000000"/>
                <w:sz w:val="22"/>
                <w:szCs w:val="22"/>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color w:val="000000"/>
                <w:sz w:val="22"/>
                <w:szCs w:val="22"/>
              </w:rPr>
              <w:t>31</w:t>
            </w:r>
          </w:p>
        </w:tc>
        <w:tc>
          <w:tcPr>
            <w:tcW w:w="176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color w:val="000000"/>
                <w:sz w:val="22"/>
                <w:szCs w:val="22"/>
              </w:rPr>
              <w:t>671.03</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center"/>
              <w:rPr>
                <w:rFonts w:ascii="宋体"/>
                <w:b/>
                <w:bCs/>
                <w:color w:val="000000"/>
                <w:sz w:val="22"/>
                <w:szCs w:val="22"/>
              </w:rPr>
            </w:pPr>
            <w:r>
              <w:rPr>
                <w:rFonts w:hint="eastAsia" w:cs="宋体"/>
                <w:b/>
                <w:bCs/>
                <w:color w:val="000000"/>
                <w:sz w:val="22"/>
                <w:szCs w:val="22"/>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color w:val="000000"/>
                <w:sz w:val="22"/>
                <w:szCs w:val="22"/>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color w:val="000000"/>
                <w:sz w:val="22"/>
                <w:szCs w:val="22"/>
              </w:rPr>
              <w:t>671.03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注：本表反映部门本年度的总收支和年末结转结余情况。本表金额转换为万元时，因四舍五入可能存在尾差。</w:t>
            </w:r>
          </w:p>
        </w:tc>
      </w:tr>
    </w:tbl>
    <w:p>
      <w:pPr>
        <w:rPr>
          <w:rFonts w:ascii="仿宋_GB2312" w:hAnsi="仿宋_GB2312" w:eastAsia="仿宋_GB2312"/>
          <w:sz w:val="32"/>
          <w:szCs w:val="32"/>
        </w:rPr>
      </w:pPr>
    </w:p>
    <w:p>
      <w:pPr>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1086"/>
        <w:gridCol w:w="2056"/>
        <w:gridCol w:w="768"/>
        <w:gridCol w:w="88"/>
        <w:gridCol w:w="1465"/>
        <w:gridCol w:w="176"/>
        <w:gridCol w:w="1377"/>
        <w:gridCol w:w="264"/>
        <w:gridCol w:w="1289"/>
        <w:gridCol w:w="352"/>
        <w:gridCol w:w="1201"/>
        <w:gridCol w:w="440"/>
        <w:gridCol w:w="1641"/>
        <w:gridCol w:w="1642"/>
      </w:tblGrid>
      <w:tr>
        <w:tblPrEx>
          <w:tblCellMar>
            <w:top w:w="0" w:type="dxa"/>
            <w:left w:w="0" w:type="dxa"/>
            <w:bottom w:w="0" w:type="dxa"/>
            <w:right w:w="0" w:type="dxa"/>
          </w:tblCellMar>
        </w:tblPrEx>
        <w:trPr>
          <w:trHeight w:val="435" w:hRule="atLeast"/>
        </w:trPr>
        <w:tc>
          <w:tcPr>
            <w:tcW w:w="13845" w:type="dxa"/>
            <w:gridSpan w:val="14"/>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收入决算表</w:t>
            </w:r>
          </w:p>
        </w:tc>
      </w:tr>
      <w:tr>
        <w:tblPrEx>
          <w:tblCellMar>
            <w:top w:w="0" w:type="dxa"/>
            <w:left w:w="0" w:type="dxa"/>
            <w:bottom w:w="0" w:type="dxa"/>
            <w:right w:w="0" w:type="dxa"/>
          </w:tblCellMar>
        </w:tblPrEx>
        <w:trPr>
          <w:trHeight w:val="285" w:hRule="atLeast"/>
        </w:trPr>
        <w:tc>
          <w:tcPr>
            <w:tcW w:w="3910" w:type="dxa"/>
            <w:gridSpan w:val="3"/>
            <w:vMerge w:val="restart"/>
            <w:tcBorders>
              <w:top w:val="nil"/>
              <w:left w:val="nil"/>
              <w:right w:val="nil"/>
            </w:tcBorders>
            <w:shd w:val="clear" w:color="auto" w:fill="FFFFFF"/>
            <w:noWrap/>
            <w:tcMar>
              <w:top w:w="15" w:type="dxa"/>
              <w:left w:w="15" w:type="dxa"/>
              <w:right w:w="15" w:type="dxa"/>
            </w:tcMar>
            <w:vAlign w:val="bottom"/>
          </w:tcPr>
          <w:p>
            <w:pPr>
              <w:rPr>
                <w:rFonts w:ascii="宋体"/>
                <w:color w:val="000000"/>
                <w:kern w:val="0"/>
                <w:sz w:val="20"/>
                <w:szCs w:val="20"/>
              </w:rPr>
            </w:pPr>
            <w:r>
              <w:rPr>
                <w:rFonts w:hint="eastAsia" w:ascii="宋体" w:hAnsi="宋体" w:cs="宋体"/>
                <w:color w:val="000000"/>
                <w:kern w:val="0"/>
                <w:sz w:val="20"/>
                <w:szCs w:val="20"/>
              </w:rPr>
              <w:t>部门：许昌市公务接待服务中心</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3723"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3910" w:type="dxa"/>
            <w:gridSpan w:val="3"/>
            <w:vMerge w:val="continue"/>
            <w:tcBorders>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3723"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142" w:type="dxa"/>
            <w:gridSpan w:val="2"/>
            <w:tcBorders>
              <w:top w:val="single" w:color="000000" w:sz="8"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85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经营收入</w:t>
            </w:r>
          </w:p>
        </w:tc>
        <w:tc>
          <w:tcPr>
            <w:tcW w:w="1641" w:type="dxa"/>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其他收入</w:t>
            </w:r>
          </w:p>
        </w:tc>
      </w:tr>
      <w:tr>
        <w:tblPrEx>
          <w:tblCellMar>
            <w:top w:w="0" w:type="dxa"/>
            <w:left w:w="0" w:type="dxa"/>
            <w:bottom w:w="0" w:type="dxa"/>
            <w:right w:w="0" w:type="dxa"/>
          </w:tblCellMar>
        </w:tblPrEx>
        <w:trPr>
          <w:trHeight w:val="450" w:hRule="atLeast"/>
        </w:trPr>
        <w:tc>
          <w:tcPr>
            <w:tcW w:w="1086" w:type="dxa"/>
            <w:vMerge w:val="restart"/>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功能分类</w:t>
            </w:r>
          </w:p>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85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450" w:hRule="atLeast"/>
        </w:trPr>
        <w:tc>
          <w:tcPr>
            <w:tcW w:w="1086" w:type="dxa"/>
            <w:vMerge w:val="continue"/>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85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1"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450" w:hRule="atLeast"/>
        </w:trPr>
        <w:tc>
          <w:tcPr>
            <w:tcW w:w="3142"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r>
      <w:tr>
        <w:tblPrEx>
          <w:tblCellMar>
            <w:top w:w="0" w:type="dxa"/>
            <w:left w:w="0" w:type="dxa"/>
            <w:bottom w:w="0" w:type="dxa"/>
            <w:right w:w="0" w:type="dxa"/>
          </w:tblCellMar>
        </w:tblPrEx>
        <w:trPr>
          <w:trHeight w:val="450" w:hRule="atLeast"/>
        </w:trPr>
        <w:tc>
          <w:tcPr>
            <w:tcW w:w="3142" w:type="dxa"/>
            <w:gridSpan w:val="2"/>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hint="eastAsia" w:ascii="宋体" w:hAnsi="宋体" w:cs="宋体"/>
                <w:color w:val="000000"/>
                <w:sz w:val="22"/>
                <w:szCs w:val="22"/>
              </w:rPr>
              <w:t>合计</w:t>
            </w:r>
          </w:p>
        </w:tc>
        <w:tc>
          <w:tcPr>
            <w:tcW w:w="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536.34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536.34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一般公共服务支出</w:t>
            </w:r>
          </w:p>
        </w:tc>
        <w:tc>
          <w:tcPr>
            <w:tcW w:w="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522.57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522.57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政府办公厅（室）及相关机构事务</w:t>
            </w:r>
          </w:p>
        </w:tc>
        <w:tc>
          <w:tcPr>
            <w:tcW w:w="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513.38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513.38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2010301</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行政运行</w:t>
            </w:r>
          </w:p>
        </w:tc>
        <w:tc>
          <w:tcPr>
            <w:tcW w:w="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271.26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271.26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2010302</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一般行政管理事务</w:t>
            </w:r>
          </w:p>
        </w:tc>
        <w:tc>
          <w:tcPr>
            <w:tcW w:w="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242.12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242.12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20129</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群众团体事务</w:t>
            </w:r>
          </w:p>
        </w:tc>
        <w:tc>
          <w:tcPr>
            <w:tcW w:w="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2012906</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工会事务</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20132</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rPr>
                <w:rFonts w:hint="eastAsia" w:cs="宋体"/>
              </w:rPr>
              <w:t>组织事务</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2013201</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行政运行</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rPr>
                <w:rFonts w:hint="eastAsia" w:cs="宋体"/>
              </w:rPr>
              <w:t>社会保障和就业支出</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20805</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rPr>
                <w:rFonts w:hint="eastAsia" w:cs="宋体"/>
              </w:rPr>
              <w:t>行政事业单位养老支出</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2080505</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机关事业单位基本养老保险缴费支出</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rPr>
                <w:rFonts w:hint="eastAsia" w:cs="宋体"/>
              </w:rPr>
              <w:t>卫生健康支出</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rPr>
                <w:rFonts w:hint="eastAsia" w:cs="宋体"/>
              </w:rPr>
              <w:t>行政事业单位医疗</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2101101</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行政单位医疗</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4.63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4.63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2101103</w:t>
            </w:r>
          </w:p>
        </w:tc>
        <w:tc>
          <w:tcPr>
            <w:tcW w:w="20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r>
              <w:t xml:space="preserve">  </w:t>
            </w:r>
            <w:r>
              <w:rPr>
                <w:rFonts w:hint="eastAsia" w:cs="宋体"/>
              </w:rPr>
              <w:t>公务员医疗补助</w:t>
            </w:r>
          </w:p>
        </w:tc>
        <w:tc>
          <w:tcPr>
            <w:tcW w:w="85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4.26</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4.26</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615" w:hRule="atLeast"/>
        </w:trPr>
        <w:tc>
          <w:tcPr>
            <w:tcW w:w="13845" w:type="dxa"/>
            <w:gridSpan w:val="14"/>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ascii="仿宋_GB2312" w:hAnsi="仿宋_GB2312" w:eastAsia="仿宋_GB2312"/>
          <w:sz w:val="32"/>
          <w:szCs w:val="32"/>
        </w:rPr>
      </w:pPr>
    </w:p>
    <w:p>
      <w:pPr>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1183"/>
        <w:gridCol w:w="2334"/>
        <w:gridCol w:w="816"/>
        <w:gridCol w:w="667"/>
        <w:gridCol w:w="1135"/>
        <w:gridCol w:w="569"/>
        <w:gridCol w:w="1232"/>
        <w:gridCol w:w="335"/>
        <w:gridCol w:w="1467"/>
        <w:gridCol w:w="437"/>
        <w:gridCol w:w="1904"/>
        <w:gridCol w:w="1909"/>
      </w:tblGrid>
      <w:tr>
        <w:tblPrEx>
          <w:tblCellMar>
            <w:top w:w="0" w:type="dxa"/>
            <w:left w:w="0" w:type="dxa"/>
            <w:bottom w:w="0" w:type="dxa"/>
            <w:right w:w="0" w:type="dxa"/>
          </w:tblCellMar>
        </w:tblPrEx>
        <w:trPr>
          <w:trHeight w:val="435" w:hRule="atLeast"/>
        </w:trPr>
        <w:tc>
          <w:tcPr>
            <w:tcW w:w="13988" w:type="dxa"/>
            <w:gridSpan w:val="12"/>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支出决算表</w:t>
            </w:r>
          </w:p>
        </w:tc>
      </w:tr>
      <w:tr>
        <w:tblPrEx>
          <w:tblCellMar>
            <w:top w:w="0" w:type="dxa"/>
            <w:left w:w="0" w:type="dxa"/>
            <w:bottom w:w="0" w:type="dxa"/>
            <w:right w:w="0" w:type="dxa"/>
          </w:tblCellMar>
        </w:tblPrEx>
        <w:trPr>
          <w:trHeight w:val="285" w:hRule="atLeast"/>
        </w:trPr>
        <w:tc>
          <w:tcPr>
            <w:tcW w:w="4333" w:type="dxa"/>
            <w:gridSpan w:val="3"/>
            <w:vMerge w:val="restart"/>
            <w:tcBorders>
              <w:top w:val="nil"/>
              <w:left w:val="nil"/>
              <w:right w:val="nil"/>
            </w:tcBorders>
            <w:shd w:val="clear" w:color="auto" w:fill="FFFFFF"/>
            <w:noWrap/>
            <w:tcMar>
              <w:top w:w="15" w:type="dxa"/>
              <w:left w:w="15" w:type="dxa"/>
              <w:right w:w="15" w:type="dxa"/>
            </w:tcMar>
            <w:vAlign w:val="bottom"/>
          </w:tcPr>
          <w:p>
            <w:pPr>
              <w:rPr>
                <w:rFonts w:ascii="宋体"/>
                <w:color w:val="000000"/>
                <w:kern w:val="0"/>
                <w:sz w:val="20"/>
                <w:szCs w:val="20"/>
              </w:rPr>
            </w:pPr>
            <w:r>
              <w:rPr>
                <w:rFonts w:hint="eastAsia" w:ascii="宋体" w:hAnsi="宋体" w:cs="宋体"/>
                <w:color w:val="000000"/>
                <w:kern w:val="0"/>
                <w:sz w:val="20"/>
                <w:szCs w:val="20"/>
              </w:rPr>
              <w:t>部门：许昌市公务接待服务中心</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425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333" w:type="dxa"/>
            <w:gridSpan w:val="3"/>
            <w:vMerge w:val="continue"/>
            <w:tcBorders>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425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517" w:type="dxa"/>
            <w:gridSpan w:val="2"/>
            <w:tcBorders>
              <w:top w:val="single" w:color="000000" w:sz="8"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148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本年支出合计</w:t>
            </w:r>
          </w:p>
        </w:tc>
        <w:tc>
          <w:tcPr>
            <w:tcW w:w="17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156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上缴上级支出</w:t>
            </w:r>
          </w:p>
        </w:tc>
        <w:tc>
          <w:tcPr>
            <w:tcW w:w="1904" w:type="dxa"/>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对附属单位补助支出</w:t>
            </w:r>
          </w:p>
        </w:tc>
      </w:tr>
      <w:tr>
        <w:tblPrEx>
          <w:tblCellMar>
            <w:top w:w="0" w:type="dxa"/>
            <w:left w:w="0" w:type="dxa"/>
            <w:bottom w:w="0" w:type="dxa"/>
            <w:right w:w="0" w:type="dxa"/>
          </w:tblCellMar>
        </w:tblPrEx>
        <w:trPr>
          <w:trHeight w:val="450" w:hRule="atLeast"/>
        </w:trPr>
        <w:tc>
          <w:tcPr>
            <w:tcW w:w="1183" w:type="dxa"/>
            <w:vMerge w:val="restart"/>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功能分类</w:t>
            </w:r>
          </w:p>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2334"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4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7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56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450" w:hRule="atLeast"/>
        </w:trPr>
        <w:tc>
          <w:tcPr>
            <w:tcW w:w="1183" w:type="dxa"/>
            <w:vMerge w:val="continue"/>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4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7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56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450" w:hRule="atLeast"/>
        </w:trPr>
        <w:tc>
          <w:tcPr>
            <w:tcW w:w="351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r>
      <w:tr>
        <w:tblPrEx>
          <w:tblCellMar>
            <w:top w:w="0" w:type="dxa"/>
            <w:left w:w="0" w:type="dxa"/>
            <w:bottom w:w="0" w:type="dxa"/>
            <w:right w:w="0" w:type="dxa"/>
          </w:tblCellMar>
        </w:tblPrEx>
        <w:trPr>
          <w:trHeight w:val="450" w:hRule="atLeast"/>
        </w:trPr>
        <w:tc>
          <w:tcPr>
            <w:tcW w:w="3517" w:type="dxa"/>
            <w:gridSpan w:val="2"/>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hint="eastAsia" w:ascii="宋体" w:hAnsi="宋体" w:cs="宋体"/>
                <w:color w:val="000000"/>
                <w:sz w:val="22"/>
                <w:szCs w:val="22"/>
              </w:rPr>
              <w:t>合计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671.03</w:t>
            </w:r>
          </w:p>
        </w:tc>
        <w:tc>
          <w:tcPr>
            <w:tcW w:w="17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325.70</w:t>
            </w:r>
          </w:p>
        </w:tc>
        <w:tc>
          <w:tcPr>
            <w:tcW w:w="1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345.33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b/>
                <w:bCs/>
                <w:color w:val="000000"/>
                <w:sz w:val="22"/>
                <w:szCs w:val="22"/>
              </w:rPr>
            </w:pPr>
            <w:r>
              <w:rPr>
                <w:rFonts w:hint="eastAsia" w:ascii="宋体" w:hAnsi="宋体" w:cs="宋体"/>
                <w:b/>
                <w:bCs/>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一般公共服务支出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657.26</w:t>
            </w:r>
          </w:p>
        </w:tc>
        <w:tc>
          <w:tcPr>
            <w:tcW w:w="17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311.93</w:t>
            </w:r>
          </w:p>
        </w:tc>
        <w:tc>
          <w:tcPr>
            <w:tcW w:w="1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345.33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r>
              <w:rPr>
                <w:rFonts w:hint="eastAsia" w:cs="宋体"/>
              </w:rPr>
              <w:t>政府办公厅（室）及相关机构事务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648.07</w:t>
            </w:r>
          </w:p>
        </w:tc>
        <w:tc>
          <w:tcPr>
            <w:tcW w:w="17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302.74</w:t>
            </w:r>
          </w:p>
        </w:tc>
        <w:tc>
          <w:tcPr>
            <w:tcW w:w="1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345.33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2010301</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行政运行</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272.88</w:t>
            </w:r>
          </w:p>
        </w:tc>
        <w:tc>
          <w:tcPr>
            <w:tcW w:w="17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272.88</w:t>
            </w:r>
          </w:p>
        </w:tc>
        <w:tc>
          <w:tcPr>
            <w:tcW w:w="1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2010302</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一般行政管理事务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375.19</w:t>
            </w:r>
          </w:p>
        </w:tc>
        <w:tc>
          <w:tcPr>
            <w:tcW w:w="17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29.86</w:t>
            </w:r>
          </w:p>
        </w:tc>
        <w:tc>
          <w:tcPr>
            <w:tcW w:w="1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345.33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20129</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群众团体事务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7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2012906</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工会事务</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20132</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组织事务</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2013201</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行政运行</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社会保障和就业支出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20805</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行政事业单位养老支出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2080505</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机关事业单位基本养老保险缴费支出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卫生健康支出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行政事业单位医疗</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2101101</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行政单位医疗</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4.63</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4.63</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2101103</w:t>
            </w:r>
          </w:p>
        </w:tc>
        <w:tc>
          <w:tcPr>
            <w:tcW w:w="233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公务员医疗补助</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4.26</w:t>
            </w:r>
          </w:p>
        </w:tc>
        <w:tc>
          <w:tcPr>
            <w:tcW w:w="17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4.26</w:t>
            </w:r>
          </w:p>
        </w:tc>
        <w:tc>
          <w:tcPr>
            <w:tcW w:w="15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630" w:hRule="atLeast"/>
        </w:trPr>
        <w:tc>
          <w:tcPr>
            <w:tcW w:w="13988" w:type="dxa"/>
            <w:gridSpan w:val="12"/>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2988"/>
        <w:gridCol w:w="1726"/>
        <w:gridCol w:w="1210"/>
        <w:gridCol w:w="2519"/>
        <w:gridCol w:w="1070"/>
        <w:gridCol w:w="924"/>
        <w:gridCol w:w="918"/>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财政拨款收入支出决算总表</w:t>
            </w:r>
          </w:p>
        </w:tc>
        <w:tc>
          <w:tcPr>
            <w:tcW w:w="1058" w:type="dxa"/>
            <w:tcBorders>
              <w:top w:val="nil"/>
              <w:left w:val="nil"/>
              <w:bottom w:val="nil"/>
              <w:right w:val="nil"/>
            </w:tcBorders>
            <w:noWrap/>
          </w:tcPr>
          <w:p>
            <w:pPr>
              <w:widowControl/>
              <w:jc w:val="center"/>
              <w:textAlignment w:val="center"/>
              <w:rPr>
                <w:rFonts w:ascii="????" w:hAnsi="????" w:cs="????"/>
                <w:color w:val="000000"/>
                <w:kern w:val="0"/>
                <w:sz w:val="32"/>
                <w:szCs w:val="32"/>
              </w:rPr>
            </w:pPr>
          </w:p>
        </w:tc>
      </w:tr>
      <w:tr>
        <w:tblPrEx>
          <w:tblCellMar>
            <w:top w:w="0" w:type="dxa"/>
            <w:left w:w="0" w:type="dxa"/>
            <w:bottom w:w="0" w:type="dxa"/>
            <w:right w:w="0" w:type="dxa"/>
          </w:tblCellMar>
        </w:tblPrEx>
        <w:trPr>
          <w:trHeight w:val="199" w:hRule="atLeast"/>
        </w:trPr>
        <w:tc>
          <w:tcPr>
            <w:tcW w:w="4714" w:type="dxa"/>
            <w:gridSpan w:val="2"/>
            <w:vMerge w:val="restart"/>
            <w:tcBorders>
              <w:top w:val="nil"/>
              <w:left w:val="nil"/>
              <w:right w:val="nil"/>
            </w:tcBorders>
            <w:shd w:val="clear" w:color="auto" w:fill="FFFFFF"/>
            <w:noWrap/>
            <w:tcMar>
              <w:top w:w="15" w:type="dxa"/>
              <w:left w:w="15" w:type="dxa"/>
              <w:right w:w="15" w:type="dxa"/>
            </w:tcMar>
            <w:vAlign w:val="bottom"/>
          </w:tcPr>
          <w:p>
            <w:pPr>
              <w:rPr>
                <w:rFonts w:ascii="宋体"/>
                <w:color w:val="000000"/>
                <w:sz w:val="20"/>
                <w:szCs w:val="20"/>
              </w:rPr>
            </w:pPr>
            <w:r>
              <w:rPr>
                <w:rFonts w:hint="eastAsia" w:ascii="宋体" w:hAnsi="宋体" w:cs="宋体"/>
                <w:color w:val="000000"/>
                <w:kern w:val="0"/>
                <w:sz w:val="20"/>
                <w:szCs w:val="20"/>
              </w:rPr>
              <w:t>部门：许昌市公务接待服务中心</w:t>
            </w: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251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07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92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35"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ascii="宋体"/>
                <w:color w:val="000000"/>
                <w:sz w:val="20"/>
                <w:szCs w:val="20"/>
              </w:rPr>
            </w:pPr>
          </w:p>
        </w:tc>
        <w:tc>
          <w:tcPr>
            <w:tcW w:w="2001"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714" w:type="dxa"/>
            <w:gridSpan w:val="2"/>
            <w:vMerge w:val="continue"/>
            <w:tcBorders>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251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07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92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153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olor w:val="000000"/>
                <w:sz w:val="20"/>
                <w:szCs w:val="20"/>
              </w:rPr>
            </w:pPr>
          </w:p>
        </w:tc>
        <w:tc>
          <w:tcPr>
            <w:tcW w:w="2001"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kern w:val="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支出</w:t>
            </w:r>
          </w:p>
        </w:tc>
      </w:tr>
      <w:tr>
        <w:tblPrEx>
          <w:tblCellMar>
            <w:top w:w="0" w:type="dxa"/>
            <w:left w:w="0" w:type="dxa"/>
            <w:bottom w:w="0" w:type="dxa"/>
            <w:right w:w="0" w:type="dxa"/>
          </w:tblCellMar>
        </w:tblPrEx>
        <w:trPr>
          <w:trHeight w:val="630"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tcPr>
          <w:p>
            <w:pPr>
              <w:widowControl/>
              <w:jc w:val="center"/>
              <w:textAlignment w:val="center"/>
              <w:rPr>
                <w:rFonts w:ascii="宋体"/>
                <w:color w:val="000000"/>
                <w:kern w:val="0"/>
                <w:sz w:val="22"/>
                <w:szCs w:val="22"/>
              </w:rPr>
            </w:pPr>
            <w:r>
              <w:rPr>
                <w:rFonts w:hint="eastAsia" w:ascii="宋体" w:hAnsi="宋体" w:cs="宋体"/>
                <w:color w:val="000000"/>
                <w:sz w:val="22"/>
                <w:szCs w:val="22"/>
              </w:rPr>
              <w:t>国有资本经营预算财政拨款</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w:t>
            </w:r>
            <w:r>
              <w:rPr>
                <w:rFonts w:ascii="宋体" w:hAnsi="宋体" w:cs="宋体"/>
                <w:color w:val="000000"/>
                <w:kern w:val="0"/>
                <w:sz w:val="22"/>
                <w:szCs w:val="22"/>
              </w:rPr>
              <w:t xml:space="preserve">    </w:t>
            </w:r>
            <w:r>
              <w:rPr>
                <w:rFonts w:hint="eastAsia" w:ascii="宋体" w:hAnsi="宋体" w:cs="宋体"/>
                <w:color w:val="000000"/>
                <w:kern w:val="0"/>
                <w:sz w:val="22"/>
                <w:szCs w:val="22"/>
              </w:rPr>
              <w:t>次</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w:t>
            </w:r>
            <w:r>
              <w:rPr>
                <w:rFonts w:ascii="宋体" w:hAnsi="宋体" w:cs="宋体"/>
                <w:color w:val="000000"/>
                <w:kern w:val="0"/>
                <w:sz w:val="22"/>
                <w:szCs w:val="22"/>
              </w:rPr>
              <w:t xml:space="preserve">    </w:t>
            </w:r>
            <w:r>
              <w:rPr>
                <w:rFonts w:hint="eastAsia" w:ascii="宋体" w:hAnsi="宋体" w:cs="宋体"/>
                <w:color w:val="000000"/>
                <w:kern w:val="0"/>
                <w:sz w:val="22"/>
                <w:szCs w:val="22"/>
              </w:rPr>
              <w:t>次</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tcPr>
          <w:p>
            <w:pPr>
              <w:widowControl/>
              <w:jc w:val="center"/>
              <w:textAlignment w:val="center"/>
              <w:rPr>
                <w:rFonts w:ascii="宋体"/>
                <w:color w:val="000000"/>
                <w:kern w:val="0"/>
                <w:sz w:val="22"/>
                <w:szCs w:val="22"/>
              </w:rPr>
            </w:pPr>
            <w:r>
              <w:rPr>
                <w:rFonts w:ascii="宋体" w:hAnsi="宋体" w:cs="宋体"/>
                <w:color w:val="000000"/>
                <w:kern w:val="0"/>
                <w:sz w:val="22"/>
                <w:szCs w:val="22"/>
              </w:rPr>
              <w:t>5</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一、一般公共预算财政拨款</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536.34</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一、一般公共服务支出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657.26</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657.26</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二、政府性基金预算财政拨款</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二、外交支出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三、国有资本经营财政拨款</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三、国防支出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四、公共安全支出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五、教育支出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6</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六、科学技术支出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7</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七、文化旅游体育与传媒支出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39</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8</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八、社会保障和就业支出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40</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9</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九、卫生健康支出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41</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91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single" w:color="000000" w:sz="4" w:space="0"/>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10</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十、节能环保支出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42</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十一、城乡社区支出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43</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12</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十二、农林水支出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44</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13</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十三、交通运输支出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45</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14</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十四、资源勘探工业信息等支出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46</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15</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十五、商业服务业等支出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47</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16</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十六、金融支出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48</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17</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十七、援助其他地区支出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49</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18</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十八、自然资源海洋气象等支出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50</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19</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十九、住房保障支出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51</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20</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二十、粮油物资储备支出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52</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二十一、国有资本经营预算支出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53</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22</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r>
              <w:rPr>
                <w:rFonts w:hint="eastAsia" w:cs="宋体"/>
              </w:rPr>
              <w:t>二十二、灾害防治及应急管理支出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54</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23</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二十三、其他支出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55</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b/>
                <w:bCs/>
                <w:color w:val="000000"/>
                <w:sz w:val="22"/>
                <w:szCs w:val="22"/>
              </w:rPr>
            </w:pPr>
            <w:r>
              <w:rPr>
                <w:rFonts w:hint="eastAsia" w:ascii="宋体" w:hAnsi="宋体" w:cs="宋体"/>
                <w:b/>
                <w:bCs/>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24</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二十四、债务还本支出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56</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25</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二十五、债务付息支出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57</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26</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二十六、抗疫特别国债安排的支出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58</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b/>
                <w:bCs/>
                <w:color w:val="000000"/>
                <w:sz w:val="22"/>
                <w:szCs w:val="22"/>
              </w:rPr>
            </w:pPr>
            <w:r>
              <w:rPr>
                <w:rFonts w:hint="eastAsia" w:ascii="宋体" w:hAnsi="宋体" w:cs="宋体"/>
                <w:b/>
                <w:bCs/>
                <w:color w:val="000000"/>
                <w:sz w:val="22"/>
                <w:szCs w:val="22"/>
              </w:rPr>
              <w:t>本年收入合计</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27</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536.34</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b/>
                <w:bCs/>
                <w:color w:val="000000"/>
                <w:sz w:val="22"/>
                <w:szCs w:val="22"/>
              </w:rPr>
            </w:pPr>
            <w:r>
              <w:rPr>
                <w:rFonts w:hint="eastAsia" w:ascii="宋体" w:hAnsi="宋体" w:cs="宋体"/>
                <w:b/>
                <w:bCs/>
                <w:color w:val="000000"/>
                <w:sz w:val="22"/>
                <w:szCs w:val="22"/>
              </w:rPr>
              <w:t>本年支出合计</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59</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671.03</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671.03</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年初财政拨款结转和结余</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28</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134.69</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年末财政拨款结转和结余</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60</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一般公共预算财政拨款</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29</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134.69</w:t>
            </w:r>
          </w:p>
        </w:tc>
        <w:tc>
          <w:tcPr>
            <w:tcW w:w="251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61</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4"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nil"/>
              <w:right w:val="nil"/>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政府性基金预算财政拨款</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30</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nil"/>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62</w:t>
            </w:r>
          </w:p>
        </w:tc>
        <w:tc>
          <w:tcPr>
            <w:tcW w:w="92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nil"/>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nil"/>
              <w:right w:val="nil"/>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国有资本经营预算财政拨款</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31</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2519" w:type="dxa"/>
            <w:tcBorders>
              <w:top w:val="single" w:color="000000" w:sz="4" w:space="0"/>
              <w:left w:val="single" w:color="000000" w:sz="4" w:space="0"/>
              <w:bottom w:val="nil"/>
              <w:right w:val="nil"/>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63</w:t>
            </w:r>
          </w:p>
        </w:tc>
        <w:tc>
          <w:tcPr>
            <w:tcW w:w="92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nil"/>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02" w:hRule="atLeast"/>
        </w:trPr>
        <w:tc>
          <w:tcPr>
            <w:tcW w:w="2988"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rPr>
                <w:rFonts w:ascii="宋体"/>
                <w:b/>
                <w:bCs/>
                <w:color w:val="000000"/>
                <w:sz w:val="22"/>
                <w:szCs w:val="22"/>
              </w:rPr>
            </w:pPr>
            <w:r>
              <w:rPr>
                <w:rFonts w:hint="eastAsia" w:ascii="宋体" w:hAnsi="宋体" w:cs="宋体"/>
                <w:b/>
                <w:bCs/>
                <w:color w:val="000000"/>
                <w:sz w:val="22"/>
                <w:szCs w:val="22"/>
              </w:rPr>
              <w:t>总计</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32</w:t>
            </w:r>
          </w:p>
        </w:tc>
        <w:tc>
          <w:tcPr>
            <w:tcW w:w="121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671.03</w:t>
            </w:r>
          </w:p>
        </w:tc>
        <w:tc>
          <w:tcPr>
            <w:tcW w:w="2519"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center"/>
              <w:rPr>
                <w:rFonts w:ascii="宋体"/>
                <w:b/>
                <w:bCs/>
                <w:color w:val="000000"/>
                <w:sz w:val="22"/>
                <w:szCs w:val="22"/>
              </w:rPr>
            </w:pPr>
            <w:r>
              <w:rPr>
                <w:rFonts w:hint="eastAsia" w:ascii="宋体" w:hAnsi="宋体" w:cs="宋体"/>
                <w:b/>
                <w:bCs/>
                <w:color w:val="000000"/>
                <w:sz w:val="22"/>
                <w:szCs w:val="22"/>
              </w:rPr>
              <w:t>总计</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2"/>
                <w:szCs w:val="22"/>
              </w:rPr>
            </w:pPr>
            <w:r>
              <w:rPr>
                <w:rFonts w:ascii="宋体" w:hAnsi="宋体" w:cs="宋体"/>
                <w:color w:val="000000"/>
                <w:sz w:val="22"/>
                <w:szCs w:val="22"/>
              </w:rPr>
              <w:t>64</w:t>
            </w:r>
          </w:p>
        </w:tc>
        <w:tc>
          <w:tcPr>
            <w:tcW w:w="92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671.03</w:t>
            </w:r>
          </w:p>
        </w:tc>
        <w:tc>
          <w:tcPr>
            <w:tcW w:w="91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671.03</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058" w:type="dxa"/>
            <w:tcBorders>
              <w:top w:val="single" w:color="000000" w:sz="4" w:space="0"/>
              <w:left w:val="nil"/>
              <w:bottom w:val="single" w:color="000000" w:sz="8" w:space="0"/>
              <w:right w:val="single" w:color="000000" w:sz="8" w:space="0"/>
            </w:tcBorders>
            <w:noWrap/>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tcPr>
          <w:p>
            <w:pPr>
              <w:widowControl/>
              <w:jc w:val="left"/>
              <w:textAlignment w:val="center"/>
              <w:rPr>
                <w:rFonts w:ascii="宋体"/>
                <w:color w:val="000000"/>
                <w:kern w:val="0"/>
                <w:sz w:val="20"/>
                <w:szCs w:val="20"/>
              </w:rPr>
            </w:pPr>
          </w:p>
        </w:tc>
      </w:tr>
    </w:tbl>
    <w:p>
      <w:pPr>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1414"/>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0" w:type="dxa"/>
            <w:bottom w:w="0" w:type="dxa"/>
            <w:right w:w="0" w:type="dxa"/>
          </w:tblCellMar>
        </w:tblPrEx>
        <w:trPr>
          <w:trHeight w:val="222" w:hRule="atLeast"/>
        </w:trPr>
        <w:tc>
          <w:tcPr>
            <w:tcW w:w="3639" w:type="dxa"/>
            <w:gridSpan w:val="2"/>
            <w:vMerge w:val="restart"/>
            <w:tcBorders>
              <w:top w:val="nil"/>
              <w:left w:val="nil"/>
              <w:right w:val="nil"/>
            </w:tcBorders>
            <w:shd w:val="clear" w:color="auto" w:fill="FFFFFF"/>
            <w:noWrap/>
            <w:tcMar>
              <w:top w:w="15" w:type="dxa"/>
              <w:left w:w="15" w:type="dxa"/>
              <w:right w:w="15" w:type="dxa"/>
            </w:tcMar>
            <w:vAlign w:val="bottom"/>
          </w:tcPr>
          <w:p>
            <w:pPr>
              <w:rPr>
                <w:rFonts w:ascii="宋体"/>
                <w:color w:val="000000"/>
                <w:kern w:val="0"/>
                <w:sz w:val="20"/>
                <w:szCs w:val="20"/>
              </w:rPr>
            </w:pPr>
            <w:r>
              <w:rPr>
                <w:rFonts w:hint="eastAsia" w:ascii="宋体" w:hAnsi="宋体" w:cs="宋体"/>
                <w:color w:val="000000"/>
                <w:kern w:val="0"/>
                <w:sz w:val="20"/>
                <w:szCs w:val="20"/>
              </w:rPr>
              <w:t>部门：许昌市公务接待服务中心</w:t>
            </w:r>
          </w:p>
        </w:tc>
        <w:tc>
          <w:tcPr>
            <w:tcW w:w="3449"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3449"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cs="宋体"/>
                <w:color w:val="000000"/>
                <w:kern w:val="0"/>
                <w:sz w:val="20"/>
                <w:szCs w:val="20"/>
              </w:rPr>
              <w:t>0</w:t>
            </w:r>
            <w:r>
              <w:rPr>
                <w:rStyle w:val="16"/>
              </w:rPr>
              <w:t>5</w:t>
            </w:r>
            <w:r>
              <w:rPr>
                <w:rStyle w:val="16"/>
                <w:rFonts w:hint="eastAsia"/>
              </w:rPr>
              <w:t>表</w:t>
            </w:r>
          </w:p>
        </w:tc>
      </w:tr>
      <w:tr>
        <w:tblPrEx>
          <w:tblCellMar>
            <w:top w:w="0" w:type="dxa"/>
            <w:left w:w="0" w:type="dxa"/>
            <w:bottom w:w="0" w:type="dxa"/>
            <w:right w:w="0" w:type="dxa"/>
          </w:tblCellMar>
        </w:tblPrEx>
        <w:trPr>
          <w:trHeight w:val="300" w:hRule="atLeast"/>
        </w:trPr>
        <w:tc>
          <w:tcPr>
            <w:tcW w:w="3639" w:type="dxa"/>
            <w:gridSpan w:val="2"/>
            <w:vMerge w:val="continue"/>
            <w:tcBorders>
              <w:left w:val="nil"/>
              <w:bottom w:val="nil"/>
              <w:right w:val="nil"/>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3449"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3449"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3639" w:type="dxa"/>
            <w:gridSpan w:val="2"/>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Style w:val="15"/>
                <w:rFonts w:hint="eastAsia"/>
                <w:sz w:val="22"/>
                <w:szCs w:val="22"/>
              </w:rPr>
              <w:t>目</w:t>
            </w:r>
          </w:p>
        </w:tc>
        <w:tc>
          <w:tcPr>
            <w:tcW w:w="10349" w:type="dxa"/>
            <w:gridSpan w:val="3"/>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本年支出</w:t>
            </w:r>
          </w:p>
        </w:tc>
      </w:tr>
      <w:tr>
        <w:tblPrEx>
          <w:tblCellMar>
            <w:top w:w="0" w:type="dxa"/>
            <w:left w:w="0" w:type="dxa"/>
            <w:bottom w:w="0" w:type="dxa"/>
            <w:right w:w="0" w:type="dxa"/>
          </w:tblCellMar>
        </w:tblPrEx>
        <w:trPr>
          <w:trHeight w:val="495" w:hRule="atLeast"/>
        </w:trPr>
        <w:tc>
          <w:tcPr>
            <w:tcW w:w="1414" w:type="dxa"/>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功能分类</w:t>
            </w:r>
          </w:p>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3449"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小计</w:t>
            </w:r>
          </w:p>
        </w:tc>
        <w:tc>
          <w:tcPr>
            <w:tcW w:w="3449"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3451" w:type="dxa"/>
            <w:vMerge w:val="restart"/>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r>
      <w:tr>
        <w:tblPrEx>
          <w:tblCellMar>
            <w:top w:w="0" w:type="dxa"/>
            <w:left w:w="0" w:type="dxa"/>
            <w:bottom w:w="0" w:type="dxa"/>
            <w:right w:w="0" w:type="dxa"/>
          </w:tblCellMar>
        </w:tblPrEx>
        <w:trPr>
          <w:trHeight w:val="360" w:hRule="atLeast"/>
        </w:trPr>
        <w:tc>
          <w:tcPr>
            <w:tcW w:w="1414"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22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3451" w:type="dxa"/>
            <w:vMerge w:val="continue"/>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312" w:hRule="atLeast"/>
        </w:trPr>
        <w:tc>
          <w:tcPr>
            <w:tcW w:w="1414"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22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3451" w:type="dxa"/>
            <w:vMerge w:val="continue"/>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450" w:hRule="atLeast"/>
        </w:trPr>
        <w:tc>
          <w:tcPr>
            <w:tcW w:w="3639"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r>
      <w:tr>
        <w:tblPrEx>
          <w:tblCellMar>
            <w:top w:w="0" w:type="dxa"/>
            <w:left w:w="0" w:type="dxa"/>
            <w:bottom w:w="0" w:type="dxa"/>
            <w:right w:w="0" w:type="dxa"/>
          </w:tblCellMar>
        </w:tblPrEx>
        <w:trPr>
          <w:trHeight w:val="450" w:hRule="atLeast"/>
        </w:trPr>
        <w:tc>
          <w:tcPr>
            <w:tcW w:w="3639"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r>
              <w:rPr>
                <w:rFonts w:hint="eastAsia" w:ascii="宋体" w:hAnsi="宋体" w:cs="宋体"/>
                <w:color w:val="000000"/>
                <w:sz w:val="22"/>
                <w:szCs w:val="22"/>
              </w:rPr>
              <w:t>合计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671.03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325.70</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b/>
                <w:bCs/>
                <w:color w:val="000000"/>
                <w:sz w:val="22"/>
                <w:szCs w:val="22"/>
              </w:rPr>
            </w:pPr>
            <w:r>
              <w:rPr>
                <w:rFonts w:ascii="宋体" w:hAnsi="宋体" w:cs="宋体"/>
                <w:b/>
                <w:bCs/>
                <w:color w:val="000000"/>
                <w:sz w:val="22"/>
                <w:szCs w:val="22"/>
              </w:rPr>
              <w:t>345.33</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657.26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311.93</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345.33</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cs="宋体"/>
              </w:rPr>
              <w:t>政府办公厅（室）及相关机构事务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648.07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302.74</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345.33</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2010301</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行政运行</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272.88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272.88</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2010302</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一般行政管理事务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375.19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29.86</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345.33</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20129</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群众团体事务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2012906</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工会事务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20132</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组织事务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2013201</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行政运行</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8.22</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社会保障和就业支出</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20805</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r>
              <w:rPr>
                <w:rFonts w:hint="eastAsia" w:cs="宋体"/>
              </w:rPr>
              <w:t>行政事业单位养老支出</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2080505</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r>
              <w:t xml:space="preserve">  </w:t>
            </w:r>
            <w:r>
              <w:rPr>
                <w:rFonts w:hint="eastAsia" w:cs="宋体"/>
              </w:rPr>
              <w:t>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4.88</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卫生健康支出</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行政事业单位医疗</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8.89</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2101101</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行政单位医疗</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4.63</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4.63</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2101103</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公务员医疗补助</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4.26</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4.26</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645" w:hRule="atLeast"/>
        </w:trPr>
        <w:tc>
          <w:tcPr>
            <w:tcW w:w="13988" w:type="dxa"/>
            <w:gridSpan w:val="5"/>
            <w:tcBorders>
              <w:top w:val="nil"/>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0" w:type="dxa"/>
            <w:bottom w:w="0" w:type="dxa"/>
            <w:right w:w="0" w:type="dxa"/>
          </w:tblCellMar>
        </w:tblPrEx>
        <w:trPr>
          <w:trHeight w:val="405" w:hRule="atLeast"/>
        </w:trPr>
        <w:tc>
          <w:tcPr>
            <w:tcW w:w="4731" w:type="dxa"/>
            <w:gridSpan w:val="3"/>
            <w:vMerge w:val="restart"/>
            <w:tcBorders>
              <w:top w:val="nil"/>
              <w:left w:val="nil"/>
              <w:right w:val="nil"/>
            </w:tcBorders>
            <w:shd w:val="clear" w:color="auto" w:fill="FFFFFF"/>
            <w:noWrap/>
            <w:tcMar>
              <w:top w:w="15" w:type="dxa"/>
              <w:left w:w="15" w:type="dxa"/>
              <w:right w:w="15" w:type="dxa"/>
            </w:tcMar>
            <w:vAlign w:val="bottom"/>
          </w:tcPr>
          <w:p>
            <w:pPr>
              <w:rPr>
                <w:rFonts w:ascii="Arial" w:hAnsi="Arial" w:cs="Arial"/>
                <w:color w:val="000000"/>
                <w:kern w:val="0"/>
                <w:sz w:val="20"/>
                <w:szCs w:val="20"/>
              </w:rPr>
            </w:pPr>
            <w:r>
              <w:rPr>
                <w:rFonts w:hint="eastAsia" w:ascii="宋体" w:hAnsi="宋体" w:cs="宋体"/>
                <w:color w:val="000000"/>
                <w:kern w:val="0"/>
                <w:sz w:val="20"/>
                <w:szCs w:val="20"/>
              </w:rPr>
              <w:t>部门</w:t>
            </w:r>
            <w:r>
              <w:rPr>
                <w:rFonts w:hint="eastAsia" w:ascii="Arial" w:hAnsi="Arial" w:cs="宋体"/>
                <w:color w:val="000000"/>
                <w:kern w:val="0"/>
                <w:sz w:val="20"/>
                <w:szCs w:val="20"/>
              </w:rPr>
              <w:t>：许昌市公务接待服务中心</w:t>
            </w:r>
          </w:p>
        </w:tc>
        <w:tc>
          <w:tcPr>
            <w:tcW w:w="870"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2066"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870"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451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06</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731" w:type="dxa"/>
            <w:gridSpan w:val="3"/>
            <w:vMerge w:val="continue"/>
            <w:tcBorders>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938"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决算数</w:t>
            </w:r>
          </w:p>
        </w:tc>
        <w:tc>
          <w:tcPr>
            <w:tcW w:w="87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938"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决算数</w:t>
            </w:r>
          </w:p>
        </w:tc>
        <w:tc>
          <w:tcPr>
            <w:tcW w:w="87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938"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280.24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42.70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58.15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30701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62.90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30702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103.08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2.76</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2.76</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机关事业单位基本养老保险缴费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15.63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8.09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7.62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21.23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t xml:space="preserve">  </w:t>
            </w:r>
            <w:r>
              <w:rPr>
                <w:rFonts w:hint="eastAsia" w:cs="宋体"/>
              </w:rPr>
              <w:t>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3.43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公务接待费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3.80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0.85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t xml:space="preserve">  </w:t>
            </w:r>
            <w:r>
              <w:rPr>
                <w:rFonts w:hint="eastAsia" w:cs="宋体"/>
              </w:rPr>
              <w:t>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r>
              <w:t xml:space="preserve"> </w:t>
            </w:r>
            <w:r>
              <w:rPr>
                <w:rFonts w:hint="eastAsia" w:cs="宋体"/>
              </w:rPr>
              <w:t>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17.50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代缴社会保险费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15.41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其他对个人和家庭的补助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 xml:space="preserve">  </w:t>
            </w:r>
            <w:r>
              <w:rPr>
                <w:rFonts w:hint="eastAsia" w:ascii="宋体" w:hAnsi="宋体" w:cs="宋体"/>
                <w:color w:val="000000"/>
                <w:sz w:val="22"/>
                <w:szCs w:val="22"/>
              </w:rPr>
              <w:t>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ascii="宋体" w:hAnsi="宋体" w:cs="宋体"/>
                <w:color w:val="000000"/>
                <w:sz w:val="22"/>
                <w:szCs w:val="22"/>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bookmarkStart w:id="0" w:name="_GoBack"/>
            <w:bookmarkEnd w:id="0"/>
            <w:r>
              <w:rPr>
                <w:rFonts w:hint="eastAsia" w:ascii="宋体" w:hAnsi="宋体" w:cs="宋体"/>
                <w:color w:val="000000"/>
                <w:sz w:val="22"/>
                <w:szCs w:val="22"/>
              </w:rPr>
              <w:t>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r>
              <w:rPr>
                <w:rFonts w:hint="eastAsia" w:ascii="宋体" w:hAnsi="宋体" w:cs="宋体"/>
                <w:color w:val="000000"/>
                <w:sz w:val="22"/>
                <w:szCs w:val="22"/>
              </w:rPr>
              <w:t>　</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center"/>
              <w:rPr>
                <w:rFonts w:ascii="宋体"/>
                <w:color w:val="000000"/>
                <w:sz w:val="22"/>
                <w:szCs w:val="22"/>
              </w:rPr>
            </w:pPr>
            <w:r>
              <w:rPr>
                <w:rFonts w:hint="eastAsia" w:ascii="宋体" w:hAnsi="宋体" w:cs="宋体"/>
                <w:color w:val="000000"/>
                <w:sz w:val="22"/>
                <w:szCs w:val="22"/>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280.24</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olor w:val="000000"/>
                <w:sz w:val="22"/>
                <w:szCs w:val="22"/>
              </w:rPr>
            </w:pPr>
            <w:r>
              <w:rPr>
                <w:rFonts w:hint="eastAsia" w:ascii="宋体" w:hAnsi="宋体" w:cs="宋体"/>
                <w:color w:val="000000"/>
                <w:sz w:val="22"/>
                <w:szCs w:val="22"/>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45.46</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 w:hAnsi="????" w:cs="????"/>
                <w:color w:val="000000"/>
                <w:sz w:val="30"/>
                <w:szCs w:val="30"/>
              </w:rPr>
            </w:pPr>
            <w:r>
              <w:rPr>
                <w:rFonts w:hint="eastAsia" w:ascii="????" w:hAnsi="????" w:cs="宋体"/>
                <w:color w:val="000000"/>
                <w:kern w:val="0"/>
                <w:sz w:val="30"/>
                <w:szCs w:val="30"/>
              </w:rPr>
              <w:t>一般公共</w:t>
            </w:r>
            <w:r>
              <w:rPr>
                <w:rFonts w:hint="eastAsia" w:ascii="宋体" w:hAnsi="宋体" w:cs="宋体"/>
                <w:color w:val="000000"/>
                <w:kern w:val="0"/>
                <w:sz w:val="30"/>
                <w:szCs w:val="30"/>
              </w:rPr>
              <w:t>预</w:t>
            </w:r>
            <w:r>
              <w:rPr>
                <w:rFonts w:hint="eastAsia" w:ascii="????" w:hAnsi="????" w:cs="宋体"/>
                <w:color w:val="000000"/>
                <w:kern w:val="0"/>
                <w:sz w:val="30"/>
                <w:szCs w:val="30"/>
              </w:rPr>
              <w:t>算</w:t>
            </w:r>
            <w:r>
              <w:rPr>
                <w:rFonts w:hint="eastAsia" w:ascii="宋体" w:hAnsi="宋体" w:cs="宋体"/>
                <w:color w:val="000000"/>
                <w:kern w:val="0"/>
                <w:sz w:val="30"/>
                <w:szCs w:val="30"/>
              </w:rPr>
              <w:t>财</w:t>
            </w:r>
            <w:r>
              <w:rPr>
                <w:rFonts w:hint="eastAsia" w:ascii="????" w:hAnsi="????" w:cs="宋体"/>
                <w:color w:val="000000"/>
                <w:kern w:val="0"/>
                <w:sz w:val="30"/>
                <w:szCs w:val="30"/>
              </w:rPr>
              <w:t>政</w:t>
            </w:r>
            <w:r>
              <w:rPr>
                <w:rFonts w:hint="eastAsia" w:ascii="宋体" w:hAnsi="宋体" w:cs="宋体"/>
                <w:color w:val="000000"/>
                <w:kern w:val="0"/>
                <w:sz w:val="30"/>
                <w:szCs w:val="30"/>
              </w:rPr>
              <w:t>拨</w:t>
            </w:r>
            <w:r>
              <w:rPr>
                <w:rFonts w:hint="eastAsia" w:ascii="????" w:hAnsi="????" w:cs="宋体"/>
                <w:color w:val="000000"/>
                <w:kern w:val="0"/>
                <w:sz w:val="30"/>
                <w:szCs w:val="30"/>
              </w:rPr>
              <w:t>款</w:t>
            </w:r>
            <w:r>
              <w:rPr>
                <w:rFonts w:ascii="????" w:hAnsi="????" w:cs="????"/>
                <w:color w:val="000000"/>
                <w:kern w:val="0"/>
                <w:sz w:val="30"/>
                <w:szCs w:val="30"/>
              </w:rPr>
              <w:t>“</w:t>
            </w:r>
            <w:r>
              <w:rPr>
                <w:rFonts w:hint="eastAsia" w:ascii="????" w:hAnsi="????" w:cs="宋体"/>
                <w:color w:val="000000"/>
                <w:kern w:val="0"/>
                <w:sz w:val="30"/>
                <w:szCs w:val="30"/>
              </w:rPr>
              <w:t>三公</w:t>
            </w:r>
            <w:r>
              <w:rPr>
                <w:rFonts w:ascii="????" w:hAnsi="????" w:cs="????"/>
                <w:color w:val="000000"/>
                <w:kern w:val="0"/>
                <w:sz w:val="30"/>
                <w:szCs w:val="30"/>
              </w:rPr>
              <w:t>”</w:t>
            </w:r>
            <w:r>
              <w:rPr>
                <w:rFonts w:hint="eastAsia" w:ascii="宋体" w:hAnsi="宋体" w:cs="宋体"/>
                <w:color w:val="000000"/>
                <w:kern w:val="0"/>
                <w:sz w:val="30"/>
                <w:szCs w:val="30"/>
              </w:rPr>
              <w:t>经费</w:t>
            </w:r>
            <w:r>
              <w:rPr>
                <w:rFonts w:hint="eastAsia" w:ascii="????" w:hAnsi="????" w:cs="宋体"/>
                <w:color w:val="000000"/>
                <w:kern w:val="0"/>
                <w:sz w:val="30"/>
                <w:szCs w:val="30"/>
              </w:rPr>
              <w:t>支出决算表</w:t>
            </w:r>
          </w:p>
        </w:tc>
      </w:tr>
      <w:tr>
        <w:tblPrEx>
          <w:tblCellMar>
            <w:top w:w="0" w:type="dxa"/>
            <w:left w:w="0" w:type="dxa"/>
            <w:bottom w:w="0" w:type="dxa"/>
            <w:right w:w="0" w:type="dxa"/>
          </w:tblCellMar>
        </w:tblPrEx>
        <w:trPr>
          <w:trHeight w:val="222" w:hRule="atLeast"/>
        </w:trPr>
        <w:tc>
          <w:tcPr>
            <w:tcW w:w="4600" w:type="dxa"/>
            <w:gridSpan w:val="4"/>
            <w:vMerge w:val="restart"/>
            <w:tcBorders>
              <w:top w:val="nil"/>
              <w:left w:val="nil"/>
              <w:right w:val="nil"/>
            </w:tcBorders>
            <w:shd w:val="clear" w:color="auto" w:fill="FFFFFF"/>
            <w:noWrap/>
            <w:tcMar>
              <w:top w:w="15" w:type="dxa"/>
              <w:left w:w="15" w:type="dxa"/>
              <w:right w:w="15" w:type="dxa"/>
            </w:tcMar>
            <w:vAlign w:val="bottom"/>
          </w:tcPr>
          <w:p>
            <w:pPr>
              <w:rPr>
                <w:rFonts w:ascii="宋体"/>
                <w:color w:val="000000"/>
                <w:kern w:val="0"/>
                <w:sz w:val="20"/>
                <w:szCs w:val="20"/>
              </w:rPr>
            </w:pPr>
            <w:r>
              <w:rPr>
                <w:rFonts w:hint="eastAsia" w:ascii="宋体" w:hAnsi="宋体" w:cs="宋体"/>
                <w:color w:val="000000"/>
                <w:kern w:val="0"/>
                <w:sz w:val="20"/>
                <w:szCs w:val="20"/>
              </w:rPr>
              <w:t>部门：许昌市公务接待服务中心</w:t>
            </w: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0"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2302"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600" w:type="dxa"/>
            <w:gridSpan w:val="4"/>
            <w:vMerge w:val="continue"/>
            <w:tcBorders>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0"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2302"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公务接待费</w:t>
            </w:r>
          </w:p>
        </w:tc>
        <w:tc>
          <w:tcPr>
            <w:tcW w:w="1151"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1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1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小计</w:t>
            </w:r>
          </w:p>
        </w:tc>
        <w:tc>
          <w:tcPr>
            <w:tcW w:w="11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公务用车</w:t>
            </w:r>
          </w:p>
          <w:p>
            <w:pPr>
              <w:widowControl/>
              <w:jc w:val="center"/>
              <w:textAlignment w:val="center"/>
              <w:rPr>
                <w:rFonts w:ascii="宋体"/>
                <w:color w:val="000000"/>
                <w:sz w:val="22"/>
                <w:szCs w:val="22"/>
              </w:rPr>
            </w:pPr>
            <w:r>
              <w:rPr>
                <w:rFonts w:hint="eastAsia" w:ascii="宋体" w:hAnsi="宋体" w:cs="宋体"/>
                <w:color w:val="000000"/>
                <w:kern w:val="0"/>
                <w:sz w:val="22"/>
                <w:szCs w:val="22"/>
              </w:rPr>
              <w:t>购置费</w:t>
            </w: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公务用车</w:t>
            </w:r>
          </w:p>
          <w:p>
            <w:pPr>
              <w:widowControl/>
              <w:jc w:val="center"/>
              <w:textAlignment w:val="center"/>
              <w:rPr>
                <w:rFonts w:ascii="宋体"/>
                <w:color w:val="000000"/>
                <w:sz w:val="22"/>
                <w:szCs w:val="22"/>
              </w:rPr>
            </w:pPr>
            <w:r>
              <w:rPr>
                <w:rFonts w:hint="eastAsia" w:ascii="宋体" w:hAnsi="宋体" w:cs="宋体"/>
                <w:color w:val="000000"/>
                <w:kern w:val="0"/>
                <w:sz w:val="22"/>
                <w:szCs w:val="22"/>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151"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1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小计</w:t>
            </w: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公务用车</w:t>
            </w:r>
          </w:p>
          <w:p>
            <w:pPr>
              <w:widowControl/>
              <w:jc w:val="center"/>
              <w:textAlignment w:val="center"/>
              <w:rPr>
                <w:rFonts w:ascii="宋体"/>
                <w:color w:val="000000"/>
                <w:sz w:val="22"/>
                <w:szCs w:val="22"/>
              </w:rPr>
            </w:pPr>
            <w:r>
              <w:rPr>
                <w:rFonts w:hint="eastAsia" w:ascii="宋体" w:hAnsi="宋体" w:cs="宋体"/>
                <w:color w:val="000000"/>
                <w:kern w:val="0"/>
                <w:sz w:val="22"/>
                <w:szCs w:val="22"/>
              </w:rPr>
              <w:t>购置费</w:t>
            </w: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公务用车</w:t>
            </w:r>
          </w:p>
          <w:p>
            <w:pPr>
              <w:widowControl/>
              <w:jc w:val="center"/>
              <w:textAlignment w:val="center"/>
              <w:rPr>
                <w:rFonts w:ascii="宋体"/>
                <w:color w:val="000000"/>
                <w:sz w:val="22"/>
                <w:szCs w:val="22"/>
              </w:rPr>
            </w:pPr>
            <w:r>
              <w:rPr>
                <w:rFonts w:hint="eastAsia" w:ascii="宋体" w:hAnsi="宋体" w:cs="宋体"/>
                <w:color w:val="000000"/>
                <w:kern w:val="0"/>
                <w:sz w:val="22"/>
                <w:szCs w:val="22"/>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8</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9</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11</w:t>
            </w:r>
          </w:p>
        </w:tc>
        <w:tc>
          <w:tcPr>
            <w:tcW w:w="11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440.00</w:t>
            </w:r>
          </w:p>
        </w:tc>
        <w:tc>
          <w:tcPr>
            <w:tcW w:w="11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40.00</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40.00</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400.00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246.77</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17.50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color w:val="000000"/>
                <w:sz w:val="22"/>
                <w:szCs w:val="22"/>
              </w:rPr>
            </w:pPr>
            <w:r>
              <w:rPr>
                <w:rFonts w:hint="eastAsia" w:ascii="宋体" w:hAnsi="宋体" w:cs="宋体"/>
                <w:color w:val="000000"/>
                <w:sz w:val="22"/>
                <w:szCs w:val="22"/>
              </w:rPr>
              <w:t>　</w:t>
            </w:r>
          </w:p>
        </w:tc>
        <w:tc>
          <w:tcPr>
            <w:tcW w:w="1151" w:type="dxa"/>
            <w:tcBorders>
              <w:top w:val="single" w:color="000000" w:sz="4" w:space="0"/>
              <w:left w:val="single" w:color="000000" w:sz="4" w:space="0"/>
              <w:bottom w:val="single" w:color="000000" w:sz="8" w:space="0"/>
              <w:right w:val="nil"/>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17.50</w:t>
            </w:r>
          </w:p>
        </w:tc>
        <w:tc>
          <w:tcPr>
            <w:tcW w:w="11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color w:val="000000"/>
                <w:sz w:val="22"/>
                <w:szCs w:val="22"/>
              </w:rPr>
            </w:pPr>
            <w:r>
              <w:rPr>
                <w:rFonts w:ascii="宋体" w:hAnsi="宋体" w:cs="宋体"/>
                <w:color w:val="000000"/>
                <w:sz w:val="22"/>
                <w:szCs w:val="22"/>
              </w:rPr>
              <w:t>229.27</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2" w:type="dxa"/>
        <w:tblLayout w:type="fixed"/>
        <w:tblCellMar>
          <w:top w:w="0" w:type="dxa"/>
          <w:left w:w="0" w:type="dxa"/>
          <w:bottom w:w="0" w:type="dxa"/>
          <w:right w:w="0" w:type="dxa"/>
        </w:tblCellMar>
      </w:tblPr>
      <w:tblGrid>
        <w:gridCol w:w="1148"/>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4350" w:type="dxa"/>
            <w:gridSpan w:val="3"/>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7"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380" w:type="dxa"/>
            <w:gridSpan w:val="4"/>
            <w:tcBorders>
              <w:top w:val="nil"/>
              <w:left w:val="nil"/>
              <w:bottom w:val="nil"/>
              <w:right w:val="nil"/>
            </w:tcBorders>
            <w:shd w:val="clear" w:color="auto" w:fill="FFFFFF"/>
            <w:noWrap/>
            <w:tcMar>
              <w:top w:w="15" w:type="dxa"/>
              <w:left w:w="15" w:type="dxa"/>
              <w:right w:w="15" w:type="dxa"/>
            </w:tcMar>
            <w:vAlign w:val="center"/>
          </w:tcPr>
          <w:p>
            <w:pPr>
              <w:rPr>
                <w:rFonts w:ascii="宋体"/>
                <w:color w:val="000000"/>
                <w:kern w:val="0"/>
                <w:sz w:val="20"/>
                <w:szCs w:val="20"/>
              </w:rPr>
            </w:pPr>
            <w:r>
              <w:rPr>
                <w:rFonts w:hint="eastAsia" w:ascii="宋体" w:hAnsi="宋体" w:cs="宋体"/>
                <w:color w:val="000000"/>
                <w:kern w:val="0"/>
                <w:sz w:val="20"/>
                <w:szCs w:val="20"/>
              </w:rPr>
              <w:t>部门：许昌市公务接待服务中心</w:t>
            </w:r>
          </w:p>
        </w:tc>
        <w:tc>
          <w:tcPr>
            <w:tcW w:w="1926"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6"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7"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2"/>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1926" w:type="dxa"/>
            <w:vMerge w:val="restart"/>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本年收入</w:t>
            </w:r>
          </w:p>
        </w:tc>
        <w:tc>
          <w:tcPr>
            <w:tcW w:w="5779" w:type="dxa"/>
            <w:gridSpan w:val="6"/>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功能分类</w:t>
            </w:r>
          </w:p>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926" w:type="dxa"/>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小计</w:t>
            </w:r>
          </w:p>
        </w:tc>
        <w:tc>
          <w:tcPr>
            <w:tcW w:w="1927" w:type="dxa"/>
            <w:gridSpan w:val="2"/>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1926" w:type="dxa"/>
            <w:gridSpan w:val="2"/>
            <w:vMerge w:val="restart"/>
            <w:tcBorders>
              <w:top w:val="nil"/>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gridAfter w:val="1"/>
          <w:wAfter w:w="30" w:type="dxa"/>
          <w:trHeight w:val="360" w:hRule="atLeast"/>
        </w:trPr>
        <w:tc>
          <w:tcPr>
            <w:tcW w:w="1148"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7" w:type="dxa"/>
            <w:gridSpan w:val="2"/>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nil"/>
              <w:left w:val="single" w:color="000000" w:sz="4" w:space="0"/>
              <w:bottom w:val="single" w:color="000000" w:sz="4" w:space="0"/>
              <w:right w:val="nil"/>
            </w:tcBorders>
            <w:noWrap/>
            <w:tcMar>
              <w:top w:w="15" w:type="dxa"/>
              <w:left w:w="15" w:type="dxa"/>
              <w:right w:w="15" w:type="dxa"/>
            </w:tcMar>
            <w:vAlign w:val="center"/>
          </w:tcPr>
          <w:p>
            <w:pPr>
              <w:jc w:val="center"/>
              <w:rPr>
                <w:rFonts w:ascii="宋体"/>
                <w:color w:val="000000"/>
                <w:sz w:val="22"/>
                <w:szCs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7" w:type="dxa"/>
            <w:gridSpan w:val="2"/>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vMerge w:val="continue"/>
            <w:tcBorders>
              <w:top w:val="nil"/>
              <w:left w:val="single" w:color="000000" w:sz="4" w:space="0"/>
              <w:bottom w:val="single" w:color="000000" w:sz="4" w:space="0"/>
              <w:right w:val="nil"/>
            </w:tcBorders>
            <w:noWrap/>
            <w:tcMar>
              <w:top w:w="15" w:type="dxa"/>
              <w:left w:w="15" w:type="dxa"/>
              <w:right w:w="15" w:type="dxa"/>
            </w:tcMar>
            <w:vAlign w:val="center"/>
          </w:tcPr>
          <w:p>
            <w:pPr>
              <w:jc w:val="center"/>
              <w:rPr>
                <w:rFonts w:ascii="宋体"/>
                <w:color w:val="000000"/>
                <w:sz w:val="22"/>
                <w:szCs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242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1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926"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933"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r>
      <w:tr>
        <w:tblPrEx>
          <w:tblCellMar>
            <w:top w:w="0" w:type="dxa"/>
            <w:left w:w="0" w:type="dxa"/>
            <w:bottom w:w="0" w:type="dxa"/>
            <w:right w:w="0" w:type="dxa"/>
          </w:tblCellMar>
        </w:tblPrEx>
        <w:trPr>
          <w:gridAfter w:val="1"/>
          <w:wAfter w:w="30" w:type="dxa"/>
          <w:trHeight w:val="450" w:hRule="atLeast"/>
        </w:trPr>
        <w:tc>
          <w:tcPr>
            <w:tcW w:w="2424" w:type="dxa"/>
            <w:gridSpan w:val="2"/>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color w:val="000000"/>
                <w:sz w:val="22"/>
                <w:szCs w:val="22"/>
              </w:rPr>
            </w:pPr>
          </w:p>
        </w:tc>
        <w:tc>
          <w:tcPr>
            <w:tcW w:w="1933"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p>
        </w:tc>
        <w:tc>
          <w:tcPr>
            <w:tcW w:w="1933"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color w:val="000000"/>
                <w:sz w:val="22"/>
                <w:szCs w:val="22"/>
              </w:rPr>
            </w:pPr>
          </w:p>
        </w:tc>
        <w:tc>
          <w:tcPr>
            <w:tcW w:w="1933"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center"/>
              <w:rPr>
                <w:rFonts w:ascii="宋体"/>
                <w:color w:val="000000"/>
                <w:sz w:val="22"/>
                <w:szCs w:val="22"/>
              </w:rPr>
            </w:pPr>
          </w:p>
        </w:tc>
        <w:tc>
          <w:tcPr>
            <w:tcW w:w="127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color w:val="000000"/>
                <w:sz w:val="22"/>
                <w:szCs w:val="22"/>
              </w:rPr>
            </w:pPr>
          </w:p>
        </w:tc>
        <w:tc>
          <w:tcPr>
            <w:tcW w:w="1926" w:type="dxa"/>
            <w:gridSpan w:val="2"/>
            <w:tcBorders>
              <w:top w:val="single" w:color="000000" w:sz="4" w:space="0"/>
              <w:left w:val="single" w:color="000000" w:sz="4" w:space="0"/>
              <w:bottom w:val="single" w:color="000000" w:sz="8" w:space="0"/>
              <w:right w:val="nil"/>
            </w:tcBorders>
            <w:noWrap/>
            <w:tcMar>
              <w:top w:w="15" w:type="dxa"/>
              <w:left w:w="15" w:type="dxa"/>
              <w:right w:w="15" w:type="dxa"/>
            </w:tcMar>
            <w:vAlign w:val="center"/>
          </w:tcPr>
          <w:p>
            <w:pPr>
              <w:rPr>
                <w:rFonts w:ascii="宋体"/>
                <w:color w:val="000000"/>
                <w:sz w:val="22"/>
                <w:szCs w:val="22"/>
              </w:rPr>
            </w:pPr>
          </w:p>
        </w:tc>
        <w:tc>
          <w:tcPr>
            <w:tcW w:w="1933"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ascii="宋体"/>
                <w:color w:val="000000"/>
                <w:sz w:val="22"/>
                <w:szCs w:val="22"/>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color w:val="000000"/>
                <w:kern w:val="0"/>
                <w:sz w:val="20"/>
                <w:szCs w:val="20"/>
              </w:rPr>
            </w:pPr>
            <w:r>
              <w:rPr>
                <w:rFonts w:hint="eastAsia" w:ascii="宋体" w:hAnsi="宋体" w:cs="宋体"/>
                <w:color w:val="000000"/>
                <w:kern w:val="0"/>
                <w:sz w:val="20"/>
                <w:szCs w:val="20"/>
              </w:rPr>
              <w:t>注：本表反映部门本年度政府性基金预算财政拨款收入、支出及结转和结余情况。</w:t>
            </w:r>
          </w:p>
          <w:p>
            <w:pPr>
              <w:widowControl/>
              <w:jc w:val="left"/>
              <w:textAlignment w:val="center"/>
              <w:rPr>
                <w:rFonts w:ascii="宋体"/>
                <w:color w:val="000000"/>
                <w:sz w:val="22"/>
                <w:szCs w:val="22"/>
              </w:rPr>
            </w:pPr>
            <w:r>
              <w:rPr>
                <w:rFonts w:hint="eastAsia" w:ascii="宋体" w:hAnsi="宋体" w:cs="宋体"/>
                <w:color w:val="000000"/>
                <w:sz w:val="22"/>
                <w:szCs w:val="22"/>
              </w:rPr>
              <w:t>说明：我部门没有政府性基金收入，也没有使用政府性基金安排的支出，故本表无数据。</w:t>
            </w:r>
          </w:p>
          <w:p>
            <w:pPr>
              <w:widowControl/>
              <w:jc w:val="left"/>
              <w:textAlignment w:val="center"/>
              <w:rPr>
                <w:rFonts w:ascii="宋体"/>
                <w:color w:val="000000"/>
                <w:sz w:val="20"/>
                <w:szCs w:val="20"/>
              </w:rPr>
            </w:pPr>
          </w:p>
          <w:p>
            <w:pPr>
              <w:widowControl/>
              <w:jc w:val="center"/>
              <w:textAlignment w:val="center"/>
              <w:rPr>
                <w:rFonts w:ascii="宋体"/>
                <w:color w:val="000000"/>
                <w:sz w:val="20"/>
                <w:szCs w:val="20"/>
              </w:rPr>
            </w:pPr>
          </w:p>
        </w:tc>
      </w:tr>
    </w:tbl>
    <w:p>
      <w:pPr>
        <w:widowControl/>
        <w:spacing w:line="590" w:lineRule="exact"/>
        <w:jc w:val="left"/>
        <w:rPr>
          <w:rFonts w:ascii="仿宋_GB2312" w:hAnsi="仿宋_GB2312" w:eastAsia="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widowControl/>
        <w:jc w:val="left"/>
        <w:rPr>
          <w:rFonts w:ascii="黑体" w:hAnsi="宋体" w:eastAsia="黑体"/>
          <w:kern w:val="0"/>
          <w:sz w:val="28"/>
          <w:szCs w:val="28"/>
        </w:rPr>
      </w:pPr>
    </w:p>
    <w:p>
      <w:pPr>
        <w:jc w:val="center"/>
        <w:outlineLvl w:val="0"/>
        <w:rPr>
          <w:rFonts w:ascii="黑体" w:hAnsi="黑体" w:eastAsia="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2021</w:t>
      </w:r>
      <w:r>
        <w:rPr>
          <w:rFonts w:hint="eastAsia" w:ascii="黑体" w:hAnsi="黑体" w:eastAsia="黑体" w:cs="黑体"/>
          <w:sz w:val="48"/>
          <w:szCs w:val="48"/>
        </w:rPr>
        <w:t>年度部门决算情况说明</w:t>
      </w:r>
    </w:p>
    <w:p>
      <w:pPr>
        <w:widowControl/>
        <w:jc w:val="left"/>
        <w:rPr>
          <w:rFonts w:ascii="黑体" w:hAnsi="黑体" w:eastAsia="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万元。与上年度相比，收、支总计各减少</w:t>
      </w:r>
      <w:r>
        <w:rPr>
          <w:rFonts w:ascii="仿宋_GB2312" w:hAnsi="仿宋_GB2312" w:eastAsia="仿宋_GB2312" w:cs="仿宋_GB2312"/>
          <w:sz w:val="32"/>
          <w:szCs w:val="32"/>
        </w:rPr>
        <w:t>78.09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10.42%</w:t>
      </w:r>
      <w:r>
        <w:rPr>
          <w:rFonts w:hint="eastAsia" w:ascii="仿宋_GB2312" w:hAnsi="仿宋_GB2312" w:eastAsia="仿宋_GB2312" w:cs="仿宋_GB2312"/>
          <w:sz w:val="32"/>
          <w:szCs w:val="32"/>
        </w:rPr>
        <w:t>。主要原因是落实过紧日子思想，严格控制各项支出。</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536.34</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536.34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325.70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48.54%</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345.33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51.46%</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万元。与上年度相比，财政拨款收、支总计各减少</w:t>
      </w:r>
      <w:r>
        <w:rPr>
          <w:rFonts w:ascii="仿宋_GB2312" w:hAnsi="仿宋_GB2312" w:eastAsia="仿宋_GB2312" w:cs="仿宋_GB2312"/>
          <w:sz w:val="32"/>
          <w:szCs w:val="32"/>
        </w:rPr>
        <w:t>78.09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10.42%</w:t>
      </w:r>
      <w:r>
        <w:rPr>
          <w:rFonts w:hint="eastAsia" w:ascii="仿宋_GB2312" w:hAnsi="仿宋_GB2312" w:eastAsia="仿宋_GB2312" w:cs="仿宋_GB2312"/>
          <w:sz w:val="32"/>
          <w:szCs w:val="32"/>
        </w:rPr>
        <w:t>。主要原因是落实过紧日子思想，严格控制各项支出。</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。与上年度相比，一般公共预算财政拨款支出增加</w:t>
      </w:r>
      <w:r>
        <w:rPr>
          <w:rFonts w:ascii="仿宋_GB2312" w:hAnsi="仿宋_GB2312" w:eastAsia="仿宋_GB2312" w:cs="仿宋_GB2312"/>
          <w:sz w:val="32"/>
          <w:szCs w:val="32"/>
        </w:rPr>
        <w:t>148.74</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28.48%</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年单位人员较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人，人员经费和公用经费增加。</w:t>
      </w:r>
    </w:p>
    <w:p>
      <w:pPr>
        <w:widowControl/>
        <w:spacing w:line="590" w:lineRule="exact"/>
        <w:ind w:firstLine="642"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657.26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97.95%</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4.88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0.73%</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8.89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1.32%</w:t>
      </w:r>
      <w:r>
        <w:rPr>
          <w:rFonts w:hint="eastAsia" w:ascii="仿宋_GB2312" w:hAnsi="仿宋_GB2312" w:eastAsia="仿宋_GB2312" w:cs="仿宋_GB2312"/>
          <w:sz w:val="32"/>
          <w:szCs w:val="32"/>
        </w:rPr>
        <w:t>。</w:t>
      </w:r>
    </w:p>
    <w:p>
      <w:pPr>
        <w:widowControl/>
        <w:spacing w:line="590" w:lineRule="exact"/>
        <w:ind w:firstLine="642"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602.87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111.31%</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．一般公共服务（类）政府办公厅（室）及相关机构事务（款）行政运行（项）。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227.10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272.88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120.16%</w:t>
      </w:r>
      <w:r>
        <w:rPr>
          <w:rFonts w:hint="eastAsia" w:ascii="仿宋_GB2312" w:hAnsi="仿宋_GB2312" w:eastAsia="仿宋_GB2312" w:cs="仿宋_GB2312"/>
          <w:sz w:val="32"/>
          <w:szCs w:val="32"/>
        </w:rPr>
        <w:t>。决算数与年初预算数存在差异的主要原因是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年单位人员较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人，人员经费和公用经费增加。</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．一般公共服务（类）政府办公厅（室）及相关机构事务（款）一般行政管理事务（项）。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350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375.19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107.20%</w:t>
      </w:r>
      <w:r>
        <w:rPr>
          <w:rFonts w:hint="eastAsia" w:ascii="仿宋_GB2312" w:hAnsi="仿宋_GB2312" w:eastAsia="仿宋_GB2312" w:cs="仿宋_GB2312"/>
          <w:sz w:val="32"/>
          <w:szCs w:val="32"/>
        </w:rPr>
        <w:t>。决算数与年初预算数存在差异的主要原因是做决算调整行政运行经费支出至一般行政管理事务支出。</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．一般公共服务（类）群众团体事务（款）工会事务（项）。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0.97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0.97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一般公共服务（类）组织事务（款）行政运行（项）。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8.22</w:t>
      </w:r>
      <w:r>
        <w:rPr>
          <w:rFonts w:hint="eastAsia" w:ascii="仿宋_GB2312" w:hAnsi="仿宋_GB2312" w:eastAsia="仿宋_GB2312" w:cs="仿宋_GB2312"/>
          <w:sz w:val="32"/>
          <w:szCs w:val="32"/>
        </w:rPr>
        <w:t>万元。决算数与年初预算数存在差异的主要原因是决算将一部分住房公积金支出调整至一般公共服务（类）组织事务（款）行政运行（项）。</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．社会保障和就业支出（类）行政事业单位养老支出（款）</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机关事业单位基本养老保险缴费支出（项）。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12.38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4.88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39.42%</w:t>
      </w:r>
      <w:r>
        <w:rPr>
          <w:rFonts w:hint="eastAsia" w:ascii="仿宋_GB2312" w:hAnsi="仿宋_GB2312" w:eastAsia="仿宋_GB2312" w:cs="仿宋_GB2312"/>
          <w:sz w:val="32"/>
          <w:szCs w:val="32"/>
        </w:rPr>
        <w:t>。决算数与年初预算数存在差异的主要原因是决算将一部分养老保险支出调整至工资福利支出中的养老保险缴费科目。</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6.36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4.63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72.80%</w:t>
      </w:r>
      <w:r>
        <w:rPr>
          <w:rFonts w:hint="eastAsia" w:ascii="仿宋_GB2312" w:hAnsi="仿宋_GB2312" w:eastAsia="仿宋_GB2312" w:cs="仿宋_GB2312"/>
          <w:sz w:val="32"/>
          <w:szCs w:val="32"/>
        </w:rPr>
        <w:t>。决算数与年初预算数存在差异的主要原因是决算将一部分医疗保险支出调整至工资福利支出中的医疗保险缴费科目。</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6.06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4.26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70.30%</w:t>
      </w:r>
      <w:r>
        <w:rPr>
          <w:rFonts w:hint="eastAsia" w:ascii="仿宋_GB2312" w:hAnsi="仿宋_GB2312" w:eastAsia="仿宋_GB2312" w:cs="仿宋_GB2312"/>
          <w:sz w:val="32"/>
          <w:szCs w:val="32"/>
        </w:rPr>
        <w:t>。决算数与年初预算数存在差异的主要原因是决算将一部分公务员医疗补助支出调整至工资福利支出中的公务员医疗补助支出科目。</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325.70</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280.24</w:t>
      </w:r>
      <w:r>
        <w:rPr>
          <w:rFonts w:hint="eastAsia" w:ascii="仿宋_GB2312" w:hAnsi="仿宋_GB2312" w:eastAsia="仿宋_GB2312" w:cs="仿宋_GB2312"/>
          <w:sz w:val="32"/>
          <w:szCs w:val="32"/>
        </w:rPr>
        <w:t>万元，主要包括：基本工资、津贴补贴、奖金、机关事业单位基本养老保险缴费、职工基本医疗保险缴费、公务员医疗补助缴费、其他社会保障缴费、住房公积金、其他工资福利支出；公用经费</w:t>
      </w:r>
      <w:r>
        <w:rPr>
          <w:rFonts w:ascii="仿宋_GB2312" w:hAnsi="仿宋_GB2312" w:eastAsia="仿宋_GB2312" w:cs="仿宋_GB2312"/>
          <w:sz w:val="32"/>
          <w:szCs w:val="32"/>
        </w:rPr>
        <w:t>45.46</w:t>
      </w:r>
      <w:r>
        <w:rPr>
          <w:rFonts w:hint="eastAsia" w:ascii="仿宋_GB2312" w:hAnsi="仿宋_GB2312" w:eastAsia="仿宋_GB2312" w:cs="仿宋_GB2312"/>
          <w:sz w:val="32"/>
          <w:szCs w:val="32"/>
        </w:rPr>
        <w:t>万元，主要包括：办公费、邮电费、维修（护）费、办公设备购置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劳务费、工会经费、福利费、公务用车运行维护费、其他交通费用。</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rPr>
        <w:t>440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246.77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56.08%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年度“三公”经费支出决算数与预算数存在差异的主要原因是压缩支出。</w:t>
      </w:r>
    </w:p>
    <w:p>
      <w:pPr>
        <w:widowControl/>
        <w:spacing w:line="590" w:lineRule="exact"/>
        <w:ind w:firstLine="642" w:firstLineChars="200"/>
        <w:outlineLvl w:val="2"/>
        <w:rPr>
          <w:rFonts w:ascii="楷体_GB2312" w:hAnsi="楷体_GB2312" w:eastAsia="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万元；公务用车购置及运行费支出决算</w:t>
      </w:r>
      <w:r>
        <w:rPr>
          <w:rFonts w:ascii="仿宋_GB2312" w:hAnsi="仿宋_GB2312" w:eastAsia="仿宋_GB2312" w:cs="仿宋_GB2312"/>
          <w:sz w:val="32"/>
          <w:szCs w:val="32"/>
        </w:rPr>
        <w:t>17.50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43.75%</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7.09%</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229.27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57.32%</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92.91%</w:t>
      </w:r>
      <w:r>
        <w:rPr>
          <w:rFonts w:hint="eastAsia" w:ascii="仿宋_GB2312" w:hAnsi="仿宋_GB2312" w:eastAsia="仿宋_GB2312" w:cs="仿宋_GB2312"/>
          <w:sz w:val="32"/>
          <w:szCs w:val="32"/>
        </w:rPr>
        <w:t>。具体情况如下：</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万元。决算数与预算数不存在差异。因公出国（境）团组数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个，因公出国（境）人次数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17.50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43.75%</w:t>
      </w:r>
      <w:r>
        <w:rPr>
          <w:rFonts w:hint="eastAsia" w:ascii="仿宋_GB2312" w:hAnsi="仿宋_GB2312" w:eastAsia="仿宋_GB2312" w:cs="仿宋_GB2312"/>
          <w:sz w:val="32"/>
          <w:szCs w:val="32"/>
        </w:rPr>
        <w:t>。决算数与预算数存在差异的主要原因是压缩支出。其中：</w:t>
      </w:r>
    </w:p>
    <w:p>
      <w:pPr>
        <w:widowControl/>
        <w:spacing w:line="590" w:lineRule="exact"/>
        <w:ind w:firstLine="642" w:firstLineChars="200"/>
        <w:rPr>
          <w:rFonts w:ascii="仿宋_GB2312" w:hAnsi="仿宋_GB2312" w:eastAsia="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万元，购置车辆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w:t>
      </w:r>
    </w:p>
    <w:p>
      <w:pPr>
        <w:widowControl/>
        <w:spacing w:line="590" w:lineRule="exact"/>
        <w:ind w:firstLine="642" w:firstLineChars="200"/>
        <w:rPr>
          <w:rFonts w:ascii="仿宋_GB2312" w:hAnsi="仿宋_GB2312" w:eastAsia="仿宋_GB2312"/>
          <w:sz w:val="32"/>
          <w:szCs w:val="32"/>
        </w:rPr>
      </w:pPr>
      <w:r>
        <w:rPr>
          <w:rFonts w:hint="eastAsia" w:ascii="仿宋_GB2312" w:hAnsi="仿宋_GB2312" w:eastAsia="仿宋_GB2312" w:cs="仿宋_GB2312"/>
          <w:b/>
          <w:bCs/>
          <w:sz w:val="32"/>
          <w:szCs w:val="32"/>
        </w:rPr>
        <w:t>公务用车运行支出</w:t>
      </w:r>
      <w:r>
        <w:rPr>
          <w:rFonts w:ascii="仿宋_GB2312" w:hAnsi="仿宋_GB2312" w:eastAsia="仿宋_GB2312" w:cs="仿宋_GB2312"/>
          <w:sz w:val="32"/>
          <w:szCs w:val="32"/>
        </w:rPr>
        <w:t>17.50</w:t>
      </w:r>
      <w:r>
        <w:rPr>
          <w:rFonts w:hint="eastAsia" w:ascii="仿宋_GB2312" w:hAnsi="仿宋_GB2312" w:eastAsia="仿宋_GB2312" w:cs="仿宋_GB2312"/>
          <w:sz w:val="32"/>
          <w:szCs w:val="32"/>
        </w:rPr>
        <w:t>万元。主要用于车辆燃油费、保险费、路桥费、维修费。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辆。</w:t>
      </w:r>
    </w:p>
    <w:p>
      <w:pPr>
        <w:widowControl/>
        <w:spacing w:line="590" w:lineRule="exact"/>
        <w:ind w:firstLine="642" w:firstLineChars="200"/>
        <w:rPr>
          <w:rFonts w:ascii="仿宋_GB2312" w:hAnsi="仿宋_GB2312" w:eastAsia="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229.27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57.32%</w:t>
      </w:r>
      <w:r>
        <w:rPr>
          <w:rFonts w:hint="eastAsia" w:ascii="仿宋_GB2312" w:hAnsi="仿宋_GB2312" w:eastAsia="仿宋_GB2312" w:cs="仿宋_GB2312"/>
          <w:sz w:val="32"/>
          <w:szCs w:val="32"/>
        </w:rPr>
        <w:t>。决算数与预算数存在差异的主要原因是压缩支出。其中：</w:t>
      </w:r>
    </w:p>
    <w:p>
      <w:pPr>
        <w:widowControl/>
        <w:spacing w:line="590" w:lineRule="exact"/>
        <w:ind w:firstLine="642" w:firstLineChars="200"/>
        <w:rPr>
          <w:rFonts w:ascii="仿宋_GB2312" w:hAnsi="仿宋_GB2312" w:eastAsia="仿宋_GB2312"/>
          <w:sz w:val="32"/>
          <w:szCs w:val="32"/>
        </w:rPr>
      </w:pPr>
      <w:r>
        <w:rPr>
          <w:rFonts w:hint="eastAsia" w:ascii="仿宋_GB2312" w:hAnsi="仿宋_GB2312" w:eastAsia="仿宋_GB2312" w:cs="仿宋_GB2312"/>
          <w:b/>
          <w:bCs/>
          <w:sz w:val="32"/>
          <w:szCs w:val="32"/>
        </w:rPr>
        <w:t>外宾接待支出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个、来访外宾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2" w:firstLineChars="200"/>
        <w:rPr>
          <w:rFonts w:ascii="仿宋_GB2312" w:hAnsi="仿宋_GB2312" w:eastAsia="仿宋_GB2312"/>
          <w:sz w:val="32"/>
          <w:szCs w:val="32"/>
        </w:rPr>
      </w:pPr>
      <w:r>
        <w:rPr>
          <w:rFonts w:hint="eastAsia" w:ascii="仿宋_GB2312" w:hAnsi="仿宋_GB2312" w:eastAsia="仿宋_GB2312" w:cs="仿宋_GB2312"/>
          <w:b/>
          <w:bCs/>
          <w:sz w:val="32"/>
          <w:szCs w:val="32"/>
        </w:rPr>
        <w:t>其他国内公务接待支出</w:t>
      </w:r>
      <w:r>
        <w:rPr>
          <w:rFonts w:ascii="仿宋_GB2312" w:hAnsi="仿宋_GB2312" w:eastAsia="仿宋_GB2312" w:cs="仿宋_GB2312"/>
          <w:sz w:val="32"/>
          <w:szCs w:val="32"/>
        </w:rPr>
        <w:t>229.27</w:t>
      </w:r>
      <w:r>
        <w:rPr>
          <w:rFonts w:hint="eastAsia" w:ascii="仿宋_GB2312" w:hAnsi="仿宋_GB2312" w:eastAsia="仿宋_GB2312" w:cs="仿宋_GB2312"/>
          <w:sz w:val="32"/>
          <w:szCs w:val="32"/>
        </w:rPr>
        <w:t>万元。主要用于接待来许的副部级以上领导同志、省（直辖市、自治区）四大机关及兄弟地市四大机关副厅级以上领导同志、全国和省四大机关在我市召开的各类重要会议、国家和省四大机关来许的工作组、检查组、调研组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800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14000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。不存在项目年末结转和结余资金数额较大。</w:t>
      </w:r>
    </w:p>
    <w:p>
      <w:pPr>
        <w:widowControl/>
        <w:spacing w:line="59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情况说明：我部门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年度没有政府性基金收入，也没用使用政府性基金安排的支出。</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w:t>
      </w:r>
      <w:r>
        <w:rPr>
          <w:rFonts w:ascii="仿宋_GB2312" w:hAnsi="仿宋_GB2312" w:eastAsia="仿宋_GB2312" w:cs="仿宋_GB2312"/>
          <w:sz w:val="32"/>
          <w:szCs w:val="32"/>
        </w:rPr>
        <w:t>56.58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45.46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80.35%</w:t>
      </w:r>
      <w:r>
        <w:rPr>
          <w:rFonts w:hint="eastAsia" w:ascii="仿宋_GB2312" w:hAnsi="仿宋_GB2312" w:eastAsia="仿宋_GB2312" w:cs="仿宋_GB2312"/>
          <w:sz w:val="32"/>
          <w:szCs w:val="32"/>
        </w:rPr>
        <w:t>。决算数与年初预算数存在差异的主要原因是压缩支出。</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年期末，我部门共有车辆</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辆，其中：省级领导干部用车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辆、应急保障车</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辆、离退休干部用车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辆；单位价值</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ascii="黑体" w:hAnsi="黑体" w:eastAsia="黑体"/>
          <w:sz w:val="32"/>
          <w:szCs w:val="32"/>
        </w:rPr>
      </w:pPr>
      <w:r>
        <w:rPr>
          <w:rFonts w:hint="eastAsia" w:ascii="黑体" w:hAnsi="黑体" w:eastAsia="黑体" w:cs="黑体"/>
          <w:sz w:val="32"/>
          <w:szCs w:val="32"/>
        </w:rPr>
        <w:t>十二、预算绩效情况说明</w:t>
      </w:r>
    </w:p>
    <w:p>
      <w:pPr>
        <w:widowControl/>
        <w:spacing w:line="360" w:lineRule="auto"/>
        <w:ind w:firstLine="469" w:firstLineChars="146"/>
        <w:outlineLvl w:val="2"/>
        <w:rPr>
          <w:rFonts w:ascii="楷体_GB2312" w:hAnsi="楷体_GB2312" w:eastAsia="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我部门按照《中共许昌市委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许昌市人民政府关于全面实施预算绩效管理的实施意见》（许发〔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号）文件要求，对本部门整体支出和项目支出开展全过程预算绩效管理。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年我部门纳入预算绩效管理的支出总额为</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325.70</w:t>
      </w:r>
      <w:r>
        <w:rPr>
          <w:rFonts w:hint="eastAsia" w:ascii="仿宋_GB2312" w:hAnsi="仿宋_GB2312" w:eastAsia="仿宋_GB2312" w:cs="仿宋_GB2312"/>
          <w:sz w:val="32"/>
          <w:szCs w:val="32"/>
        </w:rPr>
        <w:t>万元；支出项目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个，支出金额</w:t>
      </w:r>
      <w:r>
        <w:rPr>
          <w:rFonts w:ascii="仿宋_GB2312" w:hAnsi="仿宋_GB2312" w:eastAsia="仿宋_GB2312" w:cs="仿宋_GB2312"/>
          <w:sz w:val="32"/>
          <w:szCs w:val="32"/>
        </w:rPr>
        <w:t>345.33</w:t>
      </w:r>
      <w:r>
        <w:rPr>
          <w:rFonts w:hint="eastAsia" w:ascii="仿宋_GB2312" w:hAnsi="仿宋_GB2312" w:eastAsia="仿宋_GB2312" w:cs="仿宋_GB2312"/>
          <w:sz w:val="32"/>
          <w:szCs w:val="32"/>
        </w:rPr>
        <w:t>万元。开展项目绩效自评项目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个，自评金额</w:t>
      </w:r>
      <w:r>
        <w:rPr>
          <w:rFonts w:ascii="仿宋_GB2312" w:hAnsi="仿宋_GB2312" w:eastAsia="仿宋_GB2312" w:cs="仿宋_GB2312"/>
          <w:sz w:val="32"/>
          <w:szCs w:val="32"/>
        </w:rPr>
        <w:t>345.33</w:t>
      </w:r>
      <w:r>
        <w:rPr>
          <w:rFonts w:hint="eastAsia" w:ascii="仿宋_GB2312" w:hAnsi="仿宋_GB2312" w:eastAsia="仿宋_GB2312" w:cs="仿宋_GB2312"/>
          <w:sz w:val="32"/>
          <w:szCs w:val="32"/>
        </w:rPr>
        <w:t>万元；纳入重点绩效评价</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个，评价金额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360" w:lineRule="auto"/>
        <w:ind w:firstLine="481" w:firstLineChars="150"/>
        <w:rPr>
          <w:rFonts w:ascii="仿宋_GB2312" w:hAnsi="仿宋_GB2312" w:eastAsia="仿宋_GB2312"/>
          <w:sz w:val="32"/>
          <w:szCs w:val="32"/>
        </w:rPr>
      </w:pPr>
      <w:r>
        <w:rPr>
          <w:rFonts w:hint="eastAsia" w:ascii="楷体_GB2312" w:hAnsi="楷体_GB2312" w:eastAsia="楷体_GB2312" w:cs="楷体_GB2312"/>
          <w:b/>
          <w:bCs/>
          <w:sz w:val="32"/>
          <w:szCs w:val="32"/>
        </w:rPr>
        <w:t>（二）部门整体和项目绩效自评结果。</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按照《许昌市财政局关于开展</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年度市级预算绩效自评工作的通知》（许财效）〔</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号）等文件精神，我部门对本部门整体绩效目标和项目支出绩效目标进行了自评。一是部门整体绩效自评情况。</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年我部门整体自评绩效涉及资金</w:t>
      </w:r>
      <w:r>
        <w:rPr>
          <w:rFonts w:ascii="仿宋_GB2312" w:hAnsi="仿宋_GB2312" w:eastAsia="仿宋_GB2312" w:cs="仿宋_GB2312"/>
          <w:sz w:val="32"/>
          <w:szCs w:val="32"/>
        </w:rPr>
        <w:t>671.03</w:t>
      </w:r>
      <w:r>
        <w:rPr>
          <w:rFonts w:hint="eastAsia" w:ascii="仿宋_GB2312" w:hAnsi="仿宋_GB2312" w:eastAsia="仿宋_GB2312" w:cs="仿宋_GB2312"/>
          <w:sz w:val="32"/>
          <w:szCs w:val="32"/>
        </w:rPr>
        <w:t>万元。二是项目绩效自评情况。</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我部门对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个项目开展项目绩效自评，涉及资金</w:t>
      </w:r>
      <w:r>
        <w:rPr>
          <w:rFonts w:ascii="仿宋_GB2312" w:hAnsi="仿宋_GB2312" w:eastAsia="仿宋_GB2312" w:cs="仿宋_GB2312"/>
          <w:sz w:val="32"/>
          <w:szCs w:val="32"/>
        </w:rPr>
        <w:t>345.33</w:t>
      </w:r>
      <w:r>
        <w:rPr>
          <w:rFonts w:hint="eastAsia" w:ascii="仿宋_GB2312" w:hAnsi="仿宋_GB2312" w:eastAsia="仿宋_GB2312" w:cs="仿宋_GB2312"/>
          <w:sz w:val="32"/>
          <w:szCs w:val="32"/>
        </w:rPr>
        <w:t>万元。我部门共有</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个项目批复了绩效目标。</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基于项目预期目标的实现程度，对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年度项目支出绩效进行自评，绩效自评平均得分为</w:t>
      </w:r>
      <w:r>
        <w:rPr>
          <w:rFonts w:ascii="仿宋_GB2312" w:hAnsi="仿宋_GB2312" w:eastAsia="仿宋_GB2312" w:cs="仿宋_GB2312"/>
          <w:sz w:val="32"/>
          <w:szCs w:val="32"/>
        </w:rPr>
        <w:t>95.8</w:t>
      </w:r>
      <w:r>
        <w:rPr>
          <w:rFonts w:hint="eastAsia" w:ascii="仿宋_GB2312" w:hAnsi="仿宋_GB2312" w:eastAsia="仿宋_GB2312" w:cs="仿宋_GB2312"/>
          <w:sz w:val="32"/>
          <w:szCs w:val="32"/>
        </w:rPr>
        <w:t>分。其中：</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个项目评价等级为“优”、</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个项目评价等级为“良”、</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个项目评价等级为“中”、</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个项目评价等级为“差”。</w:t>
      </w:r>
    </w:p>
    <w:p>
      <w:pPr>
        <w:widowControl/>
        <w:spacing w:line="360" w:lineRule="auto"/>
        <w:ind w:firstLine="963" w:firstLineChars="300"/>
        <w:outlineLvl w:val="2"/>
        <w:rPr>
          <w:rFonts w:ascii="楷体_GB2312" w:hAnsi="楷体_GB2312" w:eastAsia="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年度我部门没有开展重点绩效评价的项目。</w:t>
      </w: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r>
        <w:rPr>
          <w:rFonts w:hint="eastAsia" w:ascii="黑体" w:hAnsi="黑体" w:eastAsia="黑体" w:cs="黑体"/>
          <w:sz w:val="48"/>
          <w:szCs w:val="48"/>
        </w:rPr>
        <w:t>第四部分</w:t>
      </w:r>
      <w:r>
        <w:rPr>
          <w:rFonts w:ascii="黑体" w:hAnsi="黑体" w:eastAsia="黑体" w:cs="黑体"/>
          <w:sz w:val="48"/>
          <w:szCs w:val="48"/>
        </w:rPr>
        <w:t xml:space="preserve">  </w:t>
      </w:r>
      <w:r>
        <w:rPr>
          <w:rFonts w:hint="eastAsia" w:ascii="黑体" w:hAnsi="黑体" w:eastAsia="黑体" w:cs="黑体"/>
          <w:sz w:val="48"/>
          <w:szCs w:val="48"/>
        </w:rPr>
        <w:t>名词解释</w:t>
      </w:r>
    </w:p>
    <w:p>
      <w:pPr>
        <w:jc w:val="center"/>
        <w:rPr>
          <w:rFonts w:ascii="黑体" w:hAnsi="黑体" w:eastAsia="黑体"/>
          <w:sz w:val="48"/>
          <w:szCs w:val="48"/>
        </w:rPr>
      </w:pPr>
    </w:p>
    <w:p>
      <w:pPr>
        <w:jc w:val="center"/>
        <w:outlineLvl w:val="0"/>
        <w:rPr>
          <w:rFonts w:ascii="黑体" w:hAnsi="黑体" w:eastAsia="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URW Bookman"/>
    <w:panose1 w:val="00000000000000000000"/>
    <w:charset w:val="00"/>
    <w:family w:val="auto"/>
    <w:pitch w:val="default"/>
    <w:sig w:usb0="00000000" w:usb1="00000000" w:usb2="00000000" w:usb3="00000000" w:csb0="00000001" w:csb1="00000000"/>
  </w:font>
  <w:font w:name="楷体_GB2312">
    <w:altName w:val="宋体"/>
    <w:panose1 w:val="00000000000000000000"/>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- 29 -</w:t>
                </w:r>
                <w:r>
                  <w:rPr>
                    <w:sz w:val="18"/>
                    <w:szCs w:val="18"/>
                  </w:rPr>
                  <w:fldChar w:fldCharType="end"/>
                </w:r>
              </w:p>
            </w:txbxContent>
          </v:textbox>
        </v:shape>
      </w:pict>
    </w:r>
    <w:r>
      <w:pict>
        <v:shape id="文本框 1027"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- 28 -</w:t>
                </w:r>
                <w:r>
                  <w:rPr>
                    <w:sz w:val="18"/>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true"/>
  <w:bordersDoNotSurroundFooter w:val="true"/>
  <w:documentProtection w:enforcement="0"/>
  <w:defaultTabStop w:val="420"/>
  <w:doNotHyphenateCaps/>
  <w:evenAndOddHeaders w:val="true"/>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RiOGEwN2Y2MGJkZTY2MDFhZDQ0Njc5NWQ5YmJjZGMifQ=="/>
  </w:docVars>
  <w:rsids>
    <w:rsidRoot w:val="000270E8"/>
    <w:rsid w:val="00010E4B"/>
    <w:rsid w:val="0002489F"/>
    <w:rsid w:val="000270E8"/>
    <w:rsid w:val="000335B5"/>
    <w:rsid w:val="00057AFD"/>
    <w:rsid w:val="00072D3D"/>
    <w:rsid w:val="00076410"/>
    <w:rsid w:val="00081835"/>
    <w:rsid w:val="000904B3"/>
    <w:rsid w:val="000934FF"/>
    <w:rsid w:val="000B416E"/>
    <w:rsid w:val="000C073B"/>
    <w:rsid w:val="000C1142"/>
    <w:rsid w:val="000E15FD"/>
    <w:rsid w:val="001003F8"/>
    <w:rsid w:val="00144159"/>
    <w:rsid w:val="0015035A"/>
    <w:rsid w:val="0015426B"/>
    <w:rsid w:val="001718A8"/>
    <w:rsid w:val="00175793"/>
    <w:rsid w:val="00182842"/>
    <w:rsid w:val="00184D53"/>
    <w:rsid w:val="001905F2"/>
    <w:rsid w:val="00197592"/>
    <w:rsid w:val="001B12FE"/>
    <w:rsid w:val="001B3C3B"/>
    <w:rsid w:val="001C32F0"/>
    <w:rsid w:val="001D61B1"/>
    <w:rsid w:val="001D7F78"/>
    <w:rsid w:val="001E4877"/>
    <w:rsid w:val="001F057B"/>
    <w:rsid w:val="001F362A"/>
    <w:rsid w:val="001F5040"/>
    <w:rsid w:val="002006EB"/>
    <w:rsid w:val="00211D9F"/>
    <w:rsid w:val="00214AE1"/>
    <w:rsid w:val="0022194D"/>
    <w:rsid w:val="0023249D"/>
    <w:rsid w:val="00232977"/>
    <w:rsid w:val="00232EFE"/>
    <w:rsid w:val="00260D70"/>
    <w:rsid w:val="002661D3"/>
    <w:rsid w:val="00281114"/>
    <w:rsid w:val="00282C7F"/>
    <w:rsid w:val="00283C88"/>
    <w:rsid w:val="00287811"/>
    <w:rsid w:val="00287FD4"/>
    <w:rsid w:val="00292B4B"/>
    <w:rsid w:val="002A6352"/>
    <w:rsid w:val="002B3F94"/>
    <w:rsid w:val="002B6F0A"/>
    <w:rsid w:val="002C171D"/>
    <w:rsid w:val="002E0822"/>
    <w:rsid w:val="002E6A86"/>
    <w:rsid w:val="002F377B"/>
    <w:rsid w:val="003018A0"/>
    <w:rsid w:val="003044D3"/>
    <w:rsid w:val="00304D04"/>
    <w:rsid w:val="00305B88"/>
    <w:rsid w:val="003149D1"/>
    <w:rsid w:val="00315FEB"/>
    <w:rsid w:val="00344DE8"/>
    <w:rsid w:val="003913C4"/>
    <w:rsid w:val="003C0A09"/>
    <w:rsid w:val="003C10AF"/>
    <w:rsid w:val="003D05BA"/>
    <w:rsid w:val="003F683B"/>
    <w:rsid w:val="0041489C"/>
    <w:rsid w:val="0042585F"/>
    <w:rsid w:val="00434885"/>
    <w:rsid w:val="00445CAC"/>
    <w:rsid w:val="00456676"/>
    <w:rsid w:val="00472E19"/>
    <w:rsid w:val="0047719A"/>
    <w:rsid w:val="00487869"/>
    <w:rsid w:val="00487D9C"/>
    <w:rsid w:val="004904B1"/>
    <w:rsid w:val="004B2E4E"/>
    <w:rsid w:val="004C39A8"/>
    <w:rsid w:val="004D5275"/>
    <w:rsid w:val="004D67B9"/>
    <w:rsid w:val="004F63DB"/>
    <w:rsid w:val="004F6CBB"/>
    <w:rsid w:val="00504829"/>
    <w:rsid w:val="00505190"/>
    <w:rsid w:val="00507364"/>
    <w:rsid w:val="0054692D"/>
    <w:rsid w:val="00546F7C"/>
    <w:rsid w:val="0055758F"/>
    <w:rsid w:val="00572AF7"/>
    <w:rsid w:val="00574C75"/>
    <w:rsid w:val="005A0C2F"/>
    <w:rsid w:val="005B1AE2"/>
    <w:rsid w:val="005C2504"/>
    <w:rsid w:val="005E3397"/>
    <w:rsid w:val="00607D67"/>
    <w:rsid w:val="006228C4"/>
    <w:rsid w:val="00624E1B"/>
    <w:rsid w:val="00636C37"/>
    <w:rsid w:val="00645F4E"/>
    <w:rsid w:val="006512DD"/>
    <w:rsid w:val="00656BEF"/>
    <w:rsid w:val="00656D75"/>
    <w:rsid w:val="00657BD2"/>
    <w:rsid w:val="00657E86"/>
    <w:rsid w:val="00666F2E"/>
    <w:rsid w:val="00667E45"/>
    <w:rsid w:val="00673EF7"/>
    <w:rsid w:val="00676133"/>
    <w:rsid w:val="006841E9"/>
    <w:rsid w:val="0069449E"/>
    <w:rsid w:val="006A4D6D"/>
    <w:rsid w:val="006B79ED"/>
    <w:rsid w:val="006C07F0"/>
    <w:rsid w:val="006C644A"/>
    <w:rsid w:val="006C7D84"/>
    <w:rsid w:val="006D43D3"/>
    <w:rsid w:val="006D65E5"/>
    <w:rsid w:val="007148E8"/>
    <w:rsid w:val="00714E03"/>
    <w:rsid w:val="00733DAA"/>
    <w:rsid w:val="00742BA0"/>
    <w:rsid w:val="00753545"/>
    <w:rsid w:val="00755A7D"/>
    <w:rsid w:val="00756765"/>
    <w:rsid w:val="007573D1"/>
    <w:rsid w:val="00764156"/>
    <w:rsid w:val="007706D7"/>
    <w:rsid w:val="00770E1F"/>
    <w:rsid w:val="00781663"/>
    <w:rsid w:val="007879ED"/>
    <w:rsid w:val="007937E3"/>
    <w:rsid w:val="007A48A3"/>
    <w:rsid w:val="007B23BE"/>
    <w:rsid w:val="007C029F"/>
    <w:rsid w:val="007C7F49"/>
    <w:rsid w:val="007D2A21"/>
    <w:rsid w:val="007E411E"/>
    <w:rsid w:val="007F3C37"/>
    <w:rsid w:val="00843461"/>
    <w:rsid w:val="008651E7"/>
    <w:rsid w:val="00872946"/>
    <w:rsid w:val="0088023A"/>
    <w:rsid w:val="008858FB"/>
    <w:rsid w:val="00885F07"/>
    <w:rsid w:val="00894B41"/>
    <w:rsid w:val="008B5427"/>
    <w:rsid w:val="008B61F0"/>
    <w:rsid w:val="008C7CD0"/>
    <w:rsid w:val="008E00D4"/>
    <w:rsid w:val="008F0810"/>
    <w:rsid w:val="00903F6B"/>
    <w:rsid w:val="009173F9"/>
    <w:rsid w:val="009308CB"/>
    <w:rsid w:val="00933606"/>
    <w:rsid w:val="00950270"/>
    <w:rsid w:val="00962F58"/>
    <w:rsid w:val="00971FD0"/>
    <w:rsid w:val="00975A04"/>
    <w:rsid w:val="00987E71"/>
    <w:rsid w:val="00993D41"/>
    <w:rsid w:val="009A65B1"/>
    <w:rsid w:val="009B03F8"/>
    <w:rsid w:val="009D38DF"/>
    <w:rsid w:val="009F0FBB"/>
    <w:rsid w:val="009F4BD9"/>
    <w:rsid w:val="009F546E"/>
    <w:rsid w:val="00A079F0"/>
    <w:rsid w:val="00A148EB"/>
    <w:rsid w:val="00A31EE2"/>
    <w:rsid w:val="00A3296F"/>
    <w:rsid w:val="00A41D1C"/>
    <w:rsid w:val="00A42DA3"/>
    <w:rsid w:val="00A42F43"/>
    <w:rsid w:val="00A51982"/>
    <w:rsid w:val="00A5770C"/>
    <w:rsid w:val="00A57BF7"/>
    <w:rsid w:val="00A71DC1"/>
    <w:rsid w:val="00A83D8A"/>
    <w:rsid w:val="00A93E7D"/>
    <w:rsid w:val="00AA260E"/>
    <w:rsid w:val="00AA44CB"/>
    <w:rsid w:val="00AA5155"/>
    <w:rsid w:val="00AA67CD"/>
    <w:rsid w:val="00AC46EC"/>
    <w:rsid w:val="00AD6761"/>
    <w:rsid w:val="00AD6A7A"/>
    <w:rsid w:val="00AE2FEA"/>
    <w:rsid w:val="00AE600E"/>
    <w:rsid w:val="00AF57A5"/>
    <w:rsid w:val="00B0083B"/>
    <w:rsid w:val="00B040BC"/>
    <w:rsid w:val="00B108F8"/>
    <w:rsid w:val="00B209B8"/>
    <w:rsid w:val="00B20BBC"/>
    <w:rsid w:val="00B249F3"/>
    <w:rsid w:val="00B649BE"/>
    <w:rsid w:val="00B653A5"/>
    <w:rsid w:val="00B710DD"/>
    <w:rsid w:val="00B7215D"/>
    <w:rsid w:val="00B84FFA"/>
    <w:rsid w:val="00BB12E9"/>
    <w:rsid w:val="00BE3A72"/>
    <w:rsid w:val="00BE5A85"/>
    <w:rsid w:val="00BE69B5"/>
    <w:rsid w:val="00BF4E6A"/>
    <w:rsid w:val="00BF5718"/>
    <w:rsid w:val="00C13474"/>
    <w:rsid w:val="00C1626E"/>
    <w:rsid w:val="00C3104D"/>
    <w:rsid w:val="00C3106E"/>
    <w:rsid w:val="00C40324"/>
    <w:rsid w:val="00C41AD8"/>
    <w:rsid w:val="00C4786D"/>
    <w:rsid w:val="00C60152"/>
    <w:rsid w:val="00C60609"/>
    <w:rsid w:val="00C844C7"/>
    <w:rsid w:val="00C95CC1"/>
    <w:rsid w:val="00CA3F44"/>
    <w:rsid w:val="00CB03ED"/>
    <w:rsid w:val="00CE212D"/>
    <w:rsid w:val="00CE4B38"/>
    <w:rsid w:val="00D11B9B"/>
    <w:rsid w:val="00D1321A"/>
    <w:rsid w:val="00D30ADF"/>
    <w:rsid w:val="00D33CF8"/>
    <w:rsid w:val="00D6315E"/>
    <w:rsid w:val="00D652C2"/>
    <w:rsid w:val="00D74EE2"/>
    <w:rsid w:val="00D83E19"/>
    <w:rsid w:val="00D86CAD"/>
    <w:rsid w:val="00D957D8"/>
    <w:rsid w:val="00DA00C9"/>
    <w:rsid w:val="00DB200E"/>
    <w:rsid w:val="00DB65F5"/>
    <w:rsid w:val="00DD5433"/>
    <w:rsid w:val="00DE373B"/>
    <w:rsid w:val="00E01C3E"/>
    <w:rsid w:val="00E06B15"/>
    <w:rsid w:val="00E122DE"/>
    <w:rsid w:val="00E13099"/>
    <w:rsid w:val="00E2430E"/>
    <w:rsid w:val="00E4339F"/>
    <w:rsid w:val="00E60B05"/>
    <w:rsid w:val="00E629EA"/>
    <w:rsid w:val="00E63DF4"/>
    <w:rsid w:val="00E6777C"/>
    <w:rsid w:val="00EB05A3"/>
    <w:rsid w:val="00EC3BB2"/>
    <w:rsid w:val="00ED38B7"/>
    <w:rsid w:val="00EE051D"/>
    <w:rsid w:val="00F0131A"/>
    <w:rsid w:val="00F053A8"/>
    <w:rsid w:val="00F14C17"/>
    <w:rsid w:val="00F17041"/>
    <w:rsid w:val="00F17D84"/>
    <w:rsid w:val="00F218CF"/>
    <w:rsid w:val="00F22432"/>
    <w:rsid w:val="00F25122"/>
    <w:rsid w:val="00F44937"/>
    <w:rsid w:val="00F61A47"/>
    <w:rsid w:val="00F84422"/>
    <w:rsid w:val="00F95455"/>
    <w:rsid w:val="00FA574D"/>
    <w:rsid w:val="00FC2588"/>
    <w:rsid w:val="00FE7AD9"/>
    <w:rsid w:val="01322275"/>
    <w:rsid w:val="01DC6F05"/>
    <w:rsid w:val="02452AC4"/>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CBB228B"/>
    <w:rsid w:val="1E443B4B"/>
    <w:rsid w:val="1E994F4A"/>
    <w:rsid w:val="1EAF0224"/>
    <w:rsid w:val="1F2230A4"/>
    <w:rsid w:val="1F79B98A"/>
    <w:rsid w:val="1F9F086D"/>
    <w:rsid w:val="20210932"/>
    <w:rsid w:val="202448E0"/>
    <w:rsid w:val="20F614FE"/>
    <w:rsid w:val="21302EEA"/>
    <w:rsid w:val="22376FB5"/>
    <w:rsid w:val="232A1CB0"/>
    <w:rsid w:val="234D5F8F"/>
    <w:rsid w:val="23E152D7"/>
    <w:rsid w:val="23EE2489"/>
    <w:rsid w:val="255D43C8"/>
    <w:rsid w:val="25B73A53"/>
    <w:rsid w:val="26714EF8"/>
    <w:rsid w:val="26876BDD"/>
    <w:rsid w:val="2714632A"/>
    <w:rsid w:val="27541E73"/>
    <w:rsid w:val="27B0539E"/>
    <w:rsid w:val="28A7413D"/>
    <w:rsid w:val="29365CF8"/>
    <w:rsid w:val="299469B3"/>
    <w:rsid w:val="2A805789"/>
    <w:rsid w:val="2ADC0D75"/>
    <w:rsid w:val="2B4A0E52"/>
    <w:rsid w:val="2C975890"/>
    <w:rsid w:val="2DEF21BB"/>
    <w:rsid w:val="2E436403"/>
    <w:rsid w:val="2E4A2F05"/>
    <w:rsid w:val="2ECC1061"/>
    <w:rsid w:val="2FA476AD"/>
    <w:rsid w:val="303F7540"/>
    <w:rsid w:val="31DD00BF"/>
    <w:rsid w:val="3293174C"/>
    <w:rsid w:val="32BB38D4"/>
    <w:rsid w:val="32C9376D"/>
    <w:rsid w:val="33146FA9"/>
    <w:rsid w:val="33780472"/>
    <w:rsid w:val="33AF0905"/>
    <w:rsid w:val="355932F4"/>
    <w:rsid w:val="35611882"/>
    <w:rsid w:val="364C4610"/>
    <w:rsid w:val="36746FC3"/>
    <w:rsid w:val="368763AE"/>
    <w:rsid w:val="37F53201"/>
    <w:rsid w:val="395D59E7"/>
    <w:rsid w:val="39A93932"/>
    <w:rsid w:val="3A915562"/>
    <w:rsid w:val="3B8D4765"/>
    <w:rsid w:val="3BF4D3E3"/>
    <w:rsid w:val="3C000DBA"/>
    <w:rsid w:val="3D232AFF"/>
    <w:rsid w:val="3DC045D3"/>
    <w:rsid w:val="3E504FFB"/>
    <w:rsid w:val="3E615CD0"/>
    <w:rsid w:val="3E9C47F6"/>
    <w:rsid w:val="3F8B0112"/>
    <w:rsid w:val="3FA72BA9"/>
    <w:rsid w:val="3FAB3095"/>
    <w:rsid w:val="3FE45947"/>
    <w:rsid w:val="40455BBC"/>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EE26C25"/>
    <w:rsid w:val="4F1F1B48"/>
    <w:rsid w:val="4F471EB0"/>
    <w:rsid w:val="501B533C"/>
    <w:rsid w:val="51331326"/>
    <w:rsid w:val="51740A7F"/>
    <w:rsid w:val="51A5541E"/>
    <w:rsid w:val="51C96242"/>
    <w:rsid w:val="52A15B9E"/>
    <w:rsid w:val="53906AE1"/>
    <w:rsid w:val="54F46F60"/>
    <w:rsid w:val="55963A86"/>
    <w:rsid w:val="55A37BEA"/>
    <w:rsid w:val="56362CD2"/>
    <w:rsid w:val="5784687B"/>
    <w:rsid w:val="57846959"/>
    <w:rsid w:val="578E6A87"/>
    <w:rsid w:val="578F40DE"/>
    <w:rsid w:val="5A551748"/>
    <w:rsid w:val="5A847D1C"/>
    <w:rsid w:val="5AC2203A"/>
    <w:rsid w:val="5C4D7325"/>
    <w:rsid w:val="5CBB3334"/>
    <w:rsid w:val="5CDB3FF7"/>
    <w:rsid w:val="5CE1777E"/>
    <w:rsid w:val="5D115FAF"/>
    <w:rsid w:val="5E6C582F"/>
    <w:rsid w:val="5F7752B4"/>
    <w:rsid w:val="615F4EB7"/>
    <w:rsid w:val="62811722"/>
    <w:rsid w:val="62E75A72"/>
    <w:rsid w:val="6448413D"/>
    <w:rsid w:val="64571880"/>
    <w:rsid w:val="649125B6"/>
    <w:rsid w:val="652F4C1A"/>
    <w:rsid w:val="666D37F1"/>
    <w:rsid w:val="67087D8F"/>
    <w:rsid w:val="671F687E"/>
    <w:rsid w:val="67F415F8"/>
    <w:rsid w:val="682640D1"/>
    <w:rsid w:val="684B73E5"/>
    <w:rsid w:val="69AFE0CB"/>
    <w:rsid w:val="6A047A2A"/>
    <w:rsid w:val="6B151C87"/>
    <w:rsid w:val="6B5F047B"/>
    <w:rsid w:val="6DEE8059"/>
    <w:rsid w:val="6E834C14"/>
    <w:rsid w:val="6EBFE0A7"/>
    <w:rsid w:val="6EFB7548"/>
    <w:rsid w:val="6F3831C3"/>
    <w:rsid w:val="6F8B71C1"/>
    <w:rsid w:val="6FD483C3"/>
    <w:rsid w:val="70753482"/>
    <w:rsid w:val="707B522A"/>
    <w:rsid w:val="726F216D"/>
    <w:rsid w:val="73194D05"/>
    <w:rsid w:val="73A83B0E"/>
    <w:rsid w:val="73DCDE5F"/>
    <w:rsid w:val="744D3EF9"/>
    <w:rsid w:val="74794411"/>
    <w:rsid w:val="75867C40"/>
    <w:rsid w:val="75B10B26"/>
    <w:rsid w:val="760F1F01"/>
    <w:rsid w:val="76432199"/>
    <w:rsid w:val="76F44829"/>
    <w:rsid w:val="77A267C0"/>
    <w:rsid w:val="77F7F19B"/>
    <w:rsid w:val="78882278"/>
    <w:rsid w:val="78B118A6"/>
    <w:rsid w:val="78E226E1"/>
    <w:rsid w:val="79135044"/>
    <w:rsid w:val="79676423"/>
    <w:rsid w:val="797D43AC"/>
    <w:rsid w:val="79DF54A1"/>
    <w:rsid w:val="7A7D0F99"/>
    <w:rsid w:val="7B5FE5F5"/>
    <w:rsid w:val="7BFB3AF4"/>
    <w:rsid w:val="7D49B0C7"/>
    <w:rsid w:val="7E4A0E7C"/>
    <w:rsid w:val="7EFD449D"/>
    <w:rsid w:val="7F5FA333"/>
    <w:rsid w:val="7F7A7AA5"/>
    <w:rsid w:val="7F939FBF"/>
    <w:rsid w:val="7FBF3813"/>
    <w:rsid w:val="7FEE12FA"/>
    <w:rsid w:val="7FF7C785"/>
    <w:rsid w:val="7FFD9AF7"/>
    <w:rsid w:val="7FFF8962"/>
    <w:rsid w:val="939DFC42"/>
    <w:rsid w:val="9B7FCC43"/>
    <w:rsid w:val="D6EEC9AF"/>
    <w:rsid w:val="D9AB1483"/>
    <w:rsid w:val="E3FF8E9B"/>
    <w:rsid w:val="EDFD2312"/>
    <w:rsid w:val="EEFE8F5A"/>
    <w:rsid w:val="EF1F06E6"/>
    <w:rsid w:val="EFBF0FCA"/>
    <w:rsid w:val="F6F75EAD"/>
    <w:rsid w:val="F9EC42C8"/>
    <w:rsid w:val="FD6FB05D"/>
    <w:rsid w:val="FF2D0D14"/>
    <w:rsid w:val="FF37E567"/>
    <w:rsid w:val="FFDFAE1D"/>
    <w:rsid w:val="FFFF99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99"/>
    <w:rPr>
      <w:color w:val="800080"/>
      <w:u w:val="single"/>
    </w:rPr>
  </w:style>
  <w:style w:type="character" w:styleId="9">
    <w:name w:val="Hyperlink"/>
    <w:basedOn w:val="7"/>
    <w:qFormat/>
    <w:uiPriority w:val="99"/>
    <w:rPr>
      <w:color w:val="0000FF"/>
      <w:u w:val="single"/>
    </w:rPr>
  </w:style>
  <w:style w:type="character" w:customStyle="1" w:styleId="10">
    <w:name w:val="Balloon Text Char"/>
    <w:basedOn w:val="7"/>
    <w:link w:val="2"/>
    <w:semiHidden/>
    <w:qFormat/>
    <w:locked/>
    <w:uiPriority w:val="99"/>
    <w:rPr>
      <w:kern w:val="2"/>
      <w:sz w:val="18"/>
      <w:szCs w:val="18"/>
    </w:rPr>
  </w:style>
  <w:style w:type="character" w:customStyle="1" w:styleId="11">
    <w:name w:val="Footer Char"/>
    <w:basedOn w:val="7"/>
    <w:link w:val="3"/>
    <w:qFormat/>
    <w:locked/>
    <w:uiPriority w:val="99"/>
    <w:rPr>
      <w:kern w:val="2"/>
      <w:sz w:val="18"/>
      <w:szCs w:val="18"/>
    </w:rPr>
  </w:style>
  <w:style w:type="character" w:customStyle="1" w:styleId="12">
    <w:name w:val="Header Char"/>
    <w:basedOn w:val="7"/>
    <w:link w:val="4"/>
    <w:qFormat/>
    <w:locked/>
    <w:uiPriority w:val="99"/>
    <w:rPr>
      <w:kern w:val="2"/>
      <w:sz w:val="18"/>
      <w:szCs w:val="18"/>
    </w:rPr>
  </w:style>
  <w:style w:type="character" w:customStyle="1" w:styleId="13">
    <w:name w:val="font01"/>
    <w:qFormat/>
    <w:uiPriority w:val="99"/>
    <w:rPr>
      <w:rFonts w:ascii="宋体" w:hAnsi="宋体" w:eastAsia="宋体" w:cs="宋体"/>
      <w:color w:val="000000"/>
      <w:sz w:val="22"/>
      <w:szCs w:val="22"/>
      <w:u w:val="none"/>
    </w:rPr>
  </w:style>
  <w:style w:type="character" w:customStyle="1" w:styleId="14">
    <w:name w:val="font21"/>
    <w:qFormat/>
    <w:uiPriority w:val="99"/>
    <w:rPr>
      <w:rFonts w:ascii="宋体" w:hAnsi="宋体" w:eastAsia="宋体" w:cs="宋体"/>
      <w:color w:val="000000"/>
      <w:sz w:val="22"/>
      <w:szCs w:val="22"/>
      <w:u w:val="none"/>
    </w:rPr>
  </w:style>
  <w:style w:type="character" w:customStyle="1" w:styleId="15">
    <w:name w:val="font51"/>
    <w:qFormat/>
    <w:uiPriority w:val="99"/>
    <w:rPr>
      <w:rFonts w:ascii="宋体" w:hAnsi="宋体" w:eastAsia="宋体" w:cs="宋体"/>
      <w:color w:val="000000"/>
      <w:sz w:val="24"/>
      <w:szCs w:val="24"/>
      <w:u w:val="none"/>
    </w:rPr>
  </w:style>
  <w:style w:type="character" w:customStyle="1" w:styleId="16">
    <w:name w:val="font11"/>
    <w:qFormat/>
    <w:uiPriority w:val="99"/>
    <w:rPr>
      <w:rFonts w:ascii="宋体" w:hAnsi="宋体" w:eastAsia="宋体" w:cs="宋体"/>
      <w:color w:val="000000"/>
      <w:sz w:val="20"/>
      <w:szCs w:val="20"/>
      <w:u w:val="none"/>
    </w:rPr>
  </w:style>
  <w:style w:type="character" w:customStyle="1" w:styleId="17">
    <w:name w:val="font41"/>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 User</Company>
  <Pages>34</Pages>
  <Words>8230</Words>
  <Characters>9935</Characters>
  <Lines>0</Lines>
  <Paragraphs>0</Paragraphs>
  <TotalTime>1</TotalTime>
  <ScaleCrop>false</ScaleCrop>
  <LinksUpToDate>false</LinksUpToDate>
  <CharactersWithSpaces>10664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2007-12-02T11:41:00Z</dcterms:created>
  <dc:creator>管理者</dc:creator>
  <cp:lastModifiedBy>huanghe</cp:lastModifiedBy>
  <cp:lastPrinted>2018-07-27T18:50:00Z</cp:lastPrinted>
  <dcterms:modified xsi:type="dcterms:W3CDTF">2023-05-19T15:55:33Z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EF8D11AEA41946038CA7A8979832B3CF_13</vt:lpwstr>
  </property>
</Properties>
</file>