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许昌市公共资源交易中心部门决算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许昌市公共资源交易中心概况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rPr>
        <w:t>第一部分  许昌市公共资源交易中心</w:t>
      </w:r>
    </w:p>
    <w:p>
      <w:pPr>
        <w:widowControl/>
        <w:jc w:val="center"/>
        <w:outlineLvl w:val="0"/>
        <w:rPr>
          <w:rFonts w:hint="eastAsia" w:ascii="黑体" w:hAnsi="宋体" w:eastAsia="黑体" w:cs="宋体"/>
          <w:kern w:val="0"/>
          <w:sz w:val="48"/>
          <w:szCs w:val="48"/>
        </w:rPr>
      </w:pPr>
      <w:r>
        <w:rPr>
          <w:rFonts w:hint="eastAsia" w:ascii="黑体" w:hAnsi="黑体" w:eastAsia="黑体" w:cs="黑体"/>
          <w:sz w:val="48"/>
          <w:szCs w:val="48"/>
        </w:rPr>
        <w:t xml:space="preserve">   概 况</w:t>
      </w:r>
    </w:p>
    <w:p>
      <w:pPr>
        <w:widowControl/>
        <w:ind w:firstLine="960" w:firstLineChars="200"/>
        <w:jc w:val="left"/>
        <w:outlineLvl w:val="1"/>
        <w:rPr>
          <w:rFonts w:ascii="黑体" w:hAnsi="黑体" w:eastAsia="黑体" w:cs="黑体"/>
          <w:kern w:val="0"/>
          <w:sz w:val="48"/>
          <w:szCs w:val="48"/>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各类招投标交易活动提供管理保障。公共资源交易活动场所、设施提供，公共资源交易中心交易秩序维护，交易项目相关手续及市场主体、中介机构资格核验，公共资源交易信息收集、存储与发布，交易各方信息咨询服务，专家抽取终端设立与维护，交易各方主体信用信息库建立，交易信用评价体系建设 ，交易行政监督监管平台提供，交易过程相关资料存档备案，场内交易活动违法违规行为报告与协查。</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eastAsia="仿宋_GB2312"/>
          <w:color w:val="000000"/>
          <w:sz w:val="32"/>
          <w:szCs w:val="32"/>
          <w:shd w:val="clear" w:color="auto" w:fill="FFFFFF"/>
        </w:rPr>
        <w:t>许昌市公共资源交易中心</w:t>
      </w:r>
      <w:r>
        <w:rPr>
          <w:rFonts w:hint="eastAsia" w:ascii="仿宋_GB2312" w:eastAsia="仿宋_GB2312"/>
          <w:color w:val="000000"/>
          <w:sz w:val="32"/>
          <w:szCs w:val="32"/>
          <w:shd w:val="clear" w:color="auto" w:fill="FFFFFF"/>
          <w:lang w:eastAsia="zh-CN"/>
        </w:rPr>
        <w:t>内设机构</w:t>
      </w:r>
      <w:r>
        <w:rPr>
          <w:rFonts w:hint="eastAsia" w:ascii="仿宋_GB2312" w:eastAsia="仿宋_GB2312"/>
          <w:color w:val="000000"/>
          <w:sz w:val="32"/>
          <w:szCs w:val="32"/>
          <w:shd w:val="clear" w:color="auto" w:fill="FFFFFF"/>
          <w:lang w:val="en-US" w:eastAsia="zh-CN"/>
        </w:rPr>
        <w:t>9</w:t>
      </w:r>
      <w:r>
        <w:rPr>
          <w:rFonts w:hint="eastAsia" w:ascii="仿宋_GB2312" w:eastAsia="仿宋_GB2312"/>
          <w:color w:val="000000"/>
          <w:sz w:val="32"/>
          <w:szCs w:val="32"/>
          <w:shd w:val="clear" w:color="auto" w:fill="FFFFFF"/>
        </w:rPr>
        <w:t>个，包括</w:t>
      </w:r>
      <w:r>
        <w:rPr>
          <w:rFonts w:hint="eastAsia" w:ascii="仿宋_GB2312" w:eastAsia="仿宋_GB2312"/>
          <w:color w:val="000000"/>
          <w:sz w:val="32"/>
          <w:szCs w:val="32"/>
          <w:shd w:val="clear" w:color="auto" w:fill="FFFFFF"/>
          <w:lang w:eastAsia="zh-CN"/>
        </w:rPr>
        <w:t>：</w:t>
      </w:r>
      <w:r>
        <w:rPr>
          <w:rFonts w:hint="eastAsia" w:ascii="仿宋" w:hAnsi="仿宋" w:eastAsia="仿宋"/>
          <w:color w:val="000000"/>
          <w:sz w:val="32"/>
          <w:szCs w:val="32"/>
          <w:shd w:val="clear" w:color="auto" w:fill="FFFFFF"/>
        </w:rPr>
        <w:t>办公室、咨询受理科、组织计划科、开标评标科、交易见证科、保证金管理科、平台建设科、交易现场管理科、信息</w:t>
      </w:r>
      <w:r>
        <w:rPr>
          <w:rFonts w:hint="eastAsia" w:ascii="仿宋" w:hAnsi="仿宋" w:eastAsia="仿宋"/>
          <w:color w:val="000000"/>
          <w:sz w:val="32"/>
          <w:szCs w:val="32"/>
          <w:shd w:val="clear" w:color="auto" w:fill="FFFFFF"/>
          <w:lang w:val="en-US" w:eastAsia="zh-CN"/>
        </w:rPr>
        <w:t>科</w:t>
      </w:r>
      <w:r>
        <w:rPr>
          <w:rFonts w:hint="eastAsia" w:ascii="仿宋" w:hAnsi="仿宋" w:eastAsia="仿宋"/>
          <w:color w:val="000000"/>
          <w:sz w:val="32"/>
          <w:szCs w:val="32"/>
          <w:shd w:val="clear" w:color="auto" w:fill="FFFFFF"/>
        </w:rPr>
        <w:t>。</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从决算单位构成看，许昌市公共资源交易中心部门决算包括：本级决算</w:t>
      </w:r>
      <w:r>
        <w:rPr>
          <w:rFonts w:hint="eastAsia" w:ascii="仿宋_GB2312" w:hAnsi="仿宋_GB2312" w:eastAsia="仿宋_GB2312" w:cs="仿宋_GB2312"/>
          <w:kern w:val="0"/>
          <w:sz w:val="32"/>
          <w:szCs w:val="32"/>
          <w:lang w:eastAsia="zh-CN"/>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许昌市公共资源交易中心</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870"/>
        <w:gridCol w:w="644"/>
        <w:gridCol w:w="1248"/>
        <w:gridCol w:w="4569"/>
        <w:gridCol w:w="644"/>
        <w:gridCol w:w="1965"/>
      </w:tblGrid>
      <w:tr>
        <w:tblPrEx>
          <w:tblCellMar>
            <w:top w:w="0" w:type="dxa"/>
            <w:left w:w="0" w:type="dxa"/>
            <w:bottom w:w="0" w:type="dxa"/>
            <w:right w:w="0" w:type="dxa"/>
          </w:tblCellMar>
        </w:tblPrEx>
        <w:trPr>
          <w:trHeight w:val="90" w:hRule="atLeast"/>
        </w:trPr>
        <w:tc>
          <w:tcPr>
            <w:tcW w:w="13940" w:type="dxa"/>
            <w:gridSpan w:val="6"/>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0" w:type="dxa"/>
            <w:bottom w:w="0" w:type="dxa"/>
            <w:right w:w="0" w:type="dxa"/>
          </w:tblCellMar>
        </w:tblPrEx>
        <w:trPr>
          <w:trHeight w:val="90" w:hRule="atLeast"/>
        </w:trPr>
        <w:tc>
          <w:tcPr>
            <w:tcW w:w="4870"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64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56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64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965"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90" w:hRule="atLeast"/>
        </w:trPr>
        <w:tc>
          <w:tcPr>
            <w:tcW w:w="4870"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64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56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64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965"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90" w:hRule="atLeast"/>
        </w:trPr>
        <w:tc>
          <w:tcPr>
            <w:tcW w:w="676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7178"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907.67</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901.78</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三、国有资本经营预算财政拨款收入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四、上级补助收入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五、事业收入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六、经营收入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七、附属单位上缴收入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八、其他收入</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20"/>
                <w:szCs w:val="20"/>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907.67</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1,003.38</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使用非财政拨款结余</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结余分配</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96.91</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w:t>
            </w: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r>
      <w:tr>
        <w:tblPrEx>
          <w:tblCellMar>
            <w:top w:w="0" w:type="dxa"/>
            <w:left w:w="0" w:type="dxa"/>
            <w:bottom w:w="0" w:type="dxa"/>
            <w:right w:w="0" w:type="dxa"/>
          </w:tblCellMar>
        </w:tblPrEx>
        <w:trPr>
          <w:trHeight w:val="90" w:hRule="atLeast"/>
        </w:trPr>
        <w:tc>
          <w:tcPr>
            <w:tcW w:w="48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644" w:type="dxa"/>
            <w:tcBorders>
              <w:top w:val="nil"/>
              <w:left w:val="nil"/>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2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1,004.58</w:t>
            </w:r>
          </w:p>
        </w:tc>
        <w:tc>
          <w:tcPr>
            <w:tcW w:w="45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64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196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1,004.58</w:t>
            </w:r>
          </w:p>
        </w:tc>
      </w:tr>
      <w:tr>
        <w:tblPrEx>
          <w:tblCellMar>
            <w:top w:w="0" w:type="dxa"/>
            <w:left w:w="0" w:type="dxa"/>
            <w:bottom w:w="0" w:type="dxa"/>
            <w:right w:w="0" w:type="dxa"/>
          </w:tblCellMar>
        </w:tblPrEx>
        <w:trPr>
          <w:trHeight w:val="90" w:hRule="atLeast"/>
        </w:trPr>
        <w:tc>
          <w:tcPr>
            <w:tcW w:w="13940" w:type="dxa"/>
            <w:gridSpan w:val="6"/>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vanish/>
        </w:rPr>
      </w:pPr>
    </w:p>
    <w:tbl>
      <w:tblPr>
        <w:tblStyle w:val="6"/>
        <w:tblW w:w="0" w:type="auto"/>
        <w:tblInd w:w="0" w:type="dxa"/>
        <w:tblLayout w:type="fixed"/>
        <w:tblCellMar>
          <w:top w:w="0" w:type="dxa"/>
          <w:left w:w="0" w:type="dxa"/>
          <w:bottom w:w="0" w:type="dxa"/>
          <w:right w:w="0" w:type="dxa"/>
        </w:tblCellMar>
      </w:tblPr>
      <w:tblGrid>
        <w:gridCol w:w="2830"/>
        <w:gridCol w:w="50"/>
        <w:gridCol w:w="50"/>
        <w:gridCol w:w="3330"/>
        <w:gridCol w:w="1575"/>
        <w:gridCol w:w="1650"/>
        <w:gridCol w:w="955"/>
        <w:gridCol w:w="1029"/>
        <w:gridCol w:w="961"/>
        <w:gridCol w:w="988"/>
        <w:gridCol w:w="1430"/>
      </w:tblGrid>
      <w:tr>
        <w:tblPrEx>
          <w:tblCellMar>
            <w:top w:w="0" w:type="dxa"/>
            <w:left w:w="0" w:type="dxa"/>
            <w:bottom w:w="0" w:type="dxa"/>
            <w:right w:w="0" w:type="dxa"/>
          </w:tblCellMar>
        </w:tblPrEx>
        <w:trPr>
          <w:trHeight w:val="390" w:hRule="atLeast"/>
        </w:trPr>
        <w:tc>
          <w:tcPr>
            <w:tcW w:w="14820" w:type="dxa"/>
            <w:gridSpan w:val="11"/>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0" w:type="dxa"/>
            <w:bottom w:w="0" w:type="dxa"/>
            <w:right w:w="0" w:type="dxa"/>
          </w:tblCellMar>
        </w:tblPrEx>
        <w:trPr>
          <w:trHeight w:val="255" w:hRule="atLeast"/>
        </w:trPr>
        <w:tc>
          <w:tcPr>
            <w:tcW w:w="2830"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3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5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5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2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8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255" w:hRule="atLeast"/>
        </w:trPr>
        <w:tc>
          <w:tcPr>
            <w:tcW w:w="2830"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3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33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5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5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2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8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623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5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6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9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02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96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98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43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0" w:type="dxa"/>
            <w:bottom w:w="0" w:type="dxa"/>
            <w:right w:w="0" w:type="dxa"/>
          </w:tblCellMar>
        </w:tblPrEx>
        <w:trPr>
          <w:trHeight w:val="312" w:hRule="atLeast"/>
        </w:trPr>
        <w:tc>
          <w:tcPr>
            <w:tcW w:w="29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33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2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6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2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33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2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6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2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33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2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6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8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3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623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65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5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29"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961"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98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43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0" w:type="dxa"/>
            <w:bottom w:w="0" w:type="dxa"/>
            <w:right w:w="0" w:type="dxa"/>
          </w:tblCellMar>
        </w:tblPrEx>
        <w:trPr>
          <w:trHeight w:val="308" w:hRule="atLeast"/>
        </w:trPr>
        <w:tc>
          <w:tcPr>
            <w:tcW w:w="623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907.67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907.67</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865.88</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865.88</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862.37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862.37</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510.33</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510.33</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2010302</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69.92</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69.92</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12.51</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29.29</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29.29</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19.59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19.59</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2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9.69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9.69</w:t>
            </w:r>
          </w:p>
        </w:tc>
        <w:tc>
          <w:tcPr>
            <w:tcW w:w="9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2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6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9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14820" w:type="dxa"/>
            <w:gridSpan w:val="11"/>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149"/>
        <w:gridCol w:w="80"/>
        <w:gridCol w:w="10"/>
        <w:gridCol w:w="90"/>
        <w:gridCol w:w="4196"/>
        <w:gridCol w:w="1538"/>
        <w:gridCol w:w="1249"/>
        <w:gridCol w:w="1213"/>
        <w:gridCol w:w="520"/>
        <w:gridCol w:w="452"/>
        <w:gridCol w:w="1491"/>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0" w:type="dxa"/>
            <w:bottom w:w="0" w:type="dxa"/>
            <w:right w:w="0" w:type="dxa"/>
          </w:tblCellMar>
        </w:tblPrEx>
        <w:trPr>
          <w:trHeight w:val="255" w:hRule="atLeast"/>
        </w:trPr>
        <w:tc>
          <w:tcPr>
            <w:tcW w:w="3149"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19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3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1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2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5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91"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255" w:hRule="atLeast"/>
        </w:trPr>
        <w:tc>
          <w:tcPr>
            <w:tcW w:w="3149"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19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3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1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2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5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91"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75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53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24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21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52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452"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49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0" w:type="dxa"/>
            <w:bottom w:w="0" w:type="dxa"/>
            <w:right w:w="0" w:type="dxa"/>
          </w:tblCellMar>
        </w:tblPrEx>
        <w:trPr>
          <w:trHeight w:val="312" w:hRule="atLeast"/>
        </w:trPr>
        <w:tc>
          <w:tcPr>
            <w:tcW w:w="3229"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4296" w:type="dxa"/>
            <w:gridSpan w:val="3"/>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3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4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1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45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3229"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4296" w:type="dxa"/>
            <w:gridSpan w:val="3"/>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3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4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1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45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3229"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4296" w:type="dxa"/>
            <w:gridSpan w:val="3"/>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3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4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1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45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752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3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249"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13"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52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452"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491"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trHeight w:val="308" w:hRule="atLeast"/>
        </w:trPr>
        <w:tc>
          <w:tcPr>
            <w:tcW w:w="752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1,003.38</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899.84</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103.54</w:t>
            </w: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901.77</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798.23</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901.77</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798.23</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2010301</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512.61</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512.61</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2010302</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12.96</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12.96</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44.76</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44.76</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23.25</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23.25</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22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429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153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20.63</w:t>
            </w:r>
          </w:p>
        </w:tc>
        <w:tc>
          <w:tcPr>
            <w:tcW w:w="124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20.63</w:t>
            </w:r>
          </w:p>
        </w:tc>
        <w:tc>
          <w:tcPr>
            <w:tcW w:w="12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45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9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3030"/>
        <w:gridCol w:w="570"/>
        <w:gridCol w:w="1200"/>
        <w:gridCol w:w="3660"/>
        <w:gridCol w:w="570"/>
        <w:gridCol w:w="910"/>
        <w:gridCol w:w="1215"/>
        <w:gridCol w:w="870"/>
        <w:gridCol w:w="1430"/>
      </w:tblGrid>
      <w:tr>
        <w:tblPrEx>
          <w:tblCellMar>
            <w:top w:w="0" w:type="dxa"/>
            <w:left w:w="0" w:type="dxa"/>
            <w:bottom w:w="0" w:type="dxa"/>
            <w:right w:w="0" w:type="dxa"/>
          </w:tblCellMar>
        </w:tblPrEx>
        <w:trPr>
          <w:trHeight w:val="390" w:hRule="atLeast"/>
        </w:trPr>
        <w:tc>
          <w:tcPr>
            <w:tcW w:w="13455" w:type="dxa"/>
            <w:gridSpan w:val="9"/>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0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66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0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66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48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865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0" w:type="dxa"/>
            <w:left w:w="0" w:type="dxa"/>
            <w:bottom w:w="0" w:type="dxa"/>
            <w:right w:w="0" w:type="dxa"/>
          </w:tblCellMar>
        </w:tblPrEx>
        <w:trPr>
          <w:trHeight w:val="312" w:hRule="atLeast"/>
        </w:trPr>
        <w:tc>
          <w:tcPr>
            <w:tcW w:w="303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2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6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91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1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8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4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0" w:type="dxa"/>
            <w:bottom w:w="0" w:type="dxa"/>
            <w:right w:w="0" w:type="dxa"/>
          </w:tblCellMar>
        </w:tblPrEx>
        <w:trPr>
          <w:trHeight w:val="615" w:hRule="atLeast"/>
        </w:trPr>
        <w:tc>
          <w:tcPr>
            <w:tcW w:w="30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6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1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21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8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4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907.67</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901.78</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901.78</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57.72</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43.88</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20"/>
                <w:szCs w:val="20"/>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907.67</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1,003.38</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1,003.38</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96.91</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1.20</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96.91</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570" w:type="dxa"/>
            <w:tcBorders>
              <w:top w:val="nil"/>
              <w:left w:val="nil"/>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1,004.58</w:t>
            </w:r>
          </w:p>
        </w:tc>
        <w:tc>
          <w:tcPr>
            <w:tcW w:w="366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57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9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1,004.58</w:t>
            </w:r>
          </w:p>
        </w:tc>
        <w:tc>
          <w:tcPr>
            <w:tcW w:w="12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1,004.58</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85" w:hRule="atLeast"/>
        </w:trPr>
        <w:tc>
          <w:tcPr>
            <w:tcW w:w="13455"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644" w:right="1440" w:bottom="1701"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899"/>
        <w:gridCol w:w="90"/>
        <w:gridCol w:w="9"/>
        <w:gridCol w:w="81"/>
        <w:gridCol w:w="5196"/>
        <w:gridCol w:w="1522"/>
        <w:gridCol w:w="1205"/>
        <w:gridCol w:w="1986"/>
      </w:tblGrid>
      <w:tr>
        <w:tblPrEx>
          <w:tblCellMar>
            <w:top w:w="0" w:type="dxa"/>
            <w:left w:w="0" w:type="dxa"/>
            <w:bottom w:w="0" w:type="dxa"/>
            <w:right w:w="0" w:type="dxa"/>
          </w:tblCellMar>
        </w:tblPrEx>
        <w:trPr>
          <w:trHeight w:val="422" w:hRule="atLeast"/>
        </w:trPr>
        <w:tc>
          <w:tcPr>
            <w:tcW w:w="13988" w:type="dxa"/>
            <w:gridSpan w:val="8"/>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0" w:type="dxa"/>
            <w:bottom w:w="0" w:type="dxa"/>
            <w:right w:w="0" w:type="dxa"/>
          </w:tblCellMar>
        </w:tblPrEx>
        <w:trPr>
          <w:trHeight w:val="127" w:hRule="atLeast"/>
        </w:trPr>
        <w:tc>
          <w:tcPr>
            <w:tcW w:w="3899"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19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2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0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986"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trPr>
        <w:tc>
          <w:tcPr>
            <w:tcW w:w="3899"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19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2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0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986"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92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71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0" w:type="dxa"/>
            <w:bottom w:w="0" w:type="dxa"/>
            <w:right w:w="0" w:type="dxa"/>
          </w:tblCellMar>
        </w:tblPrEx>
        <w:trPr>
          <w:trHeight w:val="312" w:hRule="atLeast"/>
        </w:trPr>
        <w:tc>
          <w:tcPr>
            <w:tcW w:w="3998"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5277" w:type="dxa"/>
            <w:gridSpan w:val="2"/>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2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2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98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0" w:type="dxa"/>
            <w:bottom w:w="0" w:type="dxa"/>
            <w:right w:w="0" w:type="dxa"/>
          </w:tblCellMar>
        </w:tblPrEx>
        <w:trPr>
          <w:trHeight w:val="312" w:hRule="atLeast"/>
        </w:trPr>
        <w:tc>
          <w:tcPr>
            <w:tcW w:w="3998"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277"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2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8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3998"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5277"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52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98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927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0" w:type="dxa"/>
            <w:bottom w:w="0" w:type="dxa"/>
            <w:right w:w="0" w:type="dxa"/>
          </w:tblCellMar>
        </w:tblPrEx>
        <w:trPr>
          <w:trHeight w:val="308" w:hRule="atLeast"/>
        </w:trPr>
        <w:tc>
          <w:tcPr>
            <w:tcW w:w="927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1,003.38</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899.84</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103.54</w:t>
            </w: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901.77</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rPr>
              <w:t>798.23</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政府办公厅（室）及相关机构事务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rPr>
              <w:t>901.77</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rPr>
              <w:t>798.23</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2010301</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512.61</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512.61</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2010302</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103.54</w:t>
            </w: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2010350</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282.11</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57.72</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57.72</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57.72</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57.72</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12.96</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12.96</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44.76</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44.76</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43.88</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43.88</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43.88</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43.88</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234"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23.25</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23.25</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98"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527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15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20.63</w:t>
            </w:r>
          </w:p>
        </w:tc>
        <w:tc>
          <w:tcPr>
            <w:tcW w:w="1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20.63</w:t>
            </w:r>
          </w:p>
        </w:tc>
        <w:tc>
          <w:tcPr>
            <w:tcW w:w="19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13988" w:type="dxa"/>
            <w:gridSpan w:val="8"/>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701" w:right="1440" w:bottom="1701" w:left="1440" w:header="720" w:footer="720" w:gutter="0"/>
          <w:pgNumType w:fmt="numberInDash"/>
          <w:cols w:space="720" w:num="1"/>
          <w:docGrid w:type="lines" w:linePitch="312" w:charSpace="0"/>
        </w:sectPr>
      </w:pPr>
    </w:p>
    <w:tbl>
      <w:tblPr>
        <w:tblStyle w:val="6"/>
        <w:tblW w:w="14020" w:type="dxa"/>
        <w:tblInd w:w="0" w:type="dxa"/>
        <w:tblLayout w:type="fixed"/>
        <w:tblCellMar>
          <w:top w:w="0" w:type="dxa"/>
          <w:left w:w="0" w:type="dxa"/>
          <w:bottom w:w="0" w:type="dxa"/>
          <w:right w:w="0" w:type="dxa"/>
        </w:tblCellMar>
      </w:tblPr>
      <w:tblGrid>
        <w:gridCol w:w="1097"/>
        <w:gridCol w:w="3141"/>
        <w:gridCol w:w="1102"/>
        <w:gridCol w:w="1018"/>
        <w:gridCol w:w="1884"/>
        <w:gridCol w:w="922"/>
        <w:gridCol w:w="1069"/>
        <w:gridCol w:w="2839"/>
        <w:gridCol w:w="948"/>
      </w:tblGrid>
      <w:tr>
        <w:tblPrEx>
          <w:tblCellMar>
            <w:top w:w="0" w:type="dxa"/>
            <w:left w:w="0" w:type="dxa"/>
            <w:bottom w:w="0" w:type="dxa"/>
            <w:right w:w="0" w:type="dxa"/>
          </w:tblCellMar>
        </w:tblPrEx>
        <w:trPr>
          <w:trHeight w:val="1076" w:hRule="atLeast"/>
        </w:trPr>
        <w:tc>
          <w:tcPr>
            <w:tcW w:w="14020" w:type="dxa"/>
            <w:gridSpan w:val="9"/>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0" w:type="dxa"/>
            <w:bottom w:w="0" w:type="dxa"/>
            <w:right w:w="0" w:type="dxa"/>
          </w:tblCellMar>
        </w:tblPrEx>
        <w:trPr>
          <w:trHeight w:val="551" w:hRule="atLeast"/>
        </w:trPr>
        <w:tc>
          <w:tcPr>
            <w:tcW w:w="1097"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3141"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10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88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2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6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83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48"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0" w:type="dxa"/>
            <w:bottom w:w="0" w:type="dxa"/>
            <w:right w:w="0" w:type="dxa"/>
          </w:tblCellMar>
        </w:tblPrEx>
        <w:trPr>
          <w:trHeight w:val="551" w:hRule="atLeast"/>
        </w:trPr>
        <w:tc>
          <w:tcPr>
            <w:tcW w:w="4238"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bidi="ar"/>
              </w:rPr>
              <w:t>部门：许昌市公共资源交易中心</w:t>
            </w:r>
          </w:p>
        </w:tc>
        <w:tc>
          <w:tcPr>
            <w:tcW w:w="110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88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2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6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787" w:type="dxa"/>
            <w:gridSpan w:val="2"/>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0" w:type="dxa"/>
            <w:bottom w:w="0" w:type="dxa"/>
            <w:right w:w="0" w:type="dxa"/>
          </w:tblCellMar>
        </w:tblPrEx>
        <w:trPr>
          <w:trHeight w:val="1093" w:hRule="atLeast"/>
        </w:trPr>
        <w:tc>
          <w:tcPr>
            <w:tcW w:w="53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8680"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0" w:type="dxa"/>
            <w:bottom w:w="0" w:type="dxa"/>
            <w:right w:w="0" w:type="dxa"/>
          </w:tblCellMar>
        </w:tblPrEx>
        <w:trPr>
          <w:trHeight w:val="525" w:hRule="exact"/>
        </w:trPr>
        <w:tc>
          <w:tcPr>
            <w:tcW w:w="109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14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10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188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2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6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83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4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trHeight w:val="525" w:hRule="exact"/>
        </w:trPr>
        <w:tc>
          <w:tcPr>
            <w:tcW w:w="109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314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0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8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2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6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283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4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671.52</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214.05</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171.34</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20.56</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321.95</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32.03</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12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42.52</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2.67</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23.25</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20.02</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0.61</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1.28</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1179"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40.77</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2.03</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19.03</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130.69</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14.28</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13.58</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0.42</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1.38</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109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4.12</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1170"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xml:space="preserve">  公务用车运行</w:t>
            </w:r>
          </w:p>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维护费</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3.73</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0.69</w:t>
            </w: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40.35</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1133" w:hRule="exact"/>
        </w:trPr>
        <w:tc>
          <w:tcPr>
            <w:tcW w:w="10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314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1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188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2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3.31</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283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515" w:hRule="exact"/>
        </w:trPr>
        <w:tc>
          <w:tcPr>
            <w:tcW w:w="423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10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685.80</w:t>
            </w:r>
          </w:p>
        </w:tc>
        <w:tc>
          <w:tcPr>
            <w:tcW w:w="7732"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9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214.05</w:t>
            </w:r>
          </w:p>
        </w:tc>
      </w:tr>
      <w:tr>
        <w:tblPrEx>
          <w:tblCellMar>
            <w:top w:w="0" w:type="dxa"/>
            <w:left w:w="0" w:type="dxa"/>
            <w:bottom w:w="0" w:type="dxa"/>
            <w:right w:w="0" w:type="dxa"/>
          </w:tblCellMar>
        </w:tblPrEx>
        <w:trPr>
          <w:trHeight w:val="1076" w:hRule="atLeast"/>
        </w:trPr>
        <w:tc>
          <w:tcPr>
            <w:tcW w:w="14020"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7"/>
        <w:gridCol w:w="864"/>
        <w:gridCol w:w="1106"/>
        <w:gridCol w:w="1331"/>
        <w:gridCol w:w="1209"/>
        <w:gridCol w:w="950"/>
        <w:gridCol w:w="1054"/>
        <w:gridCol w:w="1244"/>
        <w:gridCol w:w="1245"/>
        <w:gridCol w:w="1313"/>
        <w:gridCol w:w="1228"/>
        <w:gridCol w:w="1106"/>
      </w:tblGrid>
      <w:tr>
        <w:tblPrEx>
          <w:tblCellMar>
            <w:top w:w="0" w:type="dxa"/>
            <w:left w:w="0" w:type="dxa"/>
            <w:bottom w:w="0" w:type="dxa"/>
            <w:right w:w="0" w:type="dxa"/>
          </w:tblCellMar>
        </w:tblPrEx>
        <w:trPr>
          <w:trHeight w:val="540" w:hRule="atLeast"/>
        </w:trPr>
        <w:tc>
          <w:tcPr>
            <w:tcW w:w="13807" w:type="dxa"/>
            <w:gridSpan w:val="12"/>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0" w:type="dxa"/>
            <w:bottom w:w="0" w:type="dxa"/>
            <w:right w:w="0" w:type="dxa"/>
          </w:tblCellMar>
        </w:tblPrEx>
        <w:trPr>
          <w:trHeight w:val="255" w:hRule="atLeast"/>
        </w:trPr>
        <w:tc>
          <w:tcPr>
            <w:tcW w:w="13807" w:type="dxa"/>
            <w:gridSpan w:val="12"/>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255" w:hRule="atLeast"/>
        </w:trPr>
        <w:tc>
          <w:tcPr>
            <w:tcW w:w="10160" w:type="dxa"/>
            <w:gridSpan w:val="9"/>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3647" w:type="dxa"/>
            <w:gridSpan w:val="3"/>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66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719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trHeight w:val="308" w:hRule="atLeast"/>
        </w:trPr>
        <w:tc>
          <w:tcPr>
            <w:tcW w:w="115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6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64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9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05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4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78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10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0" w:type="dxa"/>
            <w:bottom w:w="0" w:type="dxa"/>
            <w:right w:w="0" w:type="dxa"/>
          </w:tblCellMar>
        </w:tblPrEx>
        <w:trPr>
          <w:trHeight w:val="615" w:hRule="atLeast"/>
        </w:trPr>
        <w:tc>
          <w:tcPr>
            <w:tcW w:w="115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86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106"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331"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209"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9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05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4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24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313"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22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1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11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64"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06"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31"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09"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950"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054"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44"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24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313"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22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106"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0" w:type="dxa"/>
            <w:bottom w:w="0" w:type="dxa"/>
            <w:right w:w="0" w:type="dxa"/>
          </w:tblCellMar>
        </w:tblPrEx>
        <w:trPr>
          <w:trHeight w:val="308" w:hRule="atLeast"/>
        </w:trPr>
        <w:tc>
          <w:tcPr>
            <w:tcW w:w="11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8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10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w:t>
            </w:r>
          </w:p>
        </w:tc>
        <w:tc>
          <w:tcPr>
            <w:tcW w:w="13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09"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w:t>
            </w:r>
          </w:p>
        </w:tc>
        <w:tc>
          <w:tcPr>
            <w:tcW w:w="9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5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4.15</w:t>
            </w:r>
          </w:p>
        </w:tc>
        <w:tc>
          <w:tcPr>
            <w:tcW w:w="12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4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3.73</w:t>
            </w:r>
          </w:p>
        </w:tc>
        <w:tc>
          <w:tcPr>
            <w:tcW w:w="131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22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3.73</w:t>
            </w:r>
          </w:p>
        </w:tc>
        <w:tc>
          <w:tcPr>
            <w:tcW w:w="110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0.42</w:t>
            </w:r>
          </w:p>
        </w:tc>
      </w:tr>
      <w:tr>
        <w:tblPrEx>
          <w:tblCellMar>
            <w:top w:w="0" w:type="dxa"/>
            <w:left w:w="0" w:type="dxa"/>
            <w:bottom w:w="0" w:type="dxa"/>
            <w:right w:w="0" w:type="dxa"/>
          </w:tblCellMar>
        </w:tblPrEx>
        <w:trPr>
          <w:trHeight w:val="615" w:hRule="atLeast"/>
        </w:trPr>
        <w:tc>
          <w:tcPr>
            <w:tcW w:w="13807" w:type="dxa"/>
            <w:gridSpan w:val="12"/>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884"/>
        <w:gridCol w:w="90"/>
        <w:gridCol w:w="9"/>
        <w:gridCol w:w="81"/>
        <w:gridCol w:w="1249"/>
        <w:gridCol w:w="1324"/>
        <w:gridCol w:w="1324"/>
        <w:gridCol w:w="1324"/>
        <w:gridCol w:w="1324"/>
        <w:gridCol w:w="1324"/>
        <w:gridCol w:w="2055"/>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tcMar>
              <w:top w:w="15" w:type="dxa"/>
              <w:left w:w="15" w:type="dxa"/>
              <w:right w:w="15" w:type="dxa"/>
            </w:tcMar>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0" w:type="dxa"/>
            <w:bottom w:w="0" w:type="dxa"/>
            <w:right w:w="0" w:type="dxa"/>
          </w:tblCellMar>
        </w:tblPrEx>
        <w:trPr>
          <w:trHeight w:val="255" w:hRule="atLeast"/>
        </w:trPr>
        <w:tc>
          <w:tcPr>
            <w:tcW w:w="3884" w:type="dxa"/>
            <w:tcBorders>
              <w:top w:val="nil"/>
              <w:left w:val="nil"/>
              <w:bottom w:val="nil"/>
              <w:right w:val="nil"/>
            </w:tcBorders>
            <w:noWrap/>
            <w:tcMar>
              <w:top w:w="15" w:type="dxa"/>
              <w:left w:w="15" w:type="dxa"/>
              <w:right w:w="15" w:type="dxa"/>
            </w:tcMar>
            <w:vAlign w:val="bottom"/>
          </w:tcPr>
          <w:p>
            <w:pPr>
              <w:rPr>
                <w:rFonts w:hint="eastAsia" w:ascii="Arial" w:hAnsi="Arial" w:cs="Arial"/>
                <w:color w:val="000000"/>
                <w:sz w:val="20"/>
                <w:szCs w:val="20"/>
              </w:rPr>
            </w:pP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55"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255" w:hRule="atLeast"/>
        </w:trPr>
        <w:tc>
          <w:tcPr>
            <w:tcW w:w="3884" w:type="dxa"/>
            <w:tcBorders>
              <w:top w:val="nil"/>
              <w:left w:val="nil"/>
              <w:bottom w:val="nil"/>
              <w:right w:val="nil"/>
            </w:tcBorders>
            <w:noWrap/>
            <w:tcMar>
              <w:top w:w="15" w:type="dxa"/>
              <w:left w:w="15" w:type="dxa"/>
              <w:right w:w="15" w:type="dxa"/>
            </w:tcMar>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部门：许昌市公共资源交易中心</w:t>
            </w:r>
          </w:p>
        </w:tc>
        <w:tc>
          <w:tcPr>
            <w:tcW w:w="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4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2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55" w:type="dxa"/>
            <w:tcBorders>
              <w:top w:val="nil"/>
              <w:left w:val="nil"/>
              <w:bottom w:val="nil"/>
              <w:right w:val="nil"/>
            </w:tcBorders>
            <w:noWrap/>
            <w:tcMar>
              <w:top w:w="15" w:type="dxa"/>
              <w:left w:w="15" w:type="dxa"/>
              <w:right w:w="15" w:type="dxa"/>
            </w:tcMar>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trPr>
        <w:tc>
          <w:tcPr>
            <w:tcW w:w="53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32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32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3972"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20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0" w:type="dxa"/>
            <w:bottom w:w="0" w:type="dxa"/>
            <w:right w:w="0" w:type="dxa"/>
          </w:tblCellMar>
        </w:tblPrEx>
        <w:trPr>
          <w:trHeight w:val="312" w:hRule="atLeast"/>
        </w:trPr>
        <w:tc>
          <w:tcPr>
            <w:tcW w:w="3983"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1330" w:type="dxa"/>
            <w:gridSpan w:val="2"/>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32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32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20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3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30"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20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12" w:hRule="atLeast"/>
        </w:trPr>
        <w:tc>
          <w:tcPr>
            <w:tcW w:w="3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30"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132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20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5313"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trHeight w:val="308" w:hRule="atLeast"/>
        </w:trPr>
        <w:tc>
          <w:tcPr>
            <w:tcW w:w="5313"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b/>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39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32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20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注：本表反映部门本年度政府性基金预算财政拨款收入、支出及结转和结余情况。本表金额转换为万元时，因四舍五入可能存在尾差。</w:t>
            </w:r>
          </w:p>
        </w:tc>
      </w:tr>
    </w:tbl>
    <w:p>
      <w:pPr>
        <w:keepNext w:val="0"/>
        <w:keepLines w:val="0"/>
        <w:widowControl w:val="0"/>
        <w:suppressLineNumbers w:val="0"/>
        <w:spacing w:before="0" w:beforeAutospacing="0" w:after="0" w:afterAutospacing="0"/>
        <w:ind w:left="0" w:right="0"/>
        <w:jc w:val="both"/>
        <w:rPr>
          <w:highlight w:val="none"/>
        </w:rPr>
      </w:pPr>
      <w:r>
        <w:rPr>
          <w:rFonts w:hint="default" w:ascii="仿宋_GB2312" w:hAnsi="Times New Roman" w:eastAsia="仿宋_GB2312" w:cs="仿宋_GB2312"/>
          <w:kern w:val="2"/>
          <w:sz w:val="32"/>
          <w:szCs w:val="32"/>
          <w:highlight w:val="none"/>
          <w:lang w:val="en-US" w:eastAsia="zh-CN" w:bidi="ar"/>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bookmarkStart w:id="0" w:name="_GoBack"/>
      <w:bookmarkEnd w:id="0"/>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hAnsi="Calibri" w:eastAsia="黑体" w:cs="黑体"/>
          <w:sz w:val="32"/>
          <w:szCs w:val="32"/>
        </w:rPr>
        <w:t>一、收入支出决算总体情况说明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color w:val="auto"/>
          <w:kern w:val="0"/>
          <w:sz w:val="32"/>
          <w:szCs w:val="32"/>
          <w:lang w:val="zh-CN"/>
        </w:rPr>
      </w:pPr>
      <w:r>
        <w:rPr>
          <w:rFonts w:ascii="仿宋_GB2312" w:eastAsia="仿宋_GB2312" w:cs="仿宋_GB2312"/>
          <w:color w:val="auto"/>
          <w:sz w:val="32"/>
          <w:szCs w:val="32"/>
        </w:rPr>
        <w:t>2021</w:t>
      </w:r>
      <w:r>
        <w:rPr>
          <w:rFonts w:hint="eastAsia" w:ascii="仿宋_GB2312" w:eastAsia="仿宋_GB2312" w:cs="仿宋_GB2312"/>
          <w:color w:val="auto"/>
          <w:sz w:val="32"/>
          <w:szCs w:val="32"/>
        </w:rPr>
        <w:t>年度收、支总计均为</w:t>
      </w:r>
      <w:r>
        <w:rPr>
          <w:rFonts w:ascii="仿宋_GB2312" w:eastAsia="仿宋_GB2312" w:cs="仿宋_GB2312"/>
          <w:color w:val="auto"/>
          <w:sz w:val="32"/>
          <w:szCs w:val="32"/>
        </w:rPr>
        <w:t>1004.58</w:t>
      </w:r>
      <w:r>
        <w:rPr>
          <w:rFonts w:hint="eastAsia" w:ascii="仿宋_GB2312" w:eastAsia="仿宋_GB2312" w:cs="仿宋_GB2312"/>
          <w:color w:val="auto"/>
          <w:sz w:val="32"/>
          <w:szCs w:val="32"/>
        </w:rPr>
        <w:t>万元。与上年度相比，收、支总计各增加73.61万元，增长7.91</w:t>
      </w:r>
      <w:r>
        <w:rPr>
          <w:rFonts w:ascii="仿宋_GB2312" w:eastAsia="仿宋_GB2312" w:cs="仿宋_GB2312"/>
          <w:color w:val="auto"/>
          <w:sz w:val="32"/>
          <w:szCs w:val="32"/>
        </w:rPr>
        <w:t>%</w:t>
      </w:r>
      <w:r>
        <w:rPr>
          <w:rFonts w:hint="eastAsia" w:ascii="仿宋_GB2312" w:eastAsia="仿宋_GB2312" w:cs="仿宋_GB2312"/>
          <w:color w:val="auto"/>
          <w:sz w:val="32"/>
          <w:szCs w:val="32"/>
        </w:rPr>
        <w:t>。主要原因是增加了办公房租金。</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二、收入决算情况说明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color w:val="auto"/>
          <w:kern w:val="0"/>
          <w:sz w:val="32"/>
          <w:szCs w:val="32"/>
          <w:lang w:val="zh-CN"/>
        </w:rPr>
      </w:pPr>
      <w:r>
        <w:rPr>
          <w:rFonts w:hint="eastAsia" w:ascii="CESI仿宋-GB18030" w:hAnsi="CESI仿宋-GB18030" w:eastAsia="CESI仿宋-GB18030" w:cs="CESI仿宋-GB18030"/>
          <w:color w:val="auto"/>
          <w:sz w:val="32"/>
          <w:szCs w:val="32"/>
        </w:rPr>
        <w:t>2021年度收入合计907.67万元，其中：财政拨款收入907.67万元，占100%；上级补助收入0万元，占0%；事业收入0万元，占0%；经营收入0万元，占0%；附属单位上缴收入0万元，占0%；其他收入0万元，占0%。</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三、支出决算情况说明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color w:val="auto"/>
          <w:kern w:val="0"/>
          <w:sz w:val="32"/>
          <w:szCs w:val="32"/>
          <w:lang w:val="zh-CN"/>
        </w:rPr>
      </w:pPr>
      <w:r>
        <w:rPr>
          <w:rFonts w:hint="eastAsia" w:ascii="CESI仿宋-GB18030" w:hAnsi="CESI仿宋-GB18030" w:eastAsia="CESI仿宋-GB18030" w:cs="CESI仿宋-GB18030"/>
          <w:color w:val="auto"/>
          <w:sz w:val="32"/>
          <w:szCs w:val="32"/>
        </w:rPr>
        <w:t>2021年度支出合计1003.38万元，其中：基本支出899.84万元，占89.68%；项目支出103.54万元，占10.32%；上缴上级支出0万元，占0%；经营支出0万元，占0%；对附属单位补助支出0万元，占0%。</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四、财政拨款收入支出决算总体情况说明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1004.58</w:t>
      </w:r>
      <w:r>
        <w:rPr>
          <w:rFonts w:hint="eastAsia" w:ascii="仿宋_GB2312" w:eastAsia="仿宋_GB2312" w:cs="仿宋_GB2312"/>
          <w:sz w:val="32"/>
          <w:szCs w:val="32"/>
        </w:rPr>
        <w:t>万元。与上年度相比，财政拨款收、支总计各增加</w:t>
      </w:r>
      <w:r>
        <w:rPr>
          <w:rFonts w:ascii="仿宋_GB2312" w:eastAsia="仿宋_GB2312" w:cs="仿宋_GB2312"/>
          <w:sz w:val="32"/>
          <w:szCs w:val="32"/>
        </w:rPr>
        <w:t>73.61</w:t>
      </w:r>
      <w:r>
        <w:rPr>
          <w:rFonts w:hint="eastAsia" w:ascii="仿宋_GB2312" w:eastAsia="仿宋_GB2312" w:cs="仿宋_GB2312"/>
          <w:sz w:val="32"/>
          <w:szCs w:val="32"/>
        </w:rPr>
        <w:t>万元，增长</w:t>
      </w:r>
      <w:r>
        <w:rPr>
          <w:rFonts w:ascii="仿宋_GB2312" w:eastAsia="仿宋_GB2312" w:cs="仿宋_GB2312"/>
          <w:sz w:val="32"/>
          <w:szCs w:val="32"/>
        </w:rPr>
        <w:t>7.91%</w:t>
      </w:r>
      <w:r>
        <w:rPr>
          <w:rFonts w:hint="eastAsia" w:ascii="仿宋_GB2312" w:eastAsia="仿宋_GB2312" w:cs="仿宋_GB2312"/>
          <w:sz w:val="32"/>
          <w:szCs w:val="32"/>
        </w:rPr>
        <w:t>。主要原因是增加了办公房租金。</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五、一般公共预算财政拨款支出决算情况说明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楷体_GB2312"/>
          <w:b/>
          <w:bCs/>
          <w:sz w:val="32"/>
          <w:szCs w:val="32"/>
        </w:rPr>
      </w:pPr>
      <w:r>
        <w:rPr>
          <w:rFonts w:hint="eastAsia" w:ascii="楷体_GB2312" w:eastAsia="楷体_GB2312" w:cs="楷体_GB2312"/>
          <w:b/>
          <w:bCs/>
          <w:sz w:val="32"/>
          <w:szCs w:val="32"/>
        </w:rPr>
        <w:t>（一）总体情况。</w:t>
      </w:r>
    </w:p>
    <w:p>
      <w:pPr>
        <w:keepNext w:val="0"/>
        <w:keepLines w:val="0"/>
        <w:pageBreakBefore w:val="0"/>
        <w:kinsoku/>
        <w:wordWrap/>
        <w:overflowPunct/>
        <w:topLinePunct w:val="0"/>
        <w:autoSpaceDE w:val="0"/>
        <w:autoSpaceDN w:val="0"/>
        <w:bidi w:val="0"/>
        <w:adjustRightInd w:val="0"/>
        <w:snapToGrid/>
        <w:spacing w:line="360" w:lineRule="auto"/>
        <w:jc w:val="left"/>
        <w:rPr>
          <w:rFonts w:ascii="宋体" w:cs="宋体"/>
          <w:kern w:val="0"/>
          <w:sz w:val="32"/>
          <w:szCs w:val="32"/>
          <w:lang w:val="zh-CN"/>
        </w:rPr>
      </w:pPr>
      <w:r>
        <w:rPr>
          <w:rFonts w:ascii="仿宋_GB2312" w:eastAsia="仿宋_GB2312" w:cs="仿宋_GB2312"/>
          <w:sz w:val="32"/>
          <w:szCs w:val="32"/>
        </w:rPr>
        <w:t xml:space="preserve">    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1003.38</w:t>
      </w:r>
      <w:r>
        <w:rPr>
          <w:rFonts w:hint="eastAsia" w:ascii="仿宋_GB2312" w:eastAsia="仿宋_GB2312" w:cs="仿宋_GB2312"/>
          <w:sz w:val="32"/>
          <w:szCs w:val="32"/>
        </w:rPr>
        <w:t>万元，占支出合计的</w:t>
      </w:r>
      <w:r>
        <w:rPr>
          <w:rFonts w:ascii="仿宋_GB2312" w:eastAsia="仿宋_GB2312" w:cs="仿宋_GB2312"/>
          <w:sz w:val="32"/>
          <w:szCs w:val="32"/>
        </w:rPr>
        <w:t>100%</w:t>
      </w:r>
      <w:r>
        <w:rPr>
          <w:rFonts w:hint="eastAsia" w:ascii="仿宋_GB2312" w:eastAsia="仿宋_GB2312" w:cs="仿宋_GB2312"/>
          <w:sz w:val="32"/>
          <w:szCs w:val="32"/>
        </w:rPr>
        <w:t>。与上年度相比，一般公共预算财政拨款支出增加</w:t>
      </w:r>
      <w:r>
        <w:rPr>
          <w:rFonts w:ascii="仿宋_GB2312" w:eastAsia="仿宋_GB2312" w:cs="仿宋_GB2312"/>
          <w:sz w:val="32"/>
          <w:szCs w:val="32"/>
        </w:rPr>
        <w:t>169.74</w:t>
      </w:r>
      <w:r>
        <w:rPr>
          <w:rFonts w:hint="eastAsia" w:ascii="仿宋_GB2312" w:eastAsia="仿宋_GB2312" w:cs="仿宋_GB2312"/>
          <w:sz w:val="32"/>
          <w:szCs w:val="32"/>
        </w:rPr>
        <w:t>万元，增长</w:t>
      </w:r>
      <w:r>
        <w:rPr>
          <w:rFonts w:ascii="仿宋_GB2312" w:eastAsia="仿宋_GB2312" w:cs="仿宋_GB2312"/>
          <w:sz w:val="32"/>
          <w:szCs w:val="32"/>
        </w:rPr>
        <w:t>20.36%</w:t>
      </w:r>
      <w:r>
        <w:rPr>
          <w:rFonts w:hint="eastAsia" w:ascii="仿宋_GB2312" w:eastAsia="仿宋_GB2312" w:cs="仿宋_GB2312"/>
          <w:sz w:val="32"/>
          <w:szCs w:val="32"/>
        </w:rPr>
        <w:t>。主要原因是增加了办公房租金。</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楷体_GB2312"/>
          <w:b/>
          <w:bCs/>
          <w:sz w:val="32"/>
          <w:szCs w:val="32"/>
        </w:rPr>
      </w:pPr>
      <w:r>
        <w:rPr>
          <w:rFonts w:hint="eastAsia" w:ascii="楷体_GB2312" w:eastAsia="楷体_GB2312" w:cs="楷体_GB2312"/>
          <w:b/>
          <w:bCs/>
          <w:sz w:val="32"/>
          <w:szCs w:val="32"/>
        </w:rPr>
        <w:t>（二）结构情况。</w:t>
      </w:r>
    </w:p>
    <w:p>
      <w:pPr>
        <w:keepNext w:val="0"/>
        <w:keepLines w:val="0"/>
        <w:pageBreakBefore w:val="0"/>
        <w:kinsoku/>
        <w:wordWrap/>
        <w:overflowPunct/>
        <w:topLinePunct w:val="0"/>
        <w:autoSpaceDE w:val="0"/>
        <w:autoSpaceDN w:val="0"/>
        <w:bidi w:val="0"/>
        <w:adjustRightInd w:val="0"/>
        <w:snapToGrid/>
        <w:spacing w:line="360" w:lineRule="auto"/>
        <w:ind w:firstLine="640"/>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1003.38</w:t>
      </w:r>
      <w:r>
        <w:rPr>
          <w:rFonts w:hint="eastAsia" w:ascii="仿宋_GB2312" w:eastAsia="仿宋_GB2312" w:cs="仿宋_GB2312"/>
          <w:sz w:val="32"/>
          <w:szCs w:val="32"/>
        </w:rPr>
        <w:t>万元，主要用于以下方面：一般公共服务（类）支出901.77万元，占89.8</w:t>
      </w: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rPr>
        <w:t>；社会保障和就业（类）支出57.72万元，占5.75</w:t>
      </w:r>
      <w:r>
        <w:rPr>
          <w:rFonts w:ascii="仿宋_GB2312" w:eastAsia="仿宋_GB2312" w:cs="仿宋_GB2312"/>
          <w:sz w:val="32"/>
          <w:szCs w:val="32"/>
        </w:rPr>
        <w:t>%</w:t>
      </w:r>
      <w:r>
        <w:rPr>
          <w:rFonts w:hint="eastAsia" w:ascii="仿宋_GB2312" w:eastAsia="仿宋_GB2312" w:cs="仿宋_GB2312"/>
          <w:sz w:val="32"/>
          <w:szCs w:val="32"/>
        </w:rPr>
        <w:t>；卫生健康（类）支出43.88万元，占4.37</w:t>
      </w:r>
      <w:r>
        <w:rPr>
          <w:rFonts w:ascii="仿宋_GB2312" w:eastAsia="仿宋_GB2312" w:cs="仿宋_GB2312"/>
          <w:sz w:val="32"/>
          <w:szCs w:val="32"/>
        </w:rPr>
        <w:t>%</w:t>
      </w:r>
      <w:r>
        <w:rPr>
          <w:rFonts w:hint="eastAsia" w:asci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楷体_GB2312"/>
          <w:b/>
          <w:bCs/>
          <w:sz w:val="32"/>
          <w:szCs w:val="32"/>
        </w:rPr>
      </w:pPr>
      <w:r>
        <w:rPr>
          <w:rFonts w:hint="eastAsia" w:ascii="楷体_GB2312" w:eastAsia="楷体_GB2312" w:cs="楷体_GB2312"/>
          <w:b/>
          <w:bCs/>
          <w:sz w:val="32"/>
          <w:szCs w:val="32"/>
        </w:rPr>
        <w:t>（三）具体情况。</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年度一般公共预算财政拨款支出年初预算为892.09万元，支出决算为</w:t>
      </w:r>
      <w:r>
        <w:rPr>
          <w:rFonts w:ascii="仿宋_GB2312" w:eastAsia="仿宋_GB2312" w:cs="仿宋_GB2312"/>
          <w:sz w:val="32"/>
          <w:szCs w:val="32"/>
        </w:rPr>
        <w:t>1003.38</w:t>
      </w:r>
      <w:r>
        <w:rPr>
          <w:rFonts w:hint="eastAsia" w:ascii="仿宋_GB2312" w:eastAsia="仿宋_GB2312" w:cs="仿宋_GB2312"/>
          <w:sz w:val="32"/>
          <w:szCs w:val="32"/>
        </w:rPr>
        <w:t>万元，完成年初预算的</w:t>
      </w:r>
      <w:r>
        <w:rPr>
          <w:rFonts w:ascii="仿宋_GB2312" w:eastAsia="仿宋_GB2312" w:cs="仿宋_GB2312"/>
          <w:sz w:val="32"/>
          <w:szCs w:val="32"/>
        </w:rPr>
        <w:t>1</w:t>
      </w:r>
      <w:r>
        <w:rPr>
          <w:rFonts w:hint="eastAsia" w:ascii="仿宋_GB2312" w:eastAsia="仿宋_GB2312" w:cs="仿宋_GB2312"/>
          <w:sz w:val="32"/>
          <w:szCs w:val="32"/>
        </w:rPr>
        <w:t>12.47</w:t>
      </w:r>
      <w:r>
        <w:rPr>
          <w:rFonts w:ascii="仿宋_GB2312" w:eastAsia="仿宋_GB2312" w:cs="仿宋_GB2312"/>
          <w:sz w:val="32"/>
          <w:szCs w:val="32"/>
        </w:rPr>
        <w:t>%</w:t>
      </w:r>
      <w:r>
        <w:rPr>
          <w:rFonts w:hint="eastAsia" w:ascii="仿宋_GB2312" w:eastAsia="仿宋_GB2312" w:cs="仿宋_GB2312"/>
          <w:sz w:val="32"/>
          <w:szCs w:val="32"/>
        </w:rPr>
        <w:t>。其中：</w:t>
      </w:r>
    </w:p>
    <w:p>
      <w:pPr>
        <w:keepNext w:val="0"/>
        <w:keepLines w:val="0"/>
        <w:pageBreakBefore w:val="0"/>
        <w:kinsoku/>
        <w:wordWrap/>
        <w:overflowPunct/>
        <w:topLinePunct w:val="0"/>
        <w:autoSpaceDE w:val="0"/>
        <w:autoSpaceDN w:val="0"/>
        <w:bidi w:val="0"/>
        <w:adjustRightInd w:val="0"/>
        <w:snapToGrid/>
        <w:spacing w:line="360" w:lineRule="auto"/>
        <w:ind w:firstLine="640"/>
        <w:rPr>
          <w:rFonts w:ascii="仿宋_GB2312" w:eastAsia="仿宋_GB2312" w:cs="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．一般公共服务</w:t>
      </w:r>
      <w:r>
        <w:rPr>
          <w:rFonts w:hint="eastAsia" w:ascii="仿宋_GB2312" w:eastAsia="仿宋_GB2312" w:cs="仿宋_GB2312"/>
          <w:b/>
          <w:bCs/>
          <w:sz w:val="32"/>
          <w:szCs w:val="32"/>
          <w:lang w:eastAsia="zh-CN"/>
        </w:rPr>
        <w:t>支出</w:t>
      </w:r>
      <w:r>
        <w:rPr>
          <w:rFonts w:hint="eastAsia" w:ascii="仿宋_GB2312" w:eastAsia="仿宋_GB2312" w:cs="仿宋_GB2312"/>
          <w:b/>
          <w:bCs/>
          <w:sz w:val="32"/>
          <w:szCs w:val="32"/>
        </w:rPr>
        <w:t>（类）政府办公厅（室）及相关机构事务（款）行政运行（项）。</w:t>
      </w:r>
      <w:r>
        <w:rPr>
          <w:rFonts w:hint="eastAsia" w:ascii="仿宋_GB2312" w:eastAsia="仿宋_GB2312" w:cs="仿宋_GB2312"/>
          <w:sz w:val="32"/>
          <w:szCs w:val="32"/>
        </w:rPr>
        <w:t>年初预算509.97万元，支出决算为512.61万元，完成年初预算的100.52</w:t>
      </w:r>
      <w:r>
        <w:rPr>
          <w:rFonts w:ascii="仿宋_GB2312" w:eastAsia="仿宋_GB2312" w:cs="仿宋_GB2312"/>
          <w:sz w:val="32"/>
          <w:szCs w:val="32"/>
        </w:rPr>
        <w:t>%</w:t>
      </w:r>
      <w:r>
        <w:rPr>
          <w:rFonts w:hint="eastAsia" w:ascii="仿宋_GB2312" w:eastAsia="仿宋_GB2312" w:cs="仿宋_GB2312"/>
          <w:sz w:val="32"/>
          <w:szCs w:val="32"/>
        </w:rPr>
        <w:t>。决算数与年初预算数存在差异的主要原因是2021年增加了办公房租金等。</w:t>
      </w:r>
    </w:p>
    <w:p>
      <w:pPr>
        <w:keepNext w:val="0"/>
        <w:keepLines w:val="0"/>
        <w:pageBreakBefore w:val="0"/>
        <w:kinsoku/>
        <w:wordWrap/>
        <w:overflowPunct/>
        <w:topLinePunct w:val="0"/>
        <w:autoSpaceDE w:val="0"/>
        <w:autoSpaceDN w:val="0"/>
        <w:bidi w:val="0"/>
        <w:adjustRightInd w:val="0"/>
        <w:snapToGrid/>
        <w:spacing w:line="360" w:lineRule="auto"/>
        <w:ind w:firstLine="640"/>
        <w:rPr>
          <w:rFonts w:ascii="仿宋_GB2312" w:eastAsia="仿宋_GB2312" w:cs="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．一般公共服务</w:t>
      </w:r>
      <w:r>
        <w:rPr>
          <w:rFonts w:hint="eastAsia" w:ascii="仿宋_GB2312" w:eastAsia="仿宋_GB2312" w:cs="仿宋_GB2312"/>
          <w:b/>
          <w:bCs/>
          <w:sz w:val="32"/>
          <w:szCs w:val="32"/>
          <w:lang w:eastAsia="zh-CN"/>
        </w:rPr>
        <w:t>支出</w:t>
      </w:r>
      <w:r>
        <w:rPr>
          <w:rFonts w:hint="eastAsia" w:ascii="仿宋_GB2312" w:eastAsia="仿宋_GB2312" w:cs="仿宋_GB2312"/>
          <w:b/>
          <w:bCs/>
          <w:sz w:val="32"/>
          <w:szCs w:val="32"/>
        </w:rPr>
        <w:t>（类）政府办公厅（室）及相关机构事务（款）一般行政管理事务（项）。</w:t>
      </w:r>
      <w:r>
        <w:rPr>
          <w:rFonts w:hint="eastAsia" w:ascii="仿宋_GB2312" w:eastAsia="仿宋_GB2312" w:cs="仿宋_GB2312"/>
          <w:sz w:val="32"/>
          <w:szCs w:val="32"/>
        </w:rPr>
        <w:t>年初预算为</w:t>
      </w:r>
      <w:r>
        <w:rPr>
          <w:rFonts w:ascii="仿宋_GB2312" w:eastAsia="仿宋_GB2312" w:cs="仿宋_GB2312"/>
          <w:sz w:val="32"/>
          <w:szCs w:val="32"/>
        </w:rPr>
        <w:t>0</w:t>
      </w:r>
      <w:r>
        <w:rPr>
          <w:rFonts w:hint="eastAsia" w:ascii="仿宋_GB2312" w:eastAsia="仿宋_GB2312" w:cs="仿宋_GB2312"/>
          <w:sz w:val="32"/>
          <w:szCs w:val="32"/>
        </w:rPr>
        <w:t>万元，支出决算为103.54万元。决算数与年初预算数存在差异的主要原因是增加了政府采购项目专家评审费、远程不见面开标系统、监控刻录系统尾款3个项目。</w:t>
      </w:r>
    </w:p>
    <w:p>
      <w:pPr>
        <w:keepNext w:val="0"/>
        <w:keepLines w:val="0"/>
        <w:pageBreakBefore w:val="0"/>
        <w:kinsoku/>
        <w:wordWrap/>
        <w:overflowPunct/>
        <w:topLinePunct w:val="0"/>
        <w:autoSpaceDE w:val="0"/>
        <w:autoSpaceDN w:val="0"/>
        <w:bidi w:val="0"/>
        <w:adjustRightInd w:val="0"/>
        <w:snapToGrid/>
        <w:spacing w:line="360" w:lineRule="auto"/>
        <w:ind w:firstLine="640"/>
        <w:rPr>
          <w:rFonts w:ascii="仿宋_GB2312" w:eastAsia="仿宋_GB2312" w:cs="仿宋_GB2312"/>
          <w:sz w:val="32"/>
          <w:szCs w:val="32"/>
        </w:rPr>
      </w:pPr>
      <w:r>
        <w:rPr>
          <w:rFonts w:hint="eastAsia" w:ascii="仿宋_GB2312" w:eastAsia="仿宋_GB2312" w:cs="仿宋_GB2312"/>
          <w:b/>
          <w:bCs/>
          <w:sz w:val="32"/>
          <w:szCs w:val="32"/>
        </w:rPr>
        <w:t>3．一般公共服务</w:t>
      </w:r>
      <w:r>
        <w:rPr>
          <w:rFonts w:hint="eastAsia" w:ascii="仿宋_GB2312" w:eastAsia="仿宋_GB2312" w:cs="仿宋_GB2312"/>
          <w:b/>
          <w:bCs/>
          <w:sz w:val="32"/>
          <w:szCs w:val="32"/>
          <w:lang w:eastAsia="zh-CN"/>
        </w:rPr>
        <w:t>支出</w:t>
      </w:r>
      <w:r>
        <w:rPr>
          <w:rFonts w:hint="eastAsia" w:ascii="仿宋_GB2312" w:eastAsia="仿宋_GB2312" w:cs="仿宋_GB2312"/>
          <w:b/>
          <w:bCs/>
          <w:sz w:val="32"/>
          <w:szCs w:val="32"/>
        </w:rPr>
        <w:t>（类）政府办公厅（室）及相关机构事务（款）事业运行（项）。</w:t>
      </w:r>
      <w:r>
        <w:rPr>
          <w:rFonts w:hint="eastAsia" w:ascii="仿宋_GB2312" w:eastAsia="仿宋_GB2312" w:cs="仿宋_GB2312"/>
          <w:sz w:val="32"/>
          <w:szCs w:val="32"/>
        </w:rPr>
        <w:t>年初预算为282.11万元，支出决算为282.11万元，完成年初预算的100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keepNext w:val="0"/>
        <w:keepLines w:val="0"/>
        <w:pageBreakBefore w:val="0"/>
        <w:kinsoku/>
        <w:wordWrap/>
        <w:overflowPunct/>
        <w:topLinePunct w:val="0"/>
        <w:autoSpaceDE w:val="0"/>
        <w:autoSpaceDN w:val="0"/>
        <w:bidi w:val="0"/>
        <w:adjustRightInd w:val="0"/>
        <w:snapToGrid/>
        <w:spacing w:line="360" w:lineRule="auto"/>
        <w:ind w:firstLine="640"/>
        <w:rPr>
          <w:rFonts w:ascii="仿宋_GB2312" w:eastAsia="仿宋_GB2312" w:cs="仿宋_GB2312"/>
          <w:sz w:val="32"/>
          <w:szCs w:val="32"/>
        </w:rPr>
      </w:pPr>
      <w:r>
        <w:rPr>
          <w:rFonts w:hint="eastAsia" w:ascii="仿宋_GB2312" w:eastAsia="仿宋_GB2312" w:cs="仿宋_GB2312"/>
          <w:b/>
          <w:bCs/>
          <w:sz w:val="32"/>
          <w:szCs w:val="32"/>
        </w:rPr>
        <w:t>4．一般公共服务</w:t>
      </w:r>
      <w:r>
        <w:rPr>
          <w:rFonts w:hint="eastAsia" w:ascii="仿宋_GB2312" w:eastAsia="仿宋_GB2312" w:cs="仿宋_GB2312"/>
          <w:b/>
          <w:bCs/>
          <w:sz w:val="32"/>
          <w:szCs w:val="32"/>
          <w:lang w:eastAsia="zh-CN"/>
        </w:rPr>
        <w:t>支出</w:t>
      </w:r>
      <w:r>
        <w:rPr>
          <w:rFonts w:hint="eastAsia" w:ascii="仿宋_GB2312" w:eastAsia="仿宋_GB2312" w:cs="仿宋_GB2312"/>
          <w:b/>
          <w:bCs/>
          <w:sz w:val="32"/>
          <w:szCs w:val="32"/>
        </w:rPr>
        <w:t>（类）群众团体事务（款）工会事务（项）。</w:t>
      </w:r>
      <w:r>
        <w:rPr>
          <w:rFonts w:hint="eastAsia" w:ascii="仿宋_GB2312" w:eastAsia="仿宋_GB2312" w:cs="仿宋_GB2312"/>
          <w:sz w:val="32"/>
          <w:szCs w:val="32"/>
        </w:rPr>
        <w:t>年初预算为3.51万元，支出决算为3.51万元，完成年初预算的100</w:t>
      </w:r>
      <w:r>
        <w:rPr>
          <w:rFonts w:ascii="仿宋_GB2312" w:eastAsia="仿宋_GB2312" w:cs="仿宋_GB2312"/>
          <w:sz w:val="32"/>
          <w:szCs w:val="32"/>
        </w:rPr>
        <w:t>%</w:t>
      </w:r>
      <w:r>
        <w:rPr>
          <w:rFonts w:hint="eastAsia" w:ascii="仿宋_GB2312" w:eastAsia="仿宋_GB2312" w:cs="仿宋_GB2312"/>
          <w:sz w:val="32"/>
          <w:szCs w:val="32"/>
        </w:rPr>
        <w:t>。决算数与年初预算数无差异。</w:t>
      </w:r>
    </w:p>
    <w:p>
      <w:pPr>
        <w:keepNext w:val="0"/>
        <w:keepLines w:val="0"/>
        <w:pageBreakBefore w:val="0"/>
        <w:widowControl/>
        <w:kinsoku/>
        <w:wordWrap/>
        <w:overflowPunct/>
        <w:topLinePunct w:val="0"/>
        <w:bidi w:val="0"/>
        <w:snapToGrid/>
        <w:spacing w:line="360" w:lineRule="auto"/>
        <w:ind w:firstLine="643"/>
        <w:jc w:val="left"/>
        <w:rPr>
          <w:color w:val="auto"/>
        </w:rPr>
      </w:pPr>
      <w:r>
        <w:rPr>
          <w:rFonts w:ascii="仿宋_GB2312" w:hAnsi="微软雅黑" w:eastAsia="仿宋_GB2312" w:cs="仿宋_GB2312"/>
          <w:b/>
          <w:bCs/>
          <w:color w:val="000000"/>
          <w:kern w:val="0"/>
          <w:sz w:val="32"/>
          <w:szCs w:val="32"/>
          <w:shd w:val="clear" w:color="auto" w:fill="FFFFFF"/>
          <w:lang w:bidi="ar"/>
        </w:rPr>
        <w:t>5.社会保障和就业支出（类）行政事业单位</w:t>
      </w:r>
      <w:r>
        <w:rPr>
          <w:rFonts w:hint="eastAsia" w:ascii="仿宋_GB2312" w:hAnsi="微软雅黑" w:eastAsia="仿宋_GB2312" w:cs="仿宋_GB2312"/>
          <w:b/>
          <w:bCs/>
          <w:color w:val="000000"/>
          <w:kern w:val="0"/>
          <w:sz w:val="32"/>
          <w:szCs w:val="32"/>
          <w:shd w:val="clear" w:color="auto" w:fill="FFFFFF"/>
          <w:lang w:eastAsia="zh-CN" w:bidi="ar"/>
        </w:rPr>
        <w:t>养老支出</w:t>
      </w:r>
      <w:r>
        <w:rPr>
          <w:rFonts w:ascii="仿宋_GB2312" w:hAnsi="微软雅黑" w:eastAsia="仿宋_GB2312" w:cs="仿宋_GB2312"/>
          <w:b/>
          <w:bCs/>
          <w:color w:val="000000"/>
          <w:kern w:val="0"/>
          <w:sz w:val="32"/>
          <w:szCs w:val="32"/>
          <w:shd w:val="clear" w:color="auto" w:fill="FFFFFF"/>
          <w:lang w:bidi="ar"/>
        </w:rPr>
        <w:t>（款）行政单位离退休(项)。</w:t>
      </w:r>
      <w:r>
        <w:rPr>
          <w:rFonts w:ascii="仿宋_GB2312" w:hAnsi="微软雅黑" w:eastAsia="仿宋_GB2312" w:cs="仿宋_GB2312"/>
          <w:color w:val="auto"/>
          <w:sz w:val="32"/>
          <w:szCs w:val="32"/>
          <w:shd w:val="clear" w:color="auto" w:fill="FFFFFF"/>
          <w:lang w:bidi="ar"/>
        </w:rPr>
        <w:t>年初预算为</w:t>
      </w:r>
      <w:r>
        <w:rPr>
          <w:rFonts w:hint="eastAsia" w:ascii="仿宋_GB2312" w:hAnsi="微软雅黑" w:eastAsia="仿宋_GB2312" w:cs="仿宋_GB2312"/>
          <w:color w:val="auto"/>
          <w:sz w:val="32"/>
          <w:szCs w:val="32"/>
          <w:shd w:val="clear" w:color="auto" w:fill="FFFFFF"/>
          <w:lang w:bidi="ar"/>
        </w:rPr>
        <w:t>10.6</w:t>
      </w:r>
      <w:r>
        <w:rPr>
          <w:rFonts w:ascii="仿宋_GB2312" w:hAnsi="微软雅黑" w:eastAsia="仿宋_GB2312" w:cs="仿宋_GB2312"/>
          <w:color w:val="auto"/>
          <w:sz w:val="32"/>
          <w:szCs w:val="32"/>
          <w:shd w:val="clear" w:color="auto" w:fill="FFFFFF"/>
          <w:lang w:bidi="ar"/>
        </w:rPr>
        <w:t>万元，支出决算为</w:t>
      </w:r>
      <w:r>
        <w:rPr>
          <w:rFonts w:hint="eastAsia" w:ascii="仿宋_GB2312" w:hAnsi="微软雅黑" w:eastAsia="仿宋_GB2312" w:cs="仿宋_GB2312"/>
          <w:color w:val="auto"/>
          <w:sz w:val="32"/>
          <w:szCs w:val="32"/>
          <w:shd w:val="clear" w:color="auto" w:fill="FFFFFF"/>
          <w:lang w:bidi="ar"/>
        </w:rPr>
        <w:t>12.96</w:t>
      </w:r>
      <w:r>
        <w:rPr>
          <w:rFonts w:ascii="仿宋_GB2312" w:hAnsi="微软雅黑" w:eastAsia="仿宋_GB2312" w:cs="仿宋_GB2312"/>
          <w:color w:val="auto"/>
          <w:sz w:val="32"/>
          <w:szCs w:val="32"/>
          <w:shd w:val="clear" w:color="auto" w:fill="FFFFFF"/>
          <w:lang w:bidi="ar"/>
        </w:rPr>
        <w:t>万元，完成年初预算的</w:t>
      </w:r>
      <w:r>
        <w:rPr>
          <w:rFonts w:hint="eastAsia" w:ascii="仿宋_GB2312" w:hAnsi="微软雅黑" w:eastAsia="仿宋_GB2312" w:cs="仿宋_GB2312"/>
          <w:color w:val="auto"/>
          <w:sz w:val="32"/>
          <w:szCs w:val="32"/>
          <w:shd w:val="clear" w:color="auto" w:fill="FFFFFF"/>
          <w:lang w:val="en-US" w:eastAsia="zh-CN" w:bidi="ar"/>
        </w:rPr>
        <w:t>122.26</w:t>
      </w:r>
      <w:r>
        <w:rPr>
          <w:rFonts w:ascii="仿宋_GB2312" w:hAnsi="微软雅黑" w:eastAsia="仿宋_GB2312" w:cs="仿宋_GB2312"/>
          <w:color w:val="auto"/>
          <w:sz w:val="32"/>
          <w:szCs w:val="32"/>
          <w:shd w:val="clear" w:color="auto" w:fill="FFFFFF"/>
          <w:lang w:bidi="ar"/>
        </w:rPr>
        <w:t>%。决算数与年初预算数存在差异的主要原因是</w:t>
      </w:r>
      <w:r>
        <w:rPr>
          <w:rFonts w:hint="eastAsia" w:ascii="仿宋_GB2312" w:hAnsi="微软雅黑" w:eastAsia="仿宋_GB2312" w:cs="仿宋_GB2312"/>
          <w:color w:val="auto"/>
          <w:sz w:val="32"/>
          <w:szCs w:val="32"/>
          <w:shd w:val="clear" w:color="auto" w:fill="FFFFFF"/>
          <w:lang w:bidi="ar"/>
        </w:rPr>
        <w:t>5</w:t>
      </w:r>
      <w:r>
        <w:rPr>
          <w:rFonts w:ascii="仿宋_GB2312" w:hAnsi="微软雅黑" w:eastAsia="仿宋_GB2312" w:cs="仿宋_GB2312"/>
          <w:color w:val="auto"/>
          <w:sz w:val="32"/>
          <w:szCs w:val="32"/>
          <w:shd w:val="clear" w:color="auto" w:fill="FFFFFF"/>
          <w:lang w:bidi="ar"/>
        </w:rPr>
        <w:t>月新增一名退休人员。</w:t>
      </w:r>
    </w:p>
    <w:p>
      <w:pPr>
        <w:keepNext w:val="0"/>
        <w:keepLines w:val="0"/>
        <w:pageBreakBefore w:val="0"/>
        <w:widowControl/>
        <w:kinsoku/>
        <w:wordWrap/>
        <w:overflowPunct/>
        <w:topLinePunct w:val="0"/>
        <w:bidi w:val="0"/>
        <w:snapToGrid/>
        <w:spacing w:line="360" w:lineRule="auto"/>
        <w:ind w:firstLine="643"/>
        <w:jc w:val="left"/>
      </w:pPr>
      <w:r>
        <w:rPr>
          <w:rFonts w:hint="eastAsia" w:ascii="仿宋_GB2312" w:hAnsi="微软雅黑" w:eastAsia="仿宋_GB2312" w:cs="仿宋_GB2312"/>
          <w:b/>
          <w:bCs/>
          <w:color w:val="000000"/>
          <w:kern w:val="0"/>
          <w:sz w:val="32"/>
          <w:szCs w:val="32"/>
          <w:shd w:val="clear" w:color="auto" w:fill="FFFFFF"/>
          <w:lang w:bidi="ar"/>
        </w:rPr>
        <w:t>6</w:t>
      </w:r>
      <w:r>
        <w:rPr>
          <w:rFonts w:ascii="仿宋_GB2312" w:hAnsi="微软雅黑" w:eastAsia="仿宋_GB2312" w:cs="仿宋_GB2312"/>
          <w:b/>
          <w:bCs/>
          <w:color w:val="000000"/>
          <w:kern w:val="0"/>
          <w:sz w:val="32"/>
          <w:szCs w:val="32"/>
          <w:shd w:val="clear" w:color="auto" w:fill="FFFFFF"/>
          <w:lang w:bidi="ar"/>
        </w:rPr>
        <w:t>.社会保障和就业支出（类）行政事业单位</w:t>
      </w:r>
      <w:r>
        <w:rPr>
          <w:rFonts w:hint="eastAsia" w:ascii="仿宋_GB2312" w:hAnsi="微软雅黑" w:eastAsia="仿宋_GB2312" w:cs="仿宋_GB2312"/>
          <w:b/>
          <w:bCs/>
          <w:color w:val="000000"/>
          <w:kern w:val="0"/>
          <w:sz w:val="32"/>
          <w:szCs w:val="32"/>
          <w:shd w:val="clear" w:color="auto" w:fill="FFFFFF"/>
          <w:lang w:eastAsia="zh-CN" w:bidi="ar"/>
        </w:rPr>
        <w:t>养老支出</w:t>
      </w:r>
      <w:r>
        <w:rPr>
          <w:rFonts w:ascii="仿宋_GB2312" w:hAnsi="微软雅黑" w:eastAsia="仿宋_GB2312" w:cs="仿宋_GB2312"/>
          <w:b/>
          <w:bCs/>
          <w:color w:val="000000"/>
          <w:kern w:val="0"/>
          <w:sz w:val="32"/>
          <w:szCs w:val="32"/>
          <w:shd w:val="clear" w:color="auto" w:fill="FFFFFF"/>
          <w:lang w:bidi="ar"/>
        </w:rPr>
        <w:t>（款）机关事业单位基本养老保险</w:t>
      </w:r>
      <w:r>
        <w:rPr>
          <w:rFonts w:hint="eastAsia" w:ascii="仿宋_GB2312" w:hAnsi="微软雅黑" w:eastAsia="仿宋_GB2312" w:cs="仿宋_GB2312"/>
          <w:b/>
          <w:bCs/>
          <w:color w:val="000000"/>
          <w:kern w:val="0"/>
          <w:sz w:val="32"/>
          <w:szCs w:val="32"/>
          <w:shd w:val="clear" w:color="auto" w:fill="FFFFFF"/>
          <w:lang w:eastAsia="zh-CN" w:bidi="ar"/>
        </w:rPr>
        <w:t>缴费支出</w:t>
      </w:r>
      <w:r>
        <w:rPr>
          <w:rFonts w:ascii="仿宋_GB2312" w:hAnsi="微软雅黑" w:eastAsia="仿宋_GB2312" w:cs="仿宋_GB2312"/>
          <w:b/>
          <w:bCs/>
          <w:color w:val="000000"/>
          <w:kern w:val="0"/>
          <w:sz w:val="32"/>
          <w:szCs w:val="32"/>
          <w:shd w:val="clear" w:color="auto" w:fill="FFFFFF"/>
          <w:lang w:bidi="ar"/>
        </w:rPr>
        <w:t>（项）。</w:t>
      </w:r>
      <w:r>
        <w:rPr>
          <w:rFonts w:ascii="仿宋_GB2312" w:hAnsi="微软雅黑" w:eastAsia="仿宋_GB2312" w:cs="仿宋_GB2312"/>
          <w:color w:val="000000"/>
          <w:sz w:val="32"/>
          <w:szCs w:val="32"/>
          <w:shd w:val="clear" w:color="auto" w:fill="FFFFFF"/>
          <w:lang w:bidi="ar"/>
        </w:rPr>
        <w:t>年初预算为</w:t>
      </w:r>
      <w:r>
        <w:rPr>
          <w:rFonts w:hint="eastAsia" w:ascii="仿宋_GB2312" w:hAnsi="微软雅黑" w:eastAsia="仿宋_GB2312" w:cs="仿宋_GB2312"/>
          <w:color w:val="000000"/>
          <w:sz w:val="32"/>
          <w:szCs w:val="32"/>
          <w:shd w:val="clear" w:color="auto" w:fill="FFFFFF"/>
          <w:lang w:bidi="ar"/>
        </w:rPr>
        <w:t>43.08</w:t>
      </w:r>
      <w:r>
        <w:rPr>
          <w:rFonts w:ascii="仿宋_GB2312" w:hAnsi="微软雅黑" w:eastAsia="仿宋_GB2312" w:cs="仿宋_GB2312"/>
          <w:color w:val="000000"/>
          <w:sz w:val="32"/>
          <w:szCs w:val="32"/>
          <w:shd w:val="clear" w:color="auto" w:fill="FFFFFF"/>
          <w:lang w:bidi="ar"/>
        </w:rPr>
        <w:t>万元，支出决算为</w:t>
      </w:r>
      <w:r>
        <w:rPr>
          <w:rFonts w:hint="eastAsia" w:ascii="仿宋_GB2312" w:hAnsi="微软雅黑" w:eastAsia="仿宋_GB2312" w:cs="仿宋_GB2312"/>
          <w:color w:val="000000"/>
          <w:sz w:val="32"/>
          <w:szCs w:val="32"/>
          <w:shd w:val="clear" w:color="auto" w:fill="FFFFFF"/>
          <w:lang w:bidi="ar"/>
        </w:rPr>
        <w:t>44.76</w:t>
      </w:r>
      <w:r>
        <w:rPr>
          <w:rFonts w:ascii="仿宋_GB2312" w:hAnsi="微软雅黑" w:eastAsia="仿宋_GB2312" w:cs="仿宋_GB2312"/>
          <w:sz w:val="32"/>
          <w:szCs w:val="32"/>
          <w:shd w:val="clear" w:color="auto" w:fill="FFFFFF"/>
          <w:lang w:bidi="ar"/>
        </w:rPr>
        <w:t>万元，完成年初预算的103.</w:t>
      </w:r>
      <w:r>
        <w:rPr>
          <w:rFonts w:hint="eastAsia" w:ascii="仿宋_GB2312" w:hAnsi="微软雅黑" w:eastAsia="仿宋_GB2312" w:cs="仿宋_GB2312"/>
          <w:sz w:val="32"/>
          <w:szCs w:val="32"/>
          <w:shd w:val="clear" w:color="auto" w:fill="FFFFFF"/>
          <w:lang w:val="en-US" w:eastAsia="zh-CN" w:bidi="ar"/>
        </w:rPr>
        <w:t>89</w:t>
      </w:r>
      <w:r>
        <w:rPr>
          <w:rFonts w:ascii="仿宋_GB2312" w:hAnsi="微软雅黑" w:eastAsia="仿宋_GB2312" w:cs="仿宋_GB2312"/>
          <w:sz w:val="32"/>
          <w:szCs w:val="32"/>
          <w:shd w:val="clear" w:color="auto" w:fill="FFFFFF"/>
          <w:lang w:bidi="ar"/>
        </w:rPr>
        <w:t>%。决算数与年初预算数存在差异的主要原因是</w:t>
      </w:r>
      <w:r>
        <w:rPr>
          <w:rFonts w:hint="eastAsia" w:ascii="仿宋_GB2312" w:hAnsi="微软雅黑" w:eastAsia="仿宋_GB2312" w:cs="仿宋_GB2312"/>
          <w:sz w:val="32"/>
          <w:szCs w:val="32"/>
          <w:shd w:val="clear" w:color="auto" w:fill="FFFFFF"/>
          <w:lang w:bidi="ar"/>
        </w:rPr>
        <w:t>调整养老保险缴费基数</w:t>
      </w:r>
      <w:r>
        <w:rPr>
          <w:rFonts w:ascii="仿宋_GB2312" w:hAnsi="微软雅黑" w:eastAsia="仿宋_GB2312" w:cs="仿宋_GB2312"/>
          <w:sz w:val="32"/>
          <w:szCs w:val="32"/>
          <w:shd w:val="clear" w:color="auto" w:fill="FFFFFF"/>
          <w:lang w:bidi="ar"/>
        </w:rPr>
        <w:t>。</w:t>
      </w:r>
    </w:p>
    <w:p>
      <w:pPr>
        <w:keepNext w:val="0"/>
        <w:keepLines w:val="0"/>
        <w:pageBreakBefore w:val="0"/>
        <w:widowControl/>
        <w:kinsoku/>
        <w:wordWrap/>
        <w:overflowPunct/>
        <w:topLinePunct w:val="0"/>
        <w:bidi w:val="0"/>
        <w:snapToGrid/>
        <w:spacing w:line="360" w:lineRule="auto"/>
        <w:ind w:firstLine="643"/>
        <w:jc w:val="left"/>
        <w:rPr>
          <w:rFonts w:ascii="仿宋_GB2312" w:eastAsia="仿宋_GB2312" w:cs="仿宋_GB2312"/>
          <w:sz w:val="32"/>
          <w:szCs w:val="32"/>
        </w:rPr>
      </w:pPr>
      <w:r>
        <w:rPr>
          <w:rFonts w:hint="eastAsia" w:ascii="仿宋_GB2312" w:hAnsi="微软雅黑" w:eastAsia="仿宋_GB2312" w:cs="仿宋_GB2312"/>
          <w:b/>
          <w:bCs/>
          <w:kern w:val="0"/>
          <w:sz w:val="32"/>
          <w:szCs w:val="32"/>
          <w:shd w:val="clear" w:color="auto" w:fill="FFFFFF"/>
          <w:lang w:val="en-US" w:eastAsia="zh-CN" w:bidi="ar"/>
        </w:rPr>
        <w:t>7</w:t>
      </w:r>
      <w:r>
        <w:rPr>
          <w:rFonts w:ascii="仿宋_GB2312" w:hAnsi="微软雅黑" w:eastAsia="仿宋_GB2312" w:cs="仿宋_GB2312"/>
          <w:b/>
          <w:bCs/>
          <w:kern w:val="0"/>
          <w:sz w:val="32"/>
          <w:szCs w:val="32"/>
          <w:shd w:val="clear" w:color="auto" w:fill="FFFFFF"/>
          <w:lang w:bidi="ar"/>
        </w:rPr>
        <w:t>.卫生健康</w:t>
      </w:r>
      <w:r>
        <w:rPr>
          <w:rFonts w:hint="eastAsia" w:ascii="仿宋_GB2312" w:hAnsi="微软雅黑" w:eastAsia="仿宋_GB2312" w:cs="仿宋_GB2312"/>
          <w:b/>
          <w:bCs/>
          <w:kern w:val="0"/>
          <w:sz w:val="32"/>
          <w:szCs w:val="32"/>
          <w:shd w:val="clear" w:color="auto" w:fill="FFFFFF"/>
          <w:lang w:eastAsia="zh-CN" w:bidi="ar"/>
        </w:rPr>
        <w:t>支出</w:t>
      </w:r>
      <w:r>
        <w:rPr>
          <w:rFonts w:ascii="仿宋_GB2312" w:hAnsi="微软雅黑" w:eastAsia="仿宋_GB2312" w:cs="仿宋_GB2312"/>
          <w:b/>
          <w:bCs/>
          <w:kern w:val="0"/>
          <w:sz w:val="32"/>
          <w:szCs w:val="32"/>
          <w:shd w:val="clear" w:color="auto" w:fill="FFFFFF"/>
          <w:lang w:bidi="ar"/>
        </w:rPr>
        <w:t>（类）行政事业单位医疗（款）行政单位医疗(项)</w:t>
      </w:r>
      <w:r>
        <w:rPr>
          <w:rFonts w:hint="eastAsia" w:ascii="仿宋_GB2312" w:hAnsi="微软雅黑" w:eastAsia="仿宋_GB2312" w:cs="仿宋_GB2312"/>
          <w:b/>
          <w:bCs/>
          <w:kern w:val="0"/>
          <w:sz w:val="32"/>
          <w:szCs w:val="32"/>
          <w:shd w:val="clear" w:color="auto" w:fill="FFFFFF"/>
          <w:lang w:eastAsia="zh-CN" w:bidi="ar"/>
        </w:rPr>
        <w:t>。</w:t>
      </w:r>
      <w:r>
        <w:rPr>
          <w:rFonts w:ascii="仿宋_GB2312" w:eastAsia="仿宋_GB2312" w:cs="仿宋_GB2312"/>
          <w:sz w:val="32"/>
          <w:szCs w:val="32"/>
        </w:rPr>
        <w:t>年初预算为</w:t>
      </w:r>
      <w:r>
        <w:rPr>
          <w:rFonts w:hint="eastAsia" w:ascii="仿宋_GB2312" w:eastAsia="仿宋_GB2312" w:cs="仿宋_GB2312"/>
          <w:sz w:val="32"/>
          <w:szCs w:val="32"/>
        </w:rPr>
        <w:t>21.93</w:t>
      </w:r>
      <w:r>
        <w:rPr>
          <w:rFonts w:ascii="仿宋_GB2312" w:eastAsia="仿宋_GB2312" w:cs="仿宋_GB2312"/>
          <w:sz w:val="32"/>
          <w:szCs w:val="32"/>
        </w:rPr>
        <w:t>万元，支出决算为</w:t>
      </w:r>
      <w:r>
        <w:rPr>
          <w:rFonts w:hint="eastAsia" w:ascii="仿宋_GB2312" w:eastAsia="仿宋_GB2312" w:cs="仿宋_GB2312"/>
          <w:sz w:val="32"/>
          <w:szCs w:val="32"/>
        </w:rPr>
        <w:t>23.25</w:t>
      </w:r>
      <w:r>
        <w:rPr>
          <w:rFonts w:ascii="仿宋_GB2312" w:eastAsia="仿宋_GB2312" w:cs="仿宋_GB2312"/>
          <w:sz w:val="32"/>
          <w:szCs w:val="32"/>
        </w:rPr>
        <w:t>万元，完成初预算的</w:t>
      </w:r>
      <w:r>
        <w:rPr>
          <w:rFonts w:hint="eastAsia" w:ascii="仿宋_GB2312" w:eastAsia="仿宋_GB2312" w:cs="仿宋_GB2312"/>
          <w:sz w:val="32"/>
          <w:szCs w:val="32"/>
        </w:rPr>
        <w:t>106</w:t>
      </w:r>
      <w:r>
        <w:rPr>
          <w:rFonts w:hint="eastAsia" w:ascii="仿宋_GB2312" w:eastAsia="仿宋_GB2312" w:cs="仿宋_GB2312"/>
          <w:sz w:val="32"/>
          <w:szCs w:val="32"/>
          <w:lang w:val="en-US" w:eastAsia="zh-CN"/>
        </w:rPr>
        <w:t>.02</w:t>
      </w:r>
      <w:r>
        <w:rPr>
          <w:rFonts w:ascii="仿宋_GB2312" w:eastAsia="仿宋_GB2312" w:cs="仿宋_GB2312"/>
          <w:sz w:val="32"/>
          <w:szCs w:val="32"/>
        </w:rPr>
        <w:t>%。决算数与年初预算数存在差异的主要原因是</w:t>
      </w:r>
      <w:r>
        <w:rPr>
          <w:rFonts w:hint="eastAsia" w:ascii="仿宋_GB2312" w:hAnsi="微软雅黑" w:eastAsia="仿宋_GB2312" w:cs="仿宋_GB2312"/>
          <w:sz w:val="32"/>
          <w:szCs w:val="32"/>
          <w:shd w:val="clear" w:color="auto" w:fill="FFFFFF"/>
          <w:lang w:bidi="ar"/>
        </w:rPr>
        <w:t>调整医疗保险缴费基数</w:t>
      </w:r>
      <w:r>
        <w:rPr>
          <w:rFonts w:ascii="仿宋_GB2312" w:eastAsia="仿宋_GB2312" w:cs="仿宋_GB2312"/>
          <w:sz w:val="32"/>
          <w:szCs w:val="32"/>
        </w:rPr>
        <w:t>。</w:t>
      </w:r>
    </w:p>
    <w:p>
      <w:pPr>
        <w:keepNext w:val="0"/>
        <w:keepLines w:val="0"/>
        <w:pageBreakBefore w:val="0"/>
        <w:widowControl/>
        <w:kinsoku/>
        <w:wordWrap/>
        <w:overflowPunct/>
        <w:topLinePunct w:val="0"/>
        <w:bidi w:val="0"/>
        <w:snapToGrid/>
        <w:spacing w:line="360" w:lineRule="auto"/>
        <w:ind w:firstLine="643"/>
        <w:jc w:val="left"/>
      </w:pPr>
      <w:r>
        <w:rPr>
          <w:rFonts w:hint="eastAsia" w:ascii="仿宋_GB2312" w:hAnsi="微软雅黑" w:eastAsia="仿宋_GB2312" w:cs="仿宋_GB2312"/>
          <w:b/>
          <w:bCs/>
          <w:kern w:val="0"/>
          <w:sz w:val="32"/>
          <w:szCs w:val="32"/>
          <w:shd w:val="clear" w:color="auto" w:fill="FFFFFF"/>
          <w:lang w:val="en-US" w:eastAsia="zh-CN" w:bidi="ar"/>
        </w:rPr>
        <w:t>8</w:t>
      </w:r>
      <w:r>
        <w:rPr>
          <w:rFonts w:ascii="仿宋_GB2312" w:hAnsi="微软雅黑" w:eastAsia="仿宋_GB2312" w:cs="仿宋_GB2312"/>
          <w:b/>
          <w:bCs/>
          <w:kern w:val="0"/>
          <w:sz w:val="32"/>
          <w:szCs w:val="32"/>
          <w:shd w:val="clear" w:color="auto" w:fill="FFFFFF"/>
          <w:lang w:bidi="ar"/>
        </w:rPr>
        <w:t>.卫生健康</w:t>
      </w:r>
      <w:r>
        <w:rPr>
          <w:rFonts w:hint="eastAsia" w:ascii="仿宋_GB2312" w:hAnsi="微软雅黑" w:eastAsia="仿宋_GB2312" w:cs="仿宋_GB2312"/>
          <w:b/>
          <w:bCs/>
          <w:kern w:val="0"/>
          <w:sz w:val="32"/>
          <w:szCs w:val="32"/>
          <w:shd w:val="clear" w:color="auto" w:fill="FFFFFF"/>
          <w:lang w:eastAsia="zh-CN" w:bidi="ar"/>
        </w:rPr>
        <w:t>支出</w:t>
      </w:r>
      <w:r>
        <w:rPr>
          <w:rFonts w:ascii="仿宋_GB2312" w:hAnsi="微软雅黑" w:eastAsia="仿宋_GB2312" w:cs="仿宋_GB2312"/>
          <w:b/>
          <w:bCs/>
          <w:kern w:val="0"/>
          <w:sz w:val="32"/>
          <w:szCs w:val="32"/>
          <w:shd w:val="clear" w:color="auto" w:fill="FFFFFF"/>
          <w:lang w:bidi="ar"/>
        </w:rPr>
        <w:t>（类）行政事业单位医疗（款）公务员医疗补助(项)。</w:t>
      </w:r>
      <w:r>
        <w:rPr>
          <w:rFonts w:ascii="仿宋_GB2312" w:hAnsi="微软雅黑" w:eastAsia="仿宋_GB2312" w:cs="仿宋_GB2312"/>
          <w:sz w:val="32"/>
          <w:szCs w:val="32"/>
          <w:shd w:val="clear" w:color="auto" w:fill="FFFFFF"/>
          <w:lang w:bidi="ar"/>
        </w:rPr>
        <w:t>年初预算为</w:t>
      </w:r>
      <w:r>
        <w:rPr>
          <w:rFonts w:hint="eastAsia" w:ascii="仿宋_GB2312" w:hAnsi="微软雅黑" w:eastAsia="仿宋_GB2312" w:cs="仿宋_GB2312"/>
          <w:sz w:val="32"/>
          <w:szCs w:val="32"/>
          <w:shd w:val="clear" w:color="auto" w:fill="FFFFFF"/>
          <w:lang w:bidi="ar"/>
        </w:rPr>
        <w:t>20.89</w:t>
      </w:r>
      <w:r>
        <w:rPr>
          <w:rFonts w:ascii="仿宋_GB2312" w:hAnsi="微软雅黑" w:eastAsia="仿宋_GB2312" w:cs="仿宋_GB2312"/>
          <w:sz w:val="32"/>
          <w:szCs w:val="32"/>
          <w:shd w:val="clear" w:color="auto" w:fill="FFFFFF"/>
          <w:lang w:bidi="ar"/>
        </w:rPr>
        <w:t>万元，支出决算为</w:t>
      </w:r>
      <w:r>
        <w:rPr>
          <w:rFonts w:hint="eastAsia" w:ascii="仿宋_GB2312" w:hAnsi="微软雅黑" w:eastAsia="仿宋_GB2312" w:cs="仿宋_GB2312"/>
          <w:sz w:val="32"/>
          <w:szCs w:val="32"/>
          <w:shd w:val="clear" w:color="auto" w:fill="FFFFFF"/>
          <w:lang w:bidi="ar"/>
        </w:rPr>
        <w:t>20.63</w:t>
      </w:r>
      <w:r>
        <w:rPr>
          <w:rFonts w:ascii="仿宋_GB2312" w:hAnsi="微软雅黑" w:eastAsia="仿宋_GB2312" w:cs="仿宋_GB2312"/>
          <w:sz w:val="32"/>
          <w:szCs w:val="32"/>
          <w:shd w:val="clear" w:color="auto" w:fill="FFFFFF"/>
          <w:lang w:bidi="ar"/>
        </w:rPr>
        <w:t>万元，完成年初预算的</w:t>
      </w:r>
      <w:r>
        <w:rPr>
          <w:rFonts w:hint="eastAsia" w:ascii="仿宋_GB2312" w:hAnsi="微软雅黑" w:eastAsia="仿宋_GB2312" w:cs="仿宋_GB2312"/>
          <w:sz w:val="32"/>
          <w:szCs w:val="32"/>
          <w:shd w:val="clear" w:color="auto" w:fill="FFFFFF"/>
          <w:lang w:bidi="ar"/>
        </w:rPr>
        <w:t>98.7</w:t>
      </w:r>
      <w:r>
        <w:rPr>
          <w:rFonts w:hint="eastAsia" w:ascii="仿宋_GB2312" w:hAnsi="微软雅黑" w:eastAsia="仿宋_GB2312" w:cs="仿宋_GB2312"/>
          <w:sz w:val="32"/>
          <w:szCs w:val="32"/>
          <w:shd w:val="clear" w:color="auto" w:fill="FFFFFF"/>
          <w:lang w:val="en-US" w:eastAsia="zh-CN" w:bidi="ar"/>
        </w:rPr>
        <w:t>6</w:t>
      </w:r>
      <w:r>
        <w:rPr>
          <w:rFonts w:ascii="仿宋_GB2312" w:hAnsi="微软雅黑" w:eastAsia="仿宋_GB2312" w:cs="仿宋_GB2312"/>
          <w:sz w:val="32"/>
          <w:szCs w:val="32"/>
          <w:shd w:val="clear" w:color="auto" w:fill="FFFFFF"/>
          <w:lang w:bidi="ar"/>
        </w:rPr>
        <w:t>%。决算数与年初预算数存在差异的主要原因是</w:t>
      </w:r>
      <w:r>
        <w:rPr>
          <w:rFonts w:hint="eastAsia" w:ascii="仿宋_GB2312" w:hAnsi="微软雅黑" w:eastAsia="仿宋_GB2312" w:cs="仿宋_GB2312"/>
          <w:sz w:val="32"/>
          <w:szCs w:val="32"/>
          <w:shd w:val="clear" w:color="auto" w:fill="FFFFFF"/>
          <w:lang w:bidi="ar"/>
        </w:rPr>
        <w:t>调整医疗保险缴费基数</w:t>
      </w:r>
      <w:r>
        <w:rPr>
          <w:rFonts w:ascii="仿宋_GB2312" w:hAnsi="微软雅黑" w:eastAsia="仿宋_GB2312" w:cs="仿宋_GB2312"/>
          <w:sz w:val="32"/>
          <w:szCs w:val="32"/>
          <w:shd w:val="clear" w:color="auto" w:fill="FFFFFF"/>
          <w:lang w:bidi="ar"/>
        </w:rPr>
        <w:t>。</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六、一般公共预算财政拨款基本支出决算情况说明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年度一般公共预算财政拨款基本支出</w:t>
      </w:r>
      <w:r>
        <w:rPr>
          <w:rFonts w:ascii="仿宋_GB2312" w:eastAsia="仿宋_GB2312" w:cs="仿宋_GB2312"/>
          <w:sz w:val="32"/>
          <w:szCs w:val="32"/>
        </w:rPr>
        <w:t>899.84</w:t>
      </w:r>
      <w:r>
        <w:rPr>
          <w:rFonts w:hint="eastAsia" w:ascii="仿宋_GB2312" w:eastAsia="仿宋_GB2312" w:cs="仿宋_GB2312"/>
          <w:sz w:val="32"/>
          <w:szCs w:val="32"/>
        </w:rPr>
        <w:t>万元。其中：人员经费</w:t>
      </w:r>
      <w:r>
        <w:rPr>
          <w:rFonts w:ascii="仿宋_GB2312" w:eastAsia="仿宋_GB2312" w:cs="仿宋_GB2312"/>
          <w:sz w:val="32"/>
          <w:szCs w:val="32"/>
        </w:rPr>
        <w:t>685.8</w:t>
      </w:r>
      <w:r>
        <w:rPr>
          <w:rFonts w:hint="eastAsia" w:ascii="仿宋_GB2312" w:eastAsia="仿宋_GB2312" w:cs="仿宋_GB2312"/>
          <w:sz w:val="32"/>
          <w:szCs w:val="32"/>
        </w:rPr>
        <w:t>万元，主要包括：基本工资、津贴补贴、</w:t>
      </w:r>
      <w:r>
        <w:rPr>
          <w:rFonts w:hint="eastAsia" w:ascii="仿宋_GB2312" w:eastAsia="仿宋_GB2312" w:cs="仿宋_GB2312"/>
          <w:sz w:val="32"/>
          <w:szCs w:val="32"/>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w:t>
      </w:r>
      <w:r>
        <w:rPr>
          <w:rFonts w:hint="eastAsia" w:ascii="仿宋_GB2312" w:hAnsi="仿宋_GB2312" w:eastAsia="仿宋_GB2312" w:cs="仿宋_GB2312"/>
          <w:sz w:val="32"/>
          <w:szCs w:val="32"/>
          <w:highlight w:val="none"/>
          <w:lang w:eastAsia="zh-CN"/>
        </w:rPr>
        <w:t>、退休费、代缴社会保险费</w:t>
      </w:r>
      <w:r>
        <w:rPr>
          <w:rFonts w:hint="eastAsia" w:ascii="仿宋_GB2312" w:eastAsia="仿宋_GB2312" w:cs="仿宋_GB2312"/>
          <w:sz w:val="32"/>
          <w:szCs w:val="32"/>
        </w:rPr>
        <w:t>；公用经费</w:t>
      </w:r>
      <w:r>
        <w:rPr>
          <w:rFonts w:ascii="仿宋_GB2312" w:eastAsia="仿宋_GB2312" w:cs="仿宋_GB2312"/>
          <w:sz w:val="32"/>
          <w:szCs w:val="32"/>
        </w:rPr>
        <w:t>214.05</w:t>
      </w:r>
      <w:r>
        <w:rPr>
          <w:rFonts w:hint="eastAsia" w:ascii="仿宋_GB2312" w:eastAsia="仿宋_GB2312" w:cs="仿宋_GB2312"/>
          <w:sz w:val="32"/>
          <w:szCs w:val="32"/>
        </w:rPr>
        <w:t>万元，主要包括：办公费、邮电费、差旅费、维修（护）费、租赁费、公务接待费、劳务费、工会经费、福利费、公务用车运行维护费、其他交通费用、其他商品和服务支出。</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七、一般公共预算财政拨款</w:t>
      </w:r>
      <w:r>
        <w:rPr>
          <w:rFonts w:eastAsia="黑体"/>
          <w:sz w:val="32"/>
          <w:szCs w:val="32"/>
        </w:rPr>
        <w:t>“</w:t>
      </w:r>
      <w:r>
        <w:rPr>
          <w:rFonts w:hint="eastAsia" w:ascii="黑体" w:eastAsia="黑体" w:cs="黑体"/>
          <w:sz w:val="32"/>
          <w:szCs w:val="32"/>
        </w:rPr>
        <w:t>三公</w:t>
      </w:r>
      <w:r>
        <w:rPr>
          <w:rFonts w:eastAsia="黑体"/>
          <w:sz w:val="32"/>
          <w:szCs w:val="32"/>
        </w:rPr>
        <w:t>”</w:t>
      </w:r>
      <w:r>
        <w:rPr>
          <w:rFonts w:hint="eastAsia" w:ascii="黑体" w:eastAsia="黑体" w:cs="黑体"/>
          <w:sz w:val="32"/>
          <w:szCs w:val="32"/>
        </w:rPr>
        <w:t>经费支出决算情况说明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楷体_GB2312"/>
          <w:b/>
          <w:bCs/>
          <w:sz w:val="32"/>
          <w:szCs w:val="32"/>
        </w:rPr>
      </w:pPr>
      <w:r>
        <w:rPr>
          <w:rFonts w:hint="eastAsia" w:ascii="楷体_GB2312" w:eastAsia="楷体_GB2312" w:cs="楷体_GB2312"/>
          <w:b/>
          <w:bCs/>
          <w:sz w:val="32"/>
          <w:szCs w:val="32"/>
        </w:rPr>
        <w:t>（一）</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经费财政拨款支出决算总体情况说明。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经费财政拨款支出预算为</w:t>
      </w:r>
      <w:r>
        <w:rPr>
          <w:rFonts w:ascii="仿宋_GB2312" w:eastAsia="仿宋_GB2312" w:cs="仿宋_GB2312"/>
          <w:sz w:val="32"/>
          <w:szCs w:val="32"/>
        </w:rPr>
        <w:t>5</w:t>
      </w:r>
      <w:r>
        <w:rPr>
          <w:rFonts w:hint="eastAsia" w:ascii="仿宋_GB2312" w:eastAsia="仿宋_GB2312" w:cs="仿宋_GB2312"/>
          <w:sz w:val="32"/>
          <w:szCs w:val="32"/>
        </w:rPr>
        <w:t>万元，支出决算为</w:t>
      </w:r>
      <w:r>
        <w:rPr>
          <w:rFonts w:ascii="仿宋_GB2312" w:eastAsia="仿宋_GB2312" w:cs="仿宋_GB2312"/>
          <w:sz w:val="32"/>
          <w:szCs w:val="32"/>
        </w:rPr>
        <w:t>4.15</w:t>
      </w:r>
      <w:r>
        <w:rPr>
          <w:rFonts w:hint="eastAsia" w:ascii="仿宋_GB2312" w:eastAsia="仿宋_GB2312" w:cs="仿宋_GB2312"/>
          <w:sz w:val="32"/>
          <w:szCs w:val="32"/>
        </w:rPr>
        <w:t>万元，完成预算的8</w:t>
      </w: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经费支出决算数与预算数存在差异的主要原因是积极贯彻落实厉行节约精神，严格控制公务接待、公务用车费用。</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楷体_GB2312"/>
          <w:b/>
          <w:bCs/>
          <w:sz w:val="32"/>
          <w:szCs w:val="32"/>
        </w:rPr>
      </w:pPr>
      <w:r>
        <w:rPr>
          <w:rFonts w:hint="eastAsia" w:ascii="楷体_GB2312" w:eastAsia="楷体_GB2312" w:cs="楷体_GB2312"/>
          <w:b/>
          <w:bCs/>
          <w:sz w:val="32"/>
          <w:szCs w:val="32"/>
        </w:rPr>
        <w:t>（二）</w:t>
      </w:r>
      <w:r>
        <w:rPr>
          <w:rFonts w:eastAsia="楷体_GB2312"/>
          <w:b/>
          <w:bCs/>
          <w:sz w:val="32"/>
          <w:szCs w:val="32"/>
        </w:rPr>
        <w:t>“</w:t>
      </w:r>
      <w:r>
        <w:rPr>
          <w:rFonts w:hint="eastAsia" w:ascii="楷体_GB2312" w:eastAsia="楷体_GB2312" w:cs="楷体_GB2312"/>
          <w:b/>
          <w:bCs/>
          <w:sz w:val="32"/>
          <w:szCs w:val="32"/>
        </w:rPr>
        <w:t>三公</w:t>
      </w:r>
      <w:r>
        <w:rPr>
          <w:rFonts w:eastAsia="楷体_GB2312"/>
          <w:b/>
          <w:bCs/>
          <w:sz w:val="32"/>
          <w:szCs w:val="32"/>
        </w:rPr>
        <w:t>”</w:t>
      </w:r>
      <w:r>
        <w:rPr>
          <w:rFonts w:hint="eastAsia" w:ascii="楷体_GB2312" w:eastAsia="楷体_GB2312" w:cs="楷体_GB2312"/>
          <w:b/>
          <w:bCs/>
          <w:sz w:val="32"/>
          <w:szCs w:val="32"/>
        </w:rPr>
        <w:t>经费财政拨款支出决算具体情况说明。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sz w:val="32"/>
          <w:szCs w:val="32"/>
        </w:rPr>
        <w:t>2021年度“三公”经费财政拨款支出决算中，因公出国（境）费支出决算0万元；公务用车购置及运行费支出决算3.73万元，完成预算93.</w:t>
      </w:r>
      <w:r>
        <w:rPr>
          <w:rFonts w:hint="eastAsia" w:ascii="CESI仿宋-GB18030" w:hAnsi="CESI仿宋-GB18030" w:eastAsia="CESI仿宋-GB18030" w:cs="CESI仿宋-GB18030"/>
          <w:sz w:val="32"/>
          <w:szCs w:val="32"/>
          <w:lang w:val="en-US" w:eastAsia="zh-CN"/>
        </w:rPr>
        <w:t>2</w:t>
      </w:r>
      <w:r>
        <w:rPr>
          <w:rFonts w:hint="eastAsia" w:ascii="CESI仿宋-GB18030" w:hAnsi="CESI仿宋-GB18030" w:eastAsia="CESI仿宋-GB18030" w:cs="CESI仿宋-GB18030"/>
          <w:sz w:val="32"/>
          <w:szCs w:val="32"/>
        </w:rPr>
        <w:t>5%，占89.8</w:t>
      </w:r>
      <w:r>
        <w:rPr>
          <w:rFonts w:hint="eastAsia" w:ascii="CESI仿宋-GB18030" w:hAnsi="CESI仿宋-GB18030" w:eastAsia="CESI仿宋-GB18030" w:cs="CESI仿宋-GB18030"/>
          <w:sz w:val="32"/>
          <w:szCs w:val="32"/>
          <w:lang w:val="en-US" w:eastAsia="zh-CN"/>
        </w:rPr>
        <w:t>8</w:t>
      </w:r>
      <w:r>
        <w:rPr>
          <w:rFonts w:hint="eastAsia" w:ascii="CESI仿宋-GB18030" w:hAnsi="CESI仿宋-GB18030" w:eastAsia="CESI仿宋-GB18030" w:cs="CESI仿宋-GB18030"/>
          <w:sz w:val="32"/>
          <w:szCs w:val="32"/>
        </w:rPr>
        <w:t>%；公务接待费支出决算0.42万元，完成预算的42.2%，占10</w:t>
      </w:r>
      <w:r>
        <w:rPr>
          <w:rFonts w:hint="eastAsia" w:ascii="CESI仿宋-GB18030" w:hAnsi="CESI仿宋-GB18030" w:eastAsia="CESI仿宋-GB18030" w:cs="CESI仿宋-GB18030"/>
          <w:sz w:val="32"/>
          <w:szCs w:val="32"/>
          <w:lang w:val="en-US" w:eastAsia="zh-CN"/>
        </w:rPr>
        <w:t>.</w:t>
      </w:r>
      <w:r>
        <w:rPr>
          <w:rFonts w:hint="eastAsia" w:ascii="CESI仿宋-GB18030" w:hAnsi="CESI仿宋-GB18030" w:eastAsia="CESI仿宋-GB18030" w:cs="CESI仿宋-GB18030"/>
          <w:sz w:val="32"/>
          <w:szCs w:val="32"/>
        </w:rPr>
        <w:t>1</w:t>
      </w:r>
      <w:r>
        <w:rPr>
          <w:rFonts w:hint="eastAsia" w:ascii="CESI仿宋-GB18030" w:hAnsi="CESI仿宋-GB18030" w:eastAsia="CESI仿宋-GB18030" w:cs="CESI仿宋-GB18030"/>
          <w:sz w:val="32"/>
          <w:szCs w:val="32"/>
          <w:lang w:val="en-US" w:eastAsia="zh-CN"/>
        </w:rPr>
        <w:t>2</w:t>
      </w:r>
      <w:r>
        <w:rPr>
          <w:rFonts w:hint="eastAsia" w:ascii="CESI仿宋-GB18030" w:hAnsi="CESI仿宋-GB18030" w:eastAsia="CESI仿宋-GB18030" w:cs="CESI仿宋-GB18030"/>
          <w:sz w:val="32"/>
          <w:szCs w:val="32"/>
        </w:rPr>
        <w:t>%；具体情况如下：</w:t>
      </w:r>
    </w:p>
    <w:p>
      <w:pPr>
        <w:keepNext w:val="0"/>
        <w:keepLines w:val="0"/>
        <w:pageBreakBefore w:val="0"/>
        <w:kinsoku/>
        <w:wordWrap/>
        <w:overflowPunct/>
        <w:topLinePunct w:val="0"/>
        <w:bidi w:val="0"/>
        <w:snapToGrid/>
        <w:spacing w:line="360" w:lineRule="auto"/>
        <w:ind w:firstLine="640"/>
        <w:rPr>
          <w:rFonts w:eastAsia="仿宋_GB2312"/>
          <w:kern w:val="0"/>
          <w:sz w:val="18"/>
          <w:szCs w:val="18"/>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．公务用车购置及运行费</w:t>
      </w:r>
      <w:r>
        <w:rPr>
          <w:rFonts w:hint="eastAsia" w:ascii="仿宋_GB2312" w:eastAsia="仿宋_GB2312" w:cs="仿宋_GB2312"/>
          <w:sz w:val="32"/>
          <w:szCs w:val="32"/>
        </w:rPr>
        <w:t>预</w:t>
      </w:r>
      <w:r>
        <w:rPr>
          <w:rFonts w:hint="eastAsia" w:ascii="CESI仿宋-GB18030" w:hAnsi="CESI仿宋-GB18030" w:eastAsia="CESI仿宋-GB18030" w:cs="CESI仿宋-GB18030"/>
          <w:sz w:val="32"/>
          <w:szCs w:val="32"/>
        </w:rPr>
        <w:t>算为4万元，支出决算为3.73万元，完成预算的93.</w:t>
      </w:r>
      <w:r>
        <w:rPr>
          <w:rFonts w:hint="eastAsia" w:ascii="CESI仿宋-GB18030" w:hAnsi="CESI仿宋-GB18030" w:eastAsia="CESI仿宋-GB18030" w:cs="CESI仿宋-GB18030"/>
          <w:sz w:val="32"/>
          <w:szCs w:val="32"/>
          <w:lang w:val="en-US" w:eastAsia="zh-CN"/>
        </w:rPr>
        <w:t>2</w:t>
      </w:r>
      <w:r>
        <w:rPr>
          <w:rFonts w:hint="eastAsia" w:ascii="CESI仿宋-GB18030" w:hAnsi="CESI仿宋-GB18030" w:eastAsia="CESI仿宋-GB18030" w:cs="CESI仿宋-GB18030"/>
          <w:sz w:val="32"/>
          <w:szCs w:val="32"/>
        </w:rPr>
        <w:t>5%，决算数与预算数存</w:t>
      </w:r>
      <w:r>
        <w:rPr>
          <w:rFonts w:hint="eastAsia" w:ascii="仿宋_GB2312" w:eastAsia="仿宋_GB2312" w:cs="仿宋_GB2312"/>
          <w:sz w:val="32"/>
          <w:szCs w:val="32"/>
        </w:rPr>
        <w:t>在差异的主要原因是积极贯彻落实厉行节约精神，严格控制公务接待、公务用车费用。其中：</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sz w:val="32"/>
          <w:szCs w:val="32"/>
        </w:rPr>
      </w:pPr>
      <w:r>
        <w:rPr>
          <w:rFonts w:hint="eastAsia" w:ascii="仿宋_GB2312" w:eastAsia="仿宋_GB2312" w:cs="仿宋_GB2312"/>
          <w:b/>
          <w:bCs/>
          <w:sz w:val="32"/>
          <w:szCs w:val="32"/>
        </w:rPr>
        <w:t>公务用车购置支出</w:t>
      </w:r>
      <w:r>
        <w:rPr>
          <w:rFonts w:hint="eastAsia" w:ascii="CESI仿宋-GB18030" w:hAnsi="CESI仿宋-GB18030" w:eastAsia="CESI仿宋-GB18030" w:cs="CESI仿宋-GB18030"/>
          <w:sz w:val="32"/>
          <w:szCs w:val="32"/>
        </w:rPr>
        <w:t>0万</w:t>
      </w:r>
      <w:r>
        <w:rPr>
          <w:rFonts w:hint="eastAsia" w:ascii="仿宋_GB2312" w:eastAsia="仿宋_GB2312" w:cs="仿宋_GB2312"/>
          <w:sz w:val="32"/>
          <w:szCs w:val="32"/>
        </w:rPr>
        <w:t>元，购置车辆0台。</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18"/>
          <w:szCs w:val="18"/>
          <w:lang w:val="zh-CN"/>
        </w:rPr>
      </w:pPr>
      <w:r>
        <w:rPr>
          <w:rFonts w:hint="eastAsia" w:ascii="仿宋_GB2312" w:eastAsia="仿宋_GB2312" w:cs="仿宋_GB2312"/>
          <w:b/>
          <w:bCs/>
          <w:sz w:val="32"/>
          <w:szCs w:val="32"/>
        </w:rPr>
        <w:t>公务用车运行支出</w:t>
      </w:r>
      <w:r>
        <w:rPr>
          <w:rFonts w:ascii="仿宋_GB2312" w:eastAsia="仿宋_GB2312" w:cs="仿宋_GB2312"/>
          <w:sz w:val="32"/>
          <w:szCs w:val="32"/>
        </w:rPr>
        <w:t>3.73</w:t>
      </w:r>
      <w:r>
        <w:rPr>
          <w:rFonts w:hint="eastAsia" w:ascii="仿宋_GB2312" w:eastAsia="仿宋_GB2312" w:cs="仿宋_GB2312"/>
          <w:sz w:val="32"/>
          <w:szCs w:val="32"/>
        </w:rPr>
        <w:t>万元。主要用于车辆燃修、路桥费等。</w:t>
      </w:r>
      <w:r>
        <w:rPr>
          <w:rFonts w:ascii="仿宋_GB2312" w:eastAsia="仿宋_GB2312" w:cs="仿宋_GB2312"/>
          <w:sz w:val="32"/>
          <w:szCs w:val="32"/>
        </w:rPr>
        <w:t>2021</w:t>
      </w:r>
      <w:r>
        <w:rPr>
          <w:rFonts w:hint="eastAsia" w:ascii="仿宋_GB2312" w:eastAsia="仿宋_GB2312" w:cs="仿宋_GB2312"/>
          <w:sz w:val="32"/>
          <w:szCs w:val="32"/>
        </w:rPr>
        <w:t>年期末，</w:t>
      </w:r>
      <w:r>
        <w:rPr>
          <w:rFonts w:hint="eastAsia" w:ascii="仿宋_GB2312" w:eastAsia="仿宋_GB2312" w:cs="仿宋_GB2312"/>
          <w:sz w:val="32"/>
          <w:szCs w:val="32"/>
          <w:lang w:eastAsia="zh-CN"/>
        </w:rPr>
        <w:t>部门</w:t>
      </w:r>
      <w:r>
        <w:rPr>
          <w:rFonts w:hint="eastAsia" w:ascii="仿宋_GB2312" w:eastAsia="仿宋_GB2312" w:cs="仿宋_GB2312"/>
          <w:sz w:val="32"/>
          <w:szCs w:val="32"/>
        </w:rPr>
        <w:t>开支财政拨款的公务用车保有量为1量。</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w:t>
      </w:r>
      <w:r>
        <w:rPr>
          <w:rFonts w:hint="eastAsia" w:ascii="仿宋_GB2312" w:eastAsia="仿宋_GB2312" w:cs="仿宋_GB2312"/>
          <w:sz w:val="32"/>
          <w:szCs w:val="32"/>
        </w:rPr>
        <w:t>预算为1万元，支出决算为</w:t>
      </w:r>
      <w:r>
        <w:rPr>
          <w:rFonts w:ascii="仿宋_GB2312" w:eastAsia="仿宋_GB2312" w:cs="仿宋_GB2312"/>
          <w:sz w:val="32"/>
          <w:szCs w:val="32"/>
        </w:rPr>
        <w:t>0.42</w:t>
      </w:r>
      <w:r>
        <w:rPr>
          <w:rFonts w:hint="eastAsia" w:ascii="仿宋_GB2312" w:eastAsia="仿宋_GB2312" w:cs="仿宋_GB2312"/>
          <w:sz w:val="32"/>
          <w:szCs w:val="32"/>
        </w:rPr>
        <w:t>万元，完成预算的42.2</w:t>
      </w:r>
      <w:r>
        <w:rPr>
          <w:rFonts w:ascii="仿宋_GB2312" w:eastAsia="仿宋_GB2312" w:cs="仿宋_GB2312"/>
          <w:sz w:val="32"/>
          <w:szCs w:val="32"/>
        </w:rPr>
        <w:t>%</w:t>
      </w:r>
      <w:r>
        <w:rPr>
          <w:rFonts w:hint="eastAsia" w:ascii="仿宋_GB2312" w:eastAsia="仿宋_GB2312" w:cs="仿宋_GB2312"/>
          <w:sz w:val="32"/>
          <w:szCs w:val="32"/>
        </w:rPr>
        <w:t>。决算数与预算数存在差异的主要原因是积极贯彻落实厉行节约精神，严格控制公务接待、公务用车费用。其中：</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sz w:val="32"/>
          <w:szCs w:val="32"/>
        </w:rPr>
      </w:pPr>
      <w:r>
        <w:rPr>
          <w:rFonts w:hint="eastAsia" w:ascii="仿宋_GB2312" w:eastAsia="仿宋_GB2312" w:cs="仿宋_GB2312"/>
          <w:b/>
          <w:bCs/>
          <w:sz w:val="32"/>
          <w:szCs w:val="32"/>
        </w:rPr>
        <w:t>外宾接待支出</w:t>
      </w:r>
      <w:r>
        <w:rPr>
          <w:rFonts w:hint="eastAsia" w:ascii="仿宋_GB2312" w:eastAsia="仿宋_GB2312" w:cs="仿宋_GB2312"/>
          <w:sz w:val="32"/>
          <w:szCs w:val="32"/>
        </w:rPr>
        <w:t>0万元。</w:t>
      </w:r>
      <w:r>
        <w:rPr>
          <w:rFonts w:ascii="仿宋_GB2312" w:eastAsia="仿宋_GB2312" w:cs="仿宋_GB2312"/>
          <w:sz w:val="32"/>
          <w:szCs w:val="32"/>
        </w:rPr>
        <w:t>2021</w:t>
      </w:r>
      <w:r>
        <w:rPr>
          <w:rFonts w:hint="eastAsia" w:ascii="仿宋_GB2312" w:eastAsia="仿宋_GB2312" w:cs="仿宋_GB2312"/>
          <w:sz w:val="32"/>
          <w:szCs w:val="32"/>
        </w:rPr>
        <w:t>年共接待国（境）外来访团组0个、来访外宾0次（不包括陪同人员）。</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18"/>
          <w:szCs w:val="18"/>
          <w:lang w:val="zh-CN"/>
        </w:rPr>
      </w:pPr>
      <w:r>
        <w:rPr>
          <w:rFonts w:hint="eastAsia" w:ascii="仿宋_GB2312" w:eastAsia="仿宋_GB2312" w:cs="仿宋_GB2312"/>
          <w:b/>
          <w:bCs/>
          <w:sz w:val="32"/>
          <w:szCs w:val="32"/>
        </w:rPr>
        <w:t>其他国内公务接待支出</w:t>
      </w:r>
      <w:r>
        <w:rPr>
          <w:rFonts w:hint="eastAsia" w:ascii="仿宋_GB2312" w:eastAsia="仿宋_GB2312" w:cs="仿宋_GB2312"/>
          <w:sz w:val="32"/>
          <w:szCs w:val="32"/>
        </w:rPr>
        <w:t>0.42万元。主要用于接待兄弟地市来我中心调研。</w:t>
      </w:r>
      <w:r>
        <w:rPr>
          <w:rFonts w:ascii="仿宋_GB2312" w:eastAsia="仿宋_GB2312" w:cs="仿宋_GB2312"/>
          <w:sz w:val="32"/>
          <w:szCs w:val="32"/>
        </w:rPr>
        <w:t>2021</w:t>
      </w:r>
      <w:r>
        <w:rPr>
          <w:rFonts w:hint="eastAsia" w:ascii="仿宋_GB2312" w:eastAsia="仿宋_GB2312" w:cs="仿宋_GB2312"/>
          <w:sz w:val="32"/>
          <w:szCs w:val="32"/>
        </w:rPr>
        <w:t>年共接待国内来访团组4个、来宾40人次（不包括陪同人员）。</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八、政府性基金预算财政拨款支出决算情况说明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2021年度政府性基金预算财政拨款支出年初预算为0万元，支出决算为0万元。不存在项目年末结转和结余资金数额较大。</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kern w:val="0"/>
          <w:sz w:val="32"/>
          <w:szCs w:val="32"/>
          <w:lang w:val="zh-CN"/>
        </w:rPr>
      </w:pPr>
      <w:r>
        <w:rPr>
          <w:rFonts w:hint="eastAsia" w:ascii="CESI仿宋-GB18030" w:hAnsi="CESI仿宋-GB18030" w:eastAsia="CESI仿宋-GB18030" w:cs="CESI仿宋-GB18030"/>
          <w:sz w:val="32"/>
          <w:szCs w:val="32"/>
        </w:rPr>
        <w:t>情况说明：我部门2021年没有政府性基金收入，也没有</w:t>
      </w:r>
      <w:r>
        <w:rPr>
          <w:rFonts w:hint="eastAsia" w:ascii="CESI仿宋-GB18030" w:hAnsi="CESI仿宋-GB18030" w:eastAsia="CESI仿宋-GB18030" w:cs="CESI仿宋-GB18030"/>
          <w:sz w:val="32"/>
          <w:szCs w:val="32"/>
          <w:lang w:eastAsia="zh-CN"/>
        </w:rPr>
        <w:t>使用</w:t>
      </w:r>
      <w:r>
        <w:rPr>
          <w:rFonts w:hint="eastAsia" w:ascii="CESI仿宋-GB18030" w:hAnsi="CESI仿宋-GB18030" w:eastAsia="CESI仿宋-GB18030" w:cs="CESI仿宋-GB18030"/>
          <w:sz w:val="32"/>
          <w:szCs w:val="32"/>
        </w:rPr>
        <w:t>政府性基金</w:t>
      </w:r>
      <w:r>
        <w:rPr>
          <w:rFonts w:hint="eastAsia" w:ascii="CESI仿宋-GB18030" w:hAnsi="CESI仿宋-GB18030" w:eastAsia="CESI仿宋-GB18030" w:cs="CESI仿宋-GB18030"/>
          <w:sz w:val="32"/>
          <w:szCs w:val="32"/>
          <w:lang w:eastAsia="zh-CN"/>
        </w:rPr>
        <w:t>安排的</w:t>
      </w:r>
      <w:r>
        <w:rPr>
          <w:rFonts w:hint="eastAsia" w:ascii="CESI仿宋-GB18030" w:hAnsi="CESI仿宋-GB18030" w:eastAsia="CESI仿宋-GB18030" w:cs="CESI仿宋-GB18030"/>
          <w:sz w:val="32"/>
          <w:szCs w:val="32"/>
        </w:rPr>
        <w:t>支出。</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九、机关运行经费支出情况说明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年度机关运行经费初预算为201.57万元，支出决算为</w:t>
      </w:r>
      <w:r>
        <w:rPr>
          <w:rFonts w:ascii="仿宋_GB2312" w:eastAsia="仿宋_GB2312" w:cs="仿宋_GB2312"/>
          <w:sz w:val="32"/>
          <w:szCs w:val="32"/>
        </w:rPr>
        <w:t>214.05</w:t>
      </w:r>
      <w:r>
        <w:rPr>
          <w:rFonts w:hint="eastAsia" w:ascii="仿宋_GB2312" w:eastAsia="仿宋_GB2312" w:cs="仿宋_GB2312"/>
          <w:sz w:val="32"/>
          <w:szCs w:val="32"/>
        </w:rPr>
        <w:t>万元，完成年初预算的106.19</w:t>
      </w:r>
      <w:r>
        <w:rPr>
          <w:rFonts w:ascii="仿宋_GB2312" w:eastAsia="仿宋_GB2312" w:cs="仿宋_GB2312"/>
          <w:sz w:val="32"/>
          <w:szCs w:val="32"/>
        </w:rPr>
        <w:t>%</w:t>
      </w:r>
      <w:r>
        <w:rPr>
          <w:rFonts w:hint="eastAsia" w:ascii="仿宋_GB2312" w:eastAsia="仿宋_GB2312" w:cs="仿宋_GB2312"/>
          <w:sz w:val="32"/>
          <w:szCs w:val="32"/>
        </w:rPr>
        <w:t>。决算数与年初预算数存在差异的主要原因是清算上年度应付款项、办公设备及家具维修维护费用增加等因素。</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十、政府采购支出情况说明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kern w:val="0"/>
          <w:sz w:val="32"/>
          <w:szCs w:val="32"/>
          <w:lang w:val="zh-CN"/>
        </w:rPr>
      </w:pPr>
      <w:r>
        <w:rPr>
          <w:rFonts w:hint="eastAsia" w:ascii="CESI仿宋-GB18030" w:hAnsi="CESI仿宋-GB18030" w:eastAsia="CESI仿宋-GB18030" w:cs="CESI仿宋-GB18030"/>
          <w:sz w:val="32"/>
          <w:szCs w:val="32"/>
        </w:rPr>
        <w:t>2021年度政府采购支出总额0万元，其中：政府采购货物支出0万元、政府采购工程支出0万元、政府采购服务支出0万元。授予中小企业合同金额0万元，其中：授予小微企业合同金额0万元。</w:t>
      </w:r>
    </w:p>
    <w:p>
      <w:pPr>
        <w:keepNext w:val="0"/>
        <w:keepLines w:val="0"/>
        <w:pageBreakBefore w:val="0"/>
        <w:kinsoku/>
        <w:wordWrap/>
        <w:overflowPunct/>
        <w:topLinePunct w:val="0"/>
        <w:autoSpaceDE w:val="0"/>
        <w:autoSpaceDN w:val="0"/>
        <w:bidi w:val="0"/>
        <w:adjustRightInd w:val="0"/>
        <w:snapToGrid/>
        <w:spacing w:line="360" w:lineRule="auto"/>
        <w:ind w:firstLine="640"/>
        <w:rPr>
          <w:rFonts w:eastAsia="黑体"/>
          <w:sz w:val="32"/>
          <w:szCs w:val="32"/>
        </w:rPr>
      </w:pPr>
      <w:r>
        <w:rPr>
          <w:rFonts w:hint="eastAsia" w:ascii="黑体" w:eastAsia="黑体" w:cs="黑体"/>
          <w:sz w:val="32"/>
          <w:szCs w:val="32"/>
        </w:rPr>
        <w:t>十一、国有资产占用情况说明</w:t>
      </w:r>
    </w:p>
    <w:p>
      <w:pPr>
        <w:keepNext w:val="0"/>
        <w:keepLines w:val="0"/>
        <w:pageBreakBefore w:val="0"/>
        <w:kinsoku/>
        <w:wordWrap/>
        <w:overflowPunct/>
        <w:topLinePunct w:val="0"/>
        <w:autoSpaceDE w:val="0"/>
        <w:autoSpaceDN w:val="0"/>
        <w:bidi w:val="0"/>
        <w:adjustRightInd w:val="0"/>
        <w:snapToGrid/>
        <w:spacing w:line="360" w:lineRule="auto"/>
        <w:ind w:firstLine="640"/>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sz w:val="32"/>
          <w:szCs w:val="32"/>
        </w:rPr>
        <w:t>2021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pPr>
        <w:keepNext w:val="0"/>
        <w:keepLines w:val="0"/>
        <w:pageBreakBefore w:val="0"/>
        <w:widowControl/>
        <w:kinsoku/>
        <w:wordWrap/>
        <w:overflowPunct/>
        <w:topLinePunct w:val="0"/>
        <w:bidi w:val="0"/>
        <w:snapToGrid/>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bidi w:val="0"/>
        <w:snapToGrid/>
        <w:spacing w:line="360" w:lineRule="auto"/>
        <w:ind w:firstLine="472" w:firstLineChars="147"/>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pStyle w:val="5"/>
        <w:keepNext w:val="0"/>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360" w:lineRule="auto"/>
        <w:ind w:firstLine="736" w:firstLineChars="230"/>
        <w:jc w:val="both"/>
        <w:textAlignment w:val="baseline"/>
        <w:rPr>
          <w:rFonts w:hint="eastAsia" w:ascii="仿宋_GB2312" w:cs="仿宋_GB2312"/>
          <w:kern w:val="2"/>
          <w:sz w:val="32"/>
          <w:szCs w:val="32"/>
        </w:rPr>
      </w:pPr>
      <w:r>
        <w:rPr>
          <w:rFonts w:hint="eastAsia" w:ascii="仿宋_GB2312" w:cs="仿宋_GB2312"/>
          <w:kern w:val="2"/>
          <w:sz w:val="32"/>
          <w:szCs w:val="32"/>
        </w:rPr>
        <w:t>我部门按照《中共许昌市委 许昌市人民政府关于全面实施预算绩效管理的实施意见》（许发〔202</w:t>
      </w:r>
      <w:r>
        <w:rPr>
          <w:rFonts w:hint="eastAsia" w:ascii="仿宋_GB2312" w:cs="仿宋_GB2312"/>
          <w:kern w:val="2"/>
          <w:sz w:val="32"/>
          <w:szCs w:val="32"/>
          <w:lang w:val="en-US" w:eastAsia="zh-CN"/>
        </w:rPr>
        <w:t>1</w:t>
      </w:r>
      <w:r>
        <w:rPr>
          <w:rFonts w:hint="eastAsia" w:ascii="仿宋_GB2312" w:cs="仿宋_GB2312"/>
          <w:kern w:val="2"/>
          <w:sz w:val="32"/>
          <w:szCs w:val="32"/>
        </w:rPr>
        <w:t>〕13号）文件要求，对本部门整体支出和项目支出开展全过程预算绩效管理。</w:t>
      </w:r>
    </w:p>
    <w:p>
      <w:pPr>
        <w:pStyle w:val="5"/>
        <w:keepNext w:val="0"/>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360" w:lineRule="auto"/>
        <w:ind w:firstLine="640" w:firstLineChars="200"/>
        <w:jc w:val="both"/>
        <w:textAlignment w:val="baseline"/>
        <w:rPr>
          <w:rFonts w:hint="eastAsia" w:ascii="仿宋_GB2312" w:cs="仿宋_GB2312"/>
          <w:kern w:val="2"/>
          <w:sz w:val="32"/>
          <w:szCs w:val="32"/>
        </w:rPr>
      </w:pPr>
      <w:r>
        <w:rPr>
          <w:rFonts w:hint="eastAsia" w:ascii="仿宋_GB2312" w:cs="仿宋_GB2312"/>
          <w:kern w:val="2"/>
          <w:sz w:val="32"/>
          <w:szCs w:val="32"/>
        </w:rPr>
        <w:t>1</w:t>
      </w:r>
      <w:r>
        <w:rPr>
          <w:rFonts w:hint="eastAsia" w:ascii="仿宋_GB2312" w:cs="仿宋_GB2312"/>
          <w:kern w:val="2"/>
          <w:sz w:val="32"/>
          <w:szCs w:val="32"/>
          <w:lang w:val="en-US" w:eastAsia="zh-CN"/>
        </w:rPr>
        <w:t>.</w:t>
      </w:r>
      <w:r>
        <w:rPr>
          <w:rFonts w:hint="eastAsia" w:ascii="仿宋_GB2312" w:cs="仿宋_GB2312"/>
          <w:kern w:val="2"/>
          <w:sz w:val="32"/>
          <w:szCs w:val="32"/>
        </w:rPr>
        <w:t>健全组织，成立小组。为全面做好单位预算绩效管理工作，成立</w:t>
      </w:r>
      <w:r>
        <w:rPr>
          <w:rFonts w:hint="eastAsia" w:ascii="仿宋_GB2312" w:cs="仿宋_GB2312"/>
          <w:kern w:val="2"/>
          <w:sz w:val="32"/>
          <w:szCs w:val="32"/>
          <w:lang w:eastAsia="zh-CN"/>
        </w:rPr>
        <w:t>了以</w:t>
      </w:r>
      <w:r>
        <w:rPr>
          <w:rFonts w:hint="eastAsia" w:ascii="仿宋_GB2312" w:cs="仿宋_GB2312"/>
          <w:kern w:val="2"/>
          <w:sz w:val="32"/>
          <w:szCs w:val="32"/>
        </w:rPr>
        <w:t>中心党组书记、主任黄文峰同志任组长，四级调研员钱光明任副组长的领导小组，并设立领导小组办公室，负责绩效管理工作的组织实施。</w:t>
      </w:r>
    </w:p>
    <w:p>
      <w:pPr>
        <w:pStyle w:val="5"/>
        <w:keepNext w:val="0"/>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360" w:lineRule="auto"/>
        <w:ind w:firstLine="640" w:firstLineChars="200"/>
        <w:jc w:val="both"/>
        <w:textAlignment w:val="baseline"/>
        <w:rPr>
          <w:rFonts w:ascii="仿宋_GB2312" w:cs="仿宋_GB2312"/>
          <w:kern w:val="2"/>
          <w:sz w:val="32"/>
          <w:szCs w:val="32"/>
        </w:rPr>
      </w:pPr>
      <w:r>
        <w:rPr>
          <w:rFonts w:hint="eastAsia" w:ascii="仿宋_GB2312" w:cs="仿宋_GB2312"/>
          <w:kern w:val="2"/>
          <w:sz w:val="32"/>
          <w:szCs w:val="32"/>
        </w:rPr>
        <w:t>2.建章立制。建立了预算绩效管理制度。</w:t>
      </w:r>
    </w:p>
    <w:p>
      <w:pPr>
        <w:keepNext w:val="0"/>
        <w:keepLines w:val="0"/>
        <w:pageBreakBefore w:val="0"/>
        <w:kinsoku/>
        <w:wordWrap/>
        <w:overflowPunct/>
        <w:topLinePunct w:val="0"/>
        <w:autoSpaceDN/>
        <w:bidi w:val="0"/>
        <w:adjustRightInd/>
        <w:snapToGrid/>
        <w:spacing w:line="36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t>3.组织学习，加强培训。为树牢全中心干部职工的预算绩效管理的理念意识，组织学习省市两级关于预算绩效管理的有关政策和文件精神，组织财务人员和各科室负责人共同学习交流，提升对预算绩效工作的认识，为进一步深入开展绩效管理工作开展奠定坚实基础。</w:t>
      </w:r>
    </w:p>
    <w:p>
      <w:pPr>
        <w:keepNext w:val="0"/>
        <w:keepLines w:val="0"/>
        <w:pageBreakBefore w:val="0"/>
        <w:widowControl/>
        <w:kinsoku/>
        <w:wordWrap/>
        <w:overflowPunct/>
        <w:topLinePunct w:val="0"/>
        <w:bidi w:val="0"/>
        <w:snapToGrid/>
        <w:spacing w:line="360" w:lineRule="auto"/>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keepNext w:val="0"/>
        <w:keepLines w:val="0"/>
        <w:pageBreakBefore w:val="0"/>
        <w:kinsoku/>
        <w:wordWrap/>
        <w:overflowPunct/>
        <w:topLinePunct w:val="0"/>
        <w:autoSpaceDE w:val="0"/>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〕1号）等文件精神，我部门对本部门整体绩效目标和项目支出绩效目标进行了自评。一是部门整体绩效自评情况：</w:t>
      </w:r>
      <w:r>
        <w:rPr>
          <w:rFonts w:hint="eastAsia" w:ascii="仿宋_GB2312" w:eastAsia="仿宋_GB2312"/>
          <w:color w:val="000000"/>
          <w:sz w:val="32"/>
          <w:szCs w:val="32"/>
        </w:rPr>
        <w:t>2021年我</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整体绩效目标、绩效指标设定分别在履职效能方面</w:t>
      </w:r>
      <w:r>
        <w:rPr>
          <w:rFonts w:hint="eastAsia" w:ascii="仿宋_GB2312" w:eastAsia="仿宋_GB2312"/>
          <w:color w:val="000000"/>
          <w:sz w:val="32"/>
          <w:szCs w:val="32"/>
          <w:lang w:eastAsia="zh-CN"/>
        </w:rPr>
        <w:t>、</w:t>
      </w:r>
      <w:r>
        <w:rPr>
          <w:rFonts w:hint="eastAsia" w:ascii="仿宋_GB2312" w:eastAsia="仿宋_GB2312"/>
          <w:color w:val="000000"/>
          <w:sz w:val="32"/>
          <w:szCs w:val="32"/>
        </w:rPr>
        <w:t>预算管理方面</w:t>
      </w:r>
      <w:r>
        <w:rPr>
          <w:rFonts w:hint="eastAsia" w:ascii="仿宋_GB2312" w:eastAsia="仿宋_GB2312"/>
          <w:color w:val="000000"/>
          <w:sz w:val="32"/>
          <w:szCs w:val="32"/>
          <w:lang w:eastAsia="zh-CN"/>
        </w:rPr>
        <w:t>、</w:t>
      </w:r>
      <w:r>
        <w:rPr>
          <w:rFonts w:hint="eastAsia" w:ascii="仿宋_GB2312" w:eastAsia="仿宋_GB2312"/>
          <w:color w:val="000000"/>
          <w:sz w:val="32"/>
          <w:szCs w:val="32"/>
        </w:rPr>
        <w:t>管理效率方面</w:t>
      </w:r>
      <w:r>
        <w:rPr>
          <w:rFonts w:hint="eastAsia" w:ascii="仿宋_GB2312" w:eastAsia="仿宋_GB2312"/>
          <w:color w:val="000000"/>
          <w:sz w:val="32"/>
          <w:szCs w:val="32"/>
          <w:lang w:eastAsia="zh-CN"/>
        </w:rPr>
        <w:t>、</w:t>
      </w:r>
      <w:r>
        <w:rPr>
          <w:rFonts w:hint="eastAsia" w:ascii="仿宋_GB2312" w:eastAsia="仿宋_GB2312"/>
          <w:color w:val="000000"/>
          <w:sz w:val="32"/>
          <w:szCs w:val="32"/>
        </w:rPr>
        <w:t>运行成本方面</w:t>
      </w:r>
      <w:r>
        <w:rPr>
          <w:rFonts w:hint="eastAsia" w:ascii="仿宋_GB2312" w:eastAsia="仿宋_GB2312"/>
          <w:color w:val="000000"/>
          <w:sz w:val="32"/>
          <w:szCs w:val="32"/>
          <w:lang w:eastAsia="zh-CN"/>
        </w:rPr>
        <w:t>、</w:t>
      </w:r>
      <w:r>
        <w:rPr>
          <w:rFonts w:hint="eastAsia" w:ascii="仿宋_GB2312" w:eastAsia="仿宋_GB2312"/>
          <w:color w:val="000000"/>
          <w:sz w:val="32"/>
          <w:szCs w:val="32"/>
        </w:rPr>
        <w:t>服务满意方面。</w:t>
      </w:r>
      <w:r>
        <w:rPr>
          <w:rFonts w:hint="eastAsia" w:ascii="仿宋_GB2312" w:eastAsia="仿宋_GB2312"/>
          <w:sz w:val="32"/>
          <w:szCs w:val="32"/>
        </w:rPr>
        <w:t>2021年我</w:t>
      </w:r>
      <w:r>
        <w:rPr>
          <w:rFonts w:hint="eastAsia" w:ascii="仿宋_GB2312" w:eastAsia="仿宋_GB2312"/>
          <w:sz w:val="32"/>
          <w:szCs w:val="32"/>
          <w:lang w:eastAsia="zh-CN"/>
        </w:rPr>
        <w:t>部门</w:t>
      </w:r>
      <w:r>
        <w:rPr>
          <w:rFonts w:hint="eastAsia" w:ascii="仿宋_GB2312" w:eastAsia="仿宋_GB2312"/>
          <w:sz w:val="32"/>
          <w:szCs w:val="32"/>
        </w:rPr>
        <w:t>各项工作任务已圆满完成，服务对象、利益相关部门、监督部门满意度达到100%。</w:t>
      </w:r>
    </w:p>
    <w:p>
      <w:pPr>
        <w:keepNext w:val="0"/>
        <w:keepLines w:val="0"/>
        <w:pageBreakBefore w:val="0"/>
        <w:widowControl/>
        <w:kinsoku/>
        <w:wordWrap/>
        <w:overflowPunct/>
        <w:topLinePunct w:val="0"/>
        <w:autoSpaceDN/>
        <w:bidi w:val="0"/>
        <w:adjustRightInd/>
        <w:snapToGrid/>
        <w:spacing w:line="36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二是项目绩效自评情况。我部门共有3个项目批复了绩效目标</w:t>
      </w:r>
      <w:r>
        <w:rPr>
          <w:rFonts w:hint="eastAsia" w:ascii="仿宋_GB2312" w:hAnsi="仿宋_GB2312" w:eastAsia="仿宋_GB2312" w:cs="仿宋_GB2312"/>
          <w:sz w:val="32"/>
          <w:szCs w:val="32"/>
          <w:lang w:eastAsia="zh-CN"/>
        </w:rPr>
        <w:t>，项目金额</w:t>
      </w:r>
      <w:r>
        <w:rPr>
          <w:rFonts w:hint="eastAsia" w:ascii="仿宋_GB2312" w:hAnsi="仿宋_GB2312" w:eastAsia="仿宋_GB2312" w:cs="仿宋_GB2312"/>
          <w:sz w:val="32"/>
          <w:szCs w:val="32"/>
          <w:lang w:val="en-US" w:eastAsia="zh-CN"/>
        </w:rPr>
        <w:t>103.54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p>
    <w:p>
      <w:pPr>
        <w:keepNext w:val="0"/>
        <w:keepLines w:val="0"/>
        <w:pageBreakBefore w:val="0"/>
        <w:widowControl/>
        <w:kinsoku/>
        <w:wordWrap/>
        <w:overflowPunct/>
        <w:topLinePunct w:val="0"/>
        <w:bidi w:val="0"/>
        <w:adjustRightInd/>
        <w:snapToGrid/>
        <w:spacing w:line="360" w:lineRule="auto"/>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许昌市公共资源交易中心3个，项目金额1188.69万元；</w:t>
      </w:r>
    </w:p>
    <w:p>
      <w:pPr>
        <w:keepNext w:val="0"/>
        <w:keepLines w:val="0"/>
        <w:pageBreakBefore w:val="0"/>
        <w:widowControl/>
        <w:kinsoku/>
        <w:wordWrap/>
        <w:overflowPunct/>
        <w:topLinePunct w:val="0"/>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93分。其中：3个项目评价等级为“优”、0个项目评价等级为“良”、0个项目评价等级为“中”、0个项目评价等级为“差”。</w:t>
      </w:r>
    </w:p>
    <w:p>
      <w:pPr>
        <w:keepNext w:val="0"/>
        <w:keepLines w:val="0"/>
        <w:pageBreakBefore w:val="0"/>
        <w:widowControl/>
        <w:kinsoku/>
        <w:wordWrap/>
        <w:overflowPunct/>
        <w:topLinePunct w:val="0"/>
        <w:bidi w:val="0"/>
        <w:snapToGrid/>
        <w:spacing w:line="360" w:lineRule="auto"/>
        <w:ind w:firstLine="963"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bidi w:val="0"/>
        <w:snapToGrid/>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rPr>
          <w:rFonts w:hint="eastAsia" w:ascii="黑体" w:hAnsi="宋体" w:eastAsia="黑体" w:cs="宋体"/>
          <w:kern w:val="0"/>
          <w:sz w:val="28"/>
          <w:szCs w:val="28"/>
        </w:rPr>
      </w:pPr>
      <w:r>
        <w:rPr>
          <w:rFonts w:hint="eastAsia" w:ascii="仿宋_GB2312" w:hAnsi="仿宋_GB2312" w:eastAsia="仿宋_GB2312" w:cs="仿宋_GB2312"/>
          <w:sz w:val="32"/>
          <w:szCs w:val="32"/>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18030">
    <w:panose1 w:val="02000500000000000000"/>
    <w:charset w:val="86"/>
    <w:family w:val="auto"/>
    <w:pitch w:val="default"/>
    <w:sig w:usb0="A00002BF" w:usb1="38C77CFA"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Y2MxYjY1YzAwM2YwY2IwODFhMjJkZjNkNTQ2YWMifQ=="/>
  </w:docVars>
  <w:rsids>
    <w:rsidRoot w:val="000270E8"/>
    <w:rsid w:val="000216AC"/>
    <w:rsid w:val="000270E8"/>
    <w:rsid w:val="000335B5"/>
    <w:rsid w:val="00057AFD"/>
    <w:rsid w:val="00066BD4"/>
    <w:rsid w:val="00076410"/>
    <w:rsid w:val="00081835"/>
    <w:rsid w:val="0008318A"/>
    <w:rsid w:val="0009026B"/>
    <w:rsid w:val="000904B3"/>
    <w:rsid w:val="000A6F4C"/>
    <w:rsid w:val="000B4F17"/>
    <w:rsid w:val="000C073B"/>
    <w:rsid w:val="000C1142"/>
    <w:rsid w:val="000E4B61"/>
    <w:rsid w:val="001003F8"/>
    <w:rsid w:val="001168DC"/>
    <w:rsid w:val="00144159"/>
    <w:rsid w:val="001718A8"/>
    <w:rsid w:val="00182842"/>
    <w:rsid w:val="00184D53"/>
    <w:rsid w:val="001905F2"/>
    <w:rsid w:val="0019435C"/>
    <w:rsid w:val="00197592"/>
    <w:rsid w:val="001C32F0"/>
    <w:rsid w:val="001D61B1"/>
    <w:rsid w:val="001E635F"/>
    <w:rsid w:val="001F102D"/>
    <w:rsid w:val="001F301B"/>
    <w:rsid w:val="001F5040"/>
    <w:rsid w:val="002006EB"/>
    <w:rsid w:val="002010BB"/>
    <w:rsid w:val="00214AE1"/>
    <w:rsid w:val="002250AF"/>
    <w:rsid w:val="00260D70"/>
    <w:rsid w:val="00264C8E"/>
    <w:rsid w:val="00281114"/>
    <w:rsid w:val="00282C7F"/>
    <w:rsid w:val="00287811"/>
    <w:rsid w:val="00291DD7"/>
    <w:rsid w:val="00292B4B"/>
    <w:rsid w:val="002A6352"/>
    <w:rsid w:val="002B3F94"/>
    <w:rsid w:val="002C171D"/>
    <w:rsid w:val="002E6A86"/>
    <w:rsid w:val="00304D04"/>
    <w:rsid w:val="00305B88"/>
    <w:rsid w:val="00315FEB"/>
    <w:rsid w:val="003356CB"/>
    <w:rsid w:val="0038137D"/>
    <w:rsid w:val="003B170F"/>
    <w:rsid w:val="003E4F21"/>
    <w:rsid w:val="0041489C"/>
    <w:rsid w:val="0042585F"/>
    <w:rsid w:val="00445CAC"/>
    <w:rsid w:val="004512F0"/>
    <w:rsid w:val="004558F6"/>
    <w:rsid w:val="00472E19"/>
    <w:rsid w:val="00487869"/>
    <w:rsid w:val="00490FEE"/>
    <w:rsid w:val="004973CA"/>
    <w:rsid w:val="004D5275"/>
    <w:rsid w:val="004F63DB"/>
    <w:rsid w:val="00505190"/>
    <w:rsid w:val="00507364"/>
    <w:rsid w:val="00546F7C"/>
    <w:rsid w:val="00553312"/>
    <w:rsid w:val="00575DE3"/>
    <w:rsid w:val="005A0C2F"/>
    <w:rsid w:val="005B1AE2"/>
    <w:rsid w:val="005D3C00"/>
    <w:rsid w:val="005E3397"/>
    <w:rsid w:val="0060347E"/>
    <w:rsid w:val="00607D67"/>
    <w:rsid w:val="006228C4"/>
    <w:rsid w:val="00636C37"/>
    <w:rsid w:val="006512DD"/>
    <w:rsid w:val="00655E39"/>
    <w:rsid w:val="00656BEF"/>
    <w:rsid w:val="00656D75"/>
    <w:rsid w:val="00657E86"/>
    <w:rsid w:val="00673EF7"/>
    <w:rsid w:val="006841E9"/>
    <w:rsid w:val="00691B63"/>
    <w:rsid w:val="0069449E"/>
    <w:rsid w:val="006964C1"/>
    <w:rsid w:val="006A349D"/>
    <w:rsid w:val="006A5C89"/>
    <w:rsid w:val="006B713A"/>
    <w:rsid w:val="006C07F0"/>
    <w:rsid w:val="006C644A"/>
    <w:rsid w:val="006C7D84"/>
    <w:rsid w:val="006D7F8A"/>
    <w:rsid w:val="007148E8"/>
    <w:rsid w:val="00733DAA"/>
    <w:rsid w:val="00742BA0"/>
    <w:rsid w:val="00753545"/>
    <w:rsid w:val="00764156"/>
    <w:rsid w:val="00764640"/>
    <w:rsid w:val="0076742F"/>
    <w:rsid w:val="007706D7"/>
    <w:rsid w:val="007879ED"/>
    <w:rsid w:val="007A48A3"/>
    <w:rsid w:val="007C029F"/>
    <w:rsid w:val="007C7F49"/>
    <w:rsid w:val="007D2A21"/>
    <w:rsid w:val="00843461"/>
    <w:rsid w:val="00860A86"/>
    <w:rsid w:val="00860DBA"/>
    <w:rsid w:val="008651E7"/>
    <w:rsid w:val="00872946"/>
    <w:rsid w:val="0088023A"/>
    <w:rsid w:val="008858FB"/>
    <w:rsid w:val="00894B41"/>
    <w:rsid w:val="008B0F63"/>
    <w:rsid w:val="008B5427"/>
    <w:rsid w:val="008C7CD0"/>
    <w:rsid w:val="008F1A3A"/>
    <w:rsid w:val="00903F6B"/>
    <w:rsid w:val="009173F9"/>
    <w:rsid w:val="0092320C"/>
    <w:rsid w:val="00924491"/>
    <w:rsid w:val="009308CB"/>
    <w:rsid w:val="00950270"/>
    <w:rsid w:val="00957CF6"/>
    <w:rsid w:val="00962F58"/>
    <w:rsid w:val="00964B5A"/>
    <w:rsid w:val="00966734"/>
    <w:rsid w:val="0097352F"/>
    <w:rsid w:val="00975A04"/>
    <w:rsid w:val="00987E71"/>
    <w:rsid w:val="009D7030"/>
    <w:rsid w:val="009F0FBB"/>
    <w:rsid w:val="009F546E"/>
    <w:rsid w:val="009F6569"/>
    <w:rsid w:val="00A05E78"/>
    <w:rsid w:val="00A079F0"/>
    <w:rsid w:val="00A42F43"/>
    <w:rsid w:val="00A4367B"/>
    <w:rsid w:val="00A51982"/>
    <w:rsid w:val="00A51A86"/>
    <w:rsid w:val="00A57BF7"/>
    <w:rsid w:val="00A71DC1"/>
    <w:rsid w:val="00A83D8A"/>
    <w:rsid w:val="00A93E7D"/>
    <w:rsid w:val="00AA260E"/>
    <w:rsid w:val="00AA406E"/>
    <w:rsid w:val="00AA44CB"/>
    <w:rsid w:val="00AA58A5"/>
    <w:rsid w:val="00AA67CD"/>
    <w:rsid w:val="00AB5D24"/>
    <w:rsid w:val="00AD6761"/>
    <w:rsid w:val="00AE2FEA"/>
    <w:rsid w:val="00AE600E"/>
    <w:rsid w:val="00B0083B"/>
    <w:rsid w:val="00B040BC"/>
    <w:rsid w:val="00B209B8"/>
    <w:rsid w:val="00B20BBC"/>
    <w:rsid w:val="00B249F3"/>
    <w:rsid w:val="00B649BE"/>
    <w:rsid w:val="00B653A5"/>
    <w:rsid w:val="00B710DD"/>
    <w:rsid w:val="00B834AD"/>
    <w:rsid w:val="00BA3E4E"/>
    <w:rsid w:val="00BC4BAC"/>
    <w:rsid w:val="00BE5A85"/>
    <w:rsid w:val="00BF4E6A"/>
    <w:rsid w:val="00BF5718"/>
    <w:rsid w:val="00C13474"/>
    <w:rsid w:val="00C20156"/>
    <w:rsid w:val="00C3106E"/>
    <w:rsid w:val="00C45009"/>
    <w:rsid w:val="00C60609"/>
    <w:rsid w:val="00C95CC1"/>
    <w:rsid w:val="00CA3F44"/>
    <w:rsid w:val="00CB03ED"/>
    <w:rsid w:val="00CB7F07"/>
    <w:rsid w:val="00CE212D"/>
    <w:rsid w:val="00CE4B38"/>
    <w:rsid w:val="00D1321A"/>
    <w:rsid w:val="00D30ADF"/>
    <w:rsid w:val="00D33CF8"/>
    <w:rsid w:val="00D6315E"/>
    <w:rsid w:val="00D652C2"/>
    <w:rsid w:val="00D74EE2"/>
    <w:rsid w:val="00D83E19"/>
    <w:rsid w:val="00D86CAD"/>
    <w:rsid w:val="00DA00C9"/>
    <w:rsid w:val="00DB200E"/>
    <w:rsid w:val="00DB65F5"/>
    <w:rsid w:val="00DE775B"/>
    <w:rsid w:val="00E01C3E"/>
    <w:rsid w:val="00E02728"/>
    <w:rsid w:val="00E13099"/>
    <w:rsid w:val="00E4339F"/>
    <w:rsid w:val="00E60B05"/>
    <w:rsid w:val="00E629EA"/>
    <w:rsid w:val="00E6777C"/>
    <w:rsid w:val="00E77307"/>
    <w:rsid w:val="00EB05A3"/>
    <w:rsid w:val="00EC18FB"/>
    <w:rsid w:val="00ED38B7"/>
    <w:rsid w:val="00EE051D"/>
    <w:rsid w:val="00F0131A"/>
    <w:rsid w:val="00F14C17"/>
    <w:rsid w:val="00F17041"/>
    <w:rsid w:val="00F218CF"/>
    <w:rsid w:val="00F44937"/>
    <w:rsid w:val="00F471FA"/>
    <w:rsid w:val="00F5719A"/>
    <w:rsid w:val="00F61A47"/>
    <w:rsid w:val="00F84422"/>
    <w:rsid w:val="00F847F0"/>
    <w:rsid w:val="00F95455"/>
    <w:rsid w:val="00FA02E1"/>
    <w:rsid w:val="00FA574D"/>
    <w:rsid w:val="00FB6C40"/>
    <w:rsid w:val="00FC2588"/>
    <w:rsid w:val="00FE5913"/>
    <w:rsid w:val="00FE7AD9"/>
    <w:rsid w:val="00FF7DB2"/>
    <w:rsid w:val="01322275"/>
    <w:rsid w:val="01DC6F05"/>
    <w:rsid w:val="02A3489A"/>
    <w:rsid w:val="02CA138D"/>
    <w:rsid w:val="033646FC"/>
    <w:rsid w:val="03C75F80"/>
    <w:rsid w:val="0478364D"/>
    <w:rsid w:val="04DB34D3"/>
    <w:rsid w:val="053D4C0D"/>
    <w:rsid w:val="0557532E"/>
    <w:rsid w:val="06764988"/>
    <w:rsid w:val="06A105BC"/>
    <w:rsid w:val="0799329C"/>
    <w:rsid w:val="08397436"/>
    <w:rsid w:val="086F16A7"/>
    <w:rsid w:val="0A0F7225"/>
    <w:rsid w:val="0A2B7D82"/>
    <w:rsid w:val="0ADC40E9"/>
    <w:rsid w:val="0AE607F4"/>
    <w:rsid w:val="0B386127"/>
    <w:rsid w:val="0B451598"/>
    <w:rsid w:val="0BEC73F4"/>
    <w:rsid w:val="0C392698"/>
    <w:rsid w:val="10BD36F6"/>
    <w:rsid w:val="11BF0649"/>
    <w:rsid w:val="123E3E08"/>
    <w:rsid w:val="131B6515"/>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55023A"/>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4636D8D"/>
    <w:rsid w:val="355932F4"/>
    <w:rsid w:val="35611882"/>
    <w:rsid w:val="36746FC3"/>
    <w:rsid w:val="368763AE"/>
    <w:rsid w:val="369EACC7"/>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D177B4"/>
    <w:rsid w:val="54F46F60"/>
    <w:rsid w:val="55A37BEA"/>
    <w:rsid w:val="56362CD2"/>
    <w:rsid w:val="5784687B"/>
    <w:rsid w:val="57846959"/>
    <w:rsid w:val="578E6A87"/>
    <w:rsid w:val="5AC2203A"/>
    <w:rsid w:val="5CBB3334"/>
    <w:rsid w:val="5D115FAF"/>
    <w:rsid w:val="5E091B91"/>
    <w:rsid w:val="62811722"/>
    <w:rsid w:val="62E75A72"/>
    <w:rsid w:val="64571880"/>
    <w:rsid w:val="649125B6"/>
    <w:rsid w:val="652F4C1A"/>
    <w:rsid w:val="666D37F1"/>
    <w:rsid w:val="67087D8F"/>
    <w:rsid w:val="671F687E"/>
    <w:rsid w:val="67673542"/>
    <w:rsid w:val="67F415F8"/>
    <w:rsid w:val="682640D1"/>
    <w:rsid w:val="684B73E5"/>
    <w:rsid w:val="6A047A2A"/>
    <w:rsid w:val="6A811BB4"/>
    <w:rsid w:val="6E3EAFB6"/>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774F1C"/>
    <w:rsid w:val="7EFD449D"/>
    <w:rsid w:val="7FDE9691"/>
    <w:rsid w:val="7FF145A2"/>
    <w:rsid w:val="973FAA10"/>
    <w:rsid w:val="AFEFC69A"/>
    <w:rsid w:val="B77A85B7"/>
    <w:rsid w:val="BFFBA017"/>
    <w:rsid w:val="FFBB86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jc w:val="left"/>
    </w:pPr>
    <w:rPr>
      <w:rFonts w:eastAsia="仿宋_GB2312"/>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批注框文本 Char"/>
    <w:link w:val="2"/>
    <w:semiHidden/>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页脚 Char"/>
    <w:link w:val="3"/>
    <w:qFormat/>
    <w:uiPriority w:val="99"/>
    <w:rPr>
      <w:kern w:val="2"/>
      <w:sz w:val="18"/>
      <w:szCs w:val="18"/>
    </w:rPr>
  </w:style>
  <w:style w:type="character" w:customStyle="1" w:styleId="15">
    <w:name w:val="页眉 Char"/>
    <w:link w:val="4"/>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28</Pages>
  <Words>8278</Words>
  <Characters>10046</Characters>
  <Lines>86</Lines>
  <Paragraphs>24</Paragraphs>
  <TotalTime>5</TotalTime>
  <ScaleCrop>false</ScaleCrop>
  <LinksUpToDate>false</LinksUpToDate>
  <CharactersWithSpaces>10282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2022-09-17T10:54:00Z</dcterms:created>
  <dc:creator>管理者</dc:creator>
  <cp:lastModifiedBy>huanghe</cp:lastModifiedBy>
  <cp:lastPrinted>2023-04-05T10:51:00Z</cp:lastPrinted>
  <dcterms:modified xsi:type="dcterms:W3CDTF">2023-05-09T17:00:14Z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B190B0451DFE5FEA3DB6596492B4BCF3</vt:lpwstr>
  </property>
</Properties>
</file>