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宋体" w:eastAsia="黑体" w:cs="宋体"/>
          <w:kern w:val="0"/>
          <w:sz w:val="28"/>
          <w:szCs w:val="28"/>
          <w:highlight w:val="none"/>
          <w:lang w:val="en-US" w:eastAsia="zh-CN"/>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许昌市信访局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lang w:eastAsia="zh-CN"/>
        </w:rPr>
        <w:t>许昌市信访局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lang w:eastAsia="zh-CN"/>
        </w:rPr>
        <w:t>许昌市信访局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市委办公室、市政府办公室关于印发许昌市信访局职能配置、内设机构和人员编制方案的通知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规定，许昌市信访局</w:t>
      </w:r>
      <w:r>
        <w:rPr>
          <w:rFonts w:hint="eastAsia" w:ascii="仿宋_GB2312" w:hAnsi="仿宋_GB2312" w:eastAsia="仿宋_GB2312" w:cs="仿宋_GB2312"/>
          <w:sz w:val="32"/>
          <w:szCs w:val="32"/>
        </w:rPr>
        <w:t>主要职责是：</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代表受理人民群众给市委、市政府及领导同志的来信，接待来访，为来信来访群众提供有关法律、法规和政策服务。</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承办上级领导和机关交办的信访事项，督促检查领导同志批示件的落实情况；向有关单位交办信访事项，审结要结果的案件。</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协调处理跨地区、跨部门的信访事项并提出对有关责任人的处理意见和建议。</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分析研究全市信访工作形式，征集群众建议，及时向市委、市政府提供信访信息。指导全市信访工作，组织全市信访干部的教育和培训。负责信访工作的宣传和信息发布。</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承办市委、市政府和市委办公室、市政府办公室交办的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其他事项。</w:t>
      </w:r>
      <w:r>
        <w:rPr>
          <w:rFonts w:hint="eastAsia" w:ascii="仿宋_GB2312" w:hAnsi="仿宋_GB2312" w:eastAsia="仿宋_GB2312" w:cs="仿宋_GB2312"/>
          <w:sz w:val="32"/>
          <w:szCs w:val="32"/>
          <w:lang w:val="en-US" w:eastAsia="zh-CN"/>
        </w:rPr>
        <w:t>做好我市赴京、省上访人员的劝返、协调和其他工作，维护好许昌在京及省会的良好形象。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许昌市信访局内设机构7个，包括：办公室、调研宣传科科、办信与人民建议征集科、接访联络科、督查科、网络信访科、复查复核办公室。</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从决算单位构成看，许昌市信访局部门决算包括：本级决算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、所属单位决算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本决算为汇总决算，纳入本部门202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年度部门决算</w:t>
      </w:r>
      <w:r>
        <w:rPr>
          <w:rFonts w:hint="eastAsia" w:ascii="仿宋_GB2312" w:hAnsi="仿宋_GB2312" w:eastAsia="仿宋_GB2312" w:cs="仿宋_GB2312"/>
          <w:color w:val="auto"/>
          <w:sz w:val="32"/>
          <w:szCs w:val="32"/>
          <w:highlight w:val="none"/>
          <w:lang w:eastAsia="zh-CN"/>
        </w:rPr>
        <w:t>编制范围的单位</w:t>
      </w:r>
      <w:r>
        <w:rPr>
          <w:rFonts w:hint="eastAsia" w:ascii="仿宋_GB2312" w:hAnsi="仿宋_GB2312" w:eastAsia="仿宋_GB2312" w:cs="仿宋_GB2312"/>
          <w:color w:val="auto"/>
          <w:sz w:val="32"/>
          <w:szCs w:val="32"/>
          <w:highlight w:val="none"/>
        </w:rPr>
        <w:t>共</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其中二级预算单位</w:t>
      </w:r>
      <w:r>
        <w:rPr>
          <w:rFonts w:hint="eastAsia" w:ascii="仿宋_GB2312" w:hAnsi="仿宋_GB2312" w:eastAsia="仿宋_GB2312" w:cs="仿宋_GB2312"/>
          <w:color w:val="auto"/>
          <w:sz w:val="32"/>
          <w:szCs w:val="32"/>
          <w:highlight w:val="none"/>
          <w:lang w:val="en-US" w:eastAsia="zh-CN"/>
        </w:rPr>
        <w:t>2个，</w:t>
      </w:r>
      <w:r>
        <w:rPr>
          <w:rFonts w:hint="eastAsia" w:ascii="仿宋_GB2312" w:hAnsi="仿宋_GB2312" w:eastAsia="仿宋_GB2312" w:cs="仿宋_GB2312"/>
          <w:color w:val="auto"/>
          <w:sz w:val="32"/>
          <w:szCs w:val="32"/>
          <w:highlight w:val="none"/>
        </w:rPr>
        <w:t>具体是：</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1.许昌市信访局（本级）</w:t>
      </w:r>
    </w:p>
    <w:p>
      <w:pPr>
        <w:widowControl/>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许昌市信访工作站（未独立核算）</w:t>
      </w:r>
    </w:p>
    <w:p>
      <w:pPr>
        <w:widowControl/>
        <w:spacing w:line="590" w:lineRule="exact"/>
        <w:ind w:firstLine="640" w:firstLineChars="200"/>
        <w:rPr>
          <w:rFonts w:hint="eastAsia" w:ascii="仿宋_GB2312" w:hAnsi="仿宋_GB2312" w:eastAsia="仿宋_GB2312" w:cs="仿宋_GB2312"/>
          <w:sz w:val="32"/>
          <w:szCs w:val="32"/>
          <w:lang w:eastAsia="zh-CN"/>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3.许昌市</w:t>
      </w:r>
      <w:r>
        <w:rPr>
          <w:rFonts w:hint="eastAsia" w:ascii="仿宋_GB2312" w:hAnsi="仿宋_GB2312" w:eastAsia="仿宋_GB2312" w:cs="仿宋_GB2312"/>
          <w:sz w:val="32"/>
          <w:szCs w:val="32"/>
          <w:lang w:eastAsia="zh-CN"/>
        </w:rPr>
        <w:t>信访网络中心（未独立核算）</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许昌市信访局</w:t>
            </w:r>
          </w:p>
        </w:tc>
        <w:tc>
          <w:tcPr>
            <w:tcW w:w="82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tabs>
                <w:tab w:val="left" w:pos="518"/>
              </w:tabs>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1084.04</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sz w:val="20"/>
                <w:szCs w:val="20"/>
                <w:highlight w:val="none"/>
                <w:lang w:val="en-US" w:eastAsia="zh-CN"/>
              </w:rPr>
              <w:t>32</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tabs>
                <w:tab w:val="left" w:pos="428"/>
              </w:tabs>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1076.12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w:t>
            </w:r>
            <w:r>
              <w:rPr>
                <w:rFonts w:ascii="宋体" w:hAnsi="宋体" w:cs="宋体"/>
                <w:color w:val="000000"/>
                <w:kern w:val="0"/>
                <w:sz w:val="20"/>
                <w:szCs w:val="20"/>
                <w:highlight w:val="none"/>
                <w:lang w:bidi="ar"/>
              </w:rPr>
              <w:t>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0"/>
                <w:sz w:val="20"/>
                <w:szCs w:val="20"/>
                <w:highlight w:val="none"/>
                <w:lang w:val="en-US" w:eastAsia="zh-CN" w:bidi="ar"/>
              </w:rPr>
              <w:t>33</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三、国有资本</w:t>
            </w:r>
            <w:r>
              <w:rPr>
                <w:rFonts w:ascii="宋体" w:hAnsi="宋体" w:cs="宋体"/>
                <w:color w:val="000000"/>
                <w:kern w:val="0"/>
                <w:sz w:val="20"/>
                <w:szCs w:val="20"/>
                <w:highlight w:val="none"/>
                <w:lang w:bidi="ar"/>
              </w:rPr>
              <w:t>经营预算财政拨款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sz w:val="20"/>
                <w:szCs w:val="20"/>
                <w:highlight w:val="none"/>
                <w:lang w:val="en-US" w:eastAsia="zh-CN"/>
              </w:rPr>
              <w:t>34</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5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0"/>
                <w:sz w:val="20"/>
                <w:szCs w:val="20"/>
                <w:highlight w:val="none"/>
                <w:lang w:val="en-US" w:eastAsia="zh-CN" w:bidi="ar"/>
              </w:rPr>
              <w:t>35</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36</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37</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eastAsia="宋体" w:cs="宋体"/>
                <w:color w:val="000000"/>
                <w:sz w:val="20"/>
                <w:szCs w:val="20"/>
                <w:highlight w:val="none"/>
                <w:lang w:val="en-US" w:eastAsia="zh-CN"/>
              </w:rPr>
              <w:t>38</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sz w:val="20"/>
                <w:szCs w:val="20"/>
                <w:u w:val="none"/>
                <w:lang w:eastAsia="zh-CN"/>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39</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95.72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九、</w:t>
            </w:r>
            <w:r>
              <w:rPr>
                <w:rFonts w:hint="eastAsia" w:ascii="宋体" w:hAnsi="宋体" w:cs="宋体"/>
                <w:color w:val="000000"/>
                <w:sz w:val="20"/>
                <w:szCs w:val="20"/>
                <w:highlight w:val="none"/>
              </w:rPr>
              <w:t>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40</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35.15</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tabs>
                <w:tab w:val="left" w:pos="734"/>
              </w:tabs>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41</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42</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43</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44</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45</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46</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47</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48</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49</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50</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51</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52</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53</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54</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55</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56</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57</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0.00</w:t>
            </w:r>
          </w:p>
        </w:tc>
      </w:tr>
      <w:tr>
        <w:tblPrEx>
          <w:tblCellMar>
            <w:top w:w="0" w:type="dxa"/>
            <w:left w:w="0" w:type="dxa"/>
            <w:bottom w:w="0" w:type="dxa"/>
            <w:right w:w="0" w:type="dxa"/>
          </w:tblCellMar>
        </w:tblPrEx>
        <w:trPr>
          <w:trHeight w:val="42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rPr>
              <w:t>1084.04</w:t>
            </w: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58</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b w:val="0"/>
                <w:bCs/>
                <w:color w:val="000000"/>
                <w:sz w:val="20"/>
                <w:szCs w:val="20"/>
                <w:highlight w:val="none"/>
                <w:lang w:val="en-US" w:eastAsia="zh-CN"/>
              </w:rPr>
            </w:pPr>
            <w:r>
              <w:rPr>
                <w:rFonts w:hint="eastAsia" w:ascii="宋体" w:hAnsi="宋体" w:cs="宋体"/>
                <w:color w:val="000000"/>
                <w:sz w:val="20"/>
                <w:szCs w:val="20"/>
                <w:highlight w:val="none"/>
                <w:lang w:val="en-US" w:eastAsia="zh-CN"/>
              </w:rPr>
              <w:t>1206.99</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使用非</w:t>
            </w:r>
            <w:r>
              <w:rPr>
                <w:rFonts w:ascii="宋体" w:hAnsi="宋体" w:cs="宋体"/>
                <w:color w:val="000000"/>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59</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w:t>
            </w: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122.95</w:t>
            </w: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60</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30</w:t>
            </w:r>
          </w:p>
        </w:tc>
        <w:tc>
          <w:tcPr>
            <w:tcW w:w="1764"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61</w:t>
            </w:r>
          </w:p>
        </w:tc>
        <w:tc>
          <w:tcPr>
            <w:tcW w:w="1699" w:type="dxa"/>
            <w:tcBorders>
              <w:top w:val="single" w:color="000000" w:sz="4" w:space="0"/>
              <w:left w:val="nil"/>
              <w:bottom w:val="nil"/>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31</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tabs>
                <w:tab w:val="left" w:pos="593"/>
              </w:tabs>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eastAsia="zh-CN"/>
              </w:rPr>
              <w:tab/>
            </w:r>
            <w:r>
              <w:rPr>
                <w:rFonts w:hint="eastAsia" w:ascii="宋体" w:hAnsi="宋体" w:cs="宋体"/>
                <w:color w:val="000000"/>
                <w:sz w:val="20"/>
                <w:szCs w:val="20"/>
                <w:highlight w:val="none"/>
                <w:lang w:val="en-US" w:eastAsia="zh-CN"/>
              </w:rPr>
              <w:t>1206.99</w:t>
            </w:r>
          </w:p>
        </w:tc>
        <w:tc>
          <w:tcPr>
            <w:tcW w:w="4671" w:type="dxa"/>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62</w:t>
            </w:r>
          </w:p>
        </w:tc>
        <w:tc>
          <w:tcPr>
            <w:tcW w:w="1699"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cs="宋体"/>
                <w:b/>
                <w:color w:val="000000"/>
                <w:sz w:val="20"/>
                <w:szCs w:val="20"/>
                <w:highlight w:val="none"/>
              </w:rPr>
            </w:pPr>
            <w:r>
              <w:rPr>
                <w:rFonts w:hint="eastAsia" w:ascii="宋体" w:hAnsi="宋体" w:cs="宋体"/>
                <w:color w:val="000000"/>
                <w:sz w:val="20"/>
                <w:szCs w:val="20"/>
                <w:highlight w:val="none"/>
                <w:lang w:val="en-US" w:eastAsia="zh-CN"/>
              </w:rPr>
              <w:t>1206.99</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0" w:type="auto"/>
        <w:tblInd w:w="-33" w:type="dxa"/>
        <w:tblLayout w:type="fixed"/>
        <w:tblCellMar>
          <w:top w:w="0" w:type="dxa"/>
          <w:left w:w="0" w:type="dxa"/>
          <w:bottom w:w="0" w:type="dxa"/>
          <w:right w:w="0" w:type="dxa"/>
        </w:tblCellMar>
      </w:tblPr>
      <w:tblGrid>
        <w:gridCol w:w="33"/>
        <w:gridCol w:w="1027"/>
        <w:gridCol w:w="59"/>
        <w:gridCol w:w="181"/>
        <w:gridCol w:w="3741"/>
        <w:gridCol w:w="90"/>
        <w:gridCol w:w="1190"/>
        <w:gridCol w:w="363"/>
        <w:gridCol w:w="887"/>
        <w:gridCol w:w="666"/>
        <w:gridCol w:w="598"/>
        <w:gridCol w:w="955"/>
        <w:gridCol w:w="266"/>
        <w:gridCol w:w="1287"/>
        <w:gridCol w:w="22"/>
        <w:gridCol w:w="1250"/>
        <w:gridCol w:w="1263"/>
        <w:gridCol w:w="143"/>
      </w:tblGrid>
      <w:tr>
        <w:tblPrEx>
          <w:tblCellMar>
            <w:top w:w="0" w:type="dxa"/>
            <w:left w:w="0" w:type="dxa"/>
            <w:bottom w:w="0" w:type="dxa"/>
            <w:right w:w="0" w:type="dxa"/>
          </w:tblCellMar>
        </w:tblPrEx>
        <w:trPr>
          <w:gridAfter w:val="1"/>
          <w:wAfter w:w="143" w:type="dxa"/>
          <w:trHeight w:val="435" w:hRule="atLeast"/>
        </w:trPr>
        <w:tc>
          <w:tcPr>
            <w:tcW w:w="13878" w:type="dxa"/>
            <w:gridSpan w:val="1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收入决算表</w:t>
            </w:r>
          </w:p>
        </w:tc>
      </w:tr>
      <w:tr>
        <w:tblPrEx>
          <w:tblCellMar>
            <w:top w:w="0" w:type="dxa"/>
            <w:left w:w="0" w:type="dxa"/>
            <w:bottom w:w="0" w:type="dxa"/>
            <w:right w:w="0" w:type="dxa"/>
          </w:tblCellMar>
        </w:tblPrEx>
        <w:trPr>
          <w:gridAfter w:val="1"/>
          <w:wAfter w:w="143" w:type="dxa"/>
          <w:trHeight w:val="285" w:hRule="atLeast"/>
        </w:trPr>
        <w:tc>
          <w:tcPr>
            <w:tcW w:w="1060"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74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7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3"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ind w:firstLine="200" w:firstLineChars="1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gridAfter w:val="1"/>
          <w:wAfter w:w="143" w:type="dxa"/>
          <w:trHeight w:val="300" w:hRule="atLeast"/>
        </w:trPr>
        <w:tc>
          <w:tcPr>
            <w:tcW w:w="5041" w:type="dxa"/>
            <w:gridSpan w:val="5"/>
            <w:tcBorders>
              <w:top w:val="nil"/>
              <w:left w:val="nil"/>
              <w:bottom w:val="nil"/>
              <w:right w:val="nil"/>
            </w:tcBorders>
            <w:shd w:val="clear" w:color="auto" w:fill="FFFFFF"/>
            <w:noWrap w:val="0"/>
            <w:tcMar>
              <w:top w:w="15" w:type="dxa"/>
              <w:left w:w="15" w:type="dxa"/>
              <w:right w:w="15" w:type="dxa"/>
            </w:tcMar>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cs="宋体"/>
                <w:color w:val="000000"/>
                <w:kern w:val="0"/>
                <w:sz w:val="20"/>
                <w:szCs w:val="20"/>
                <w:highlight w:val="none"/>
                <w:lang w:eastAsia="zh-CN" w:bidi="ar"/>
              </w:rPr>
              <w:t>许昌市信访局</w:t>
            </w:r>
          </w:p>
        </w:tc>
        <w:tc>
          <w:tcPr>
            <w:tcW w:w="9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35" w:type="dxa"/>
            <w:gridSpan w:val="3"/>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ind w:firstLine="1000" w:firstLineChars="5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After w:val="1"/>
          <w:wAfter w:w="143" w:type="dxa"/>
          <w:trHeight w:val="450" w:hRule="atLeast"/>
        </w:trPr>
        <w:tc>
          <w:tcPr>
            <w:tcW w:w="5041" w:type="dxa"/>
            <w:gridSpan w:val="5"/>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28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5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26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2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30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250"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263"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gridAfter w:val="1"/>
          <w:wAfter w:w="143" w:type="dxa"/>
          <w:trHeight w:val="450" w:hRule="atLeast"/>
        </w:trPr>
        <w:tc>
          <w:tcPr>
            <w:tcW w:w="1119" w:type="dxa"/>
            <w:gridSpan w:val="3"/>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92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2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3"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450" w:hRule="atLeast"/>
        </w:trPr>
        <w:tc>
          <w:tcPr>
            <w:tcW w:w="1119" w:type="dxa"/>
            <w:gridSpan w:val="3"/>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2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2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3"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450" w:hRule="atLeast"/>
        </w:trPr>
        <w:tc>
          <w:tcPr>
            <w:tcW w:w="5041" w:type="dxa"/>
            <w:gridSpan w:val="5"/>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63"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gridAfter w:val="1"/>
          <w:wAfter w:w="143" w:type="dxa"/>
          <w:trHeight w:val="450" w:hRule="atLeast"/>
        </w:trPr>
        <w:tc>
          <w:tcPr>
            <w:tcW w:w="5041" w:type="dxa"/>
            <w:gridSpan w:val="5"/>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1084.04</w:t>
            </w:r>
          </w:p>
        </w:tc>
        <w:tc>
          <w:tcPr>
            <w:tcW w:w="1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1084.04</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450" w:hRule="atLeast"/>
        </w:trPr>
        <w:tc>
          <w:tcPr>
            <w:tcW w:w="1119"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一般公共服务支出</w:t>
            </w:r>
          </w:p>
        </w:tc>
        <w:tc>
          <w:tcPr>
            <w:tcW w:w="1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2"/>
                <w:szCs w:val="22"/>
                <w:u w:val="none"/>
                <w:lang w:val="en-US" w:eastAsia="zh-CN" w:bidi="ar"/>
              </w:rPr>
              <w:t>958.19</w:t>
            </w:r>
          </w:p>
        </w:tc>
        <w:tc>
          <w:tcPr>
            <w:tcW w:w="1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2"/>
                <w:szCs w:val="22"/>
                <w:u w:val="none"/>
                <w:lang w:val="en-US" w:eastAsia="zh-CN" w:bidi="ar"/>
              </w:rPr>
              <w:t>958.19</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50" w:hRule="atLeast"/>
        </w:trPr>
        <w:tc>
          <w:tcPr>
            <w:tcW w:w="1119"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20103</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i w:val="0"/>
                <w:color w:val="000000"/>
                <w:sz w:val="20"/>
                <w:szCs w:val="20"/>
                <w:u w:val="none"/>
              </w:rPr>
            </w:pPr>
            <w:r>
              <w:rPr>
                <w:rFonts w:hint="eastAsia" w:ascii="宋体" w:hAnsi="宋体" w:eastAsia="宋体" w:cs="宋体"/>
                <w:i w:val="0"/>
                <w:color w:val="000000"/>
                <w:kern w:val="0"/>
                <w:sz w:val="22"/>
                <w:szCs w:val="22"/>
                <w:u w:val="none"/>
                <w:lang w:val="en-US" w:eastAsia="zh-CN" w:bidi="ar"/>
              </w:rPr>
              <w:t>306.23</w:t>
            </w:r>
          </w:p>
        </w:tc>
        <w:tc>
          <w:tcPr>
            <w:tcW w:w="1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306.23</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50" w:hRule="atLeast"/>
        </w:trPr>
        <w:tc>
          <w:tcPr>
            <w:tcW w:w="1119"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2010308</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信访事务</w:t>
            </w:r>
          </w:p>
        </w:tc>
        <w:tc>
          <w:tcPr>
            <w:tcW w:w="1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306.23</w:t>
            </w:r>
          </w:p>
        </w:tc>
        <w:tc>
          <w:tcPr>
            <w:tcW w:w="1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306.23</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90" w:hRule="atLeast"/>
        </w:trPr>
        <w:tc>
          <w:tcPr>
            <w:tcW w:w="1119"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20129</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群众团体事务</w:t>
            </w:r>
          </w:p>
        </w:tc>
        <w:tc>
          <w:tcPr>
            <w:tcW w:w="1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3.13</w:t>
            </w:r>
          </w:p>
        </w:tc>
        <w:tc>
          <w:tcPr>
            <w:tcW w:w="1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3.13</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50" w:hRule="atLeast"/>
        </w:trPr>
        <w:tc>
          <w:tcPr>
            <w:tcW w:w="1119"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2012906</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3.13</w:t>
            </w:r>
          </w:p>
        </w:tc>
        <w:tc>
          <w:tcPr>
            <w:tcW w:w="1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3.13</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50" w:hRule="atLeast"/>
        </w:trPr>
        <w:tc>
          <w:tcPr>
            <w:tcW w:w="1119"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20136</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1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648.83</w:t>
            </w:r>
          </w:p>
        </w:tc>
        <w:tc>
          <w:tcPr>
            <w:tcW w:w="1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648.83</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50" w:hRule="atLeast"/>
        </w:trPr>
        <w:tc>
          <w:tcPr>
            <w:tcW w:w="1119"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2013601</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500.99</w:t>
            </w:r>
          </w:p>
        </w:tc>
        <w:tc>
          <w:tcPr>
            <w:tcW w:w="1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500.99</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70" w:hRule="atLeast"/>
        </w:trPr>
        <w:tc>
          <w:tcPr>
            <w:tcW w:w="1119"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2013650</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147.84</w:t>
            </w:r>
          </w:p>
        </w:tc>
        <w:tc>
          <w:tcPr>
            <w:tcW w:w="1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147.84</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50" w:hRule="atLeast"/>
        </w:trPr>
        <w:tc>
          <w:tcPr>
            <w:tcW w:w="1119"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208</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91.07</w:t>
            </w:r>
          </w:p>
        </w:tc>
        <w:tc>
          <w:tcPr>
            <w:tcW w:w="1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91.07</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70" w:hRule="atLeast"/>
        </w:trPr>
        <w:tc>
          <w:tcPr>
            <w:tcW w:w="1119"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20805</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90.24</w:t>
            </w:r>
          </w:p>
        </w:tc>
        <w:tc>
          <w:tcPr>
            <w:tcW w:w="1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90.24</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70" w:hRule="atLeast"/>
        </w:trPr>
        <w:tc>
          <w:tcPr>
            <w:tcW w:w="1119"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2080501</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55.09</w:t>
            </w:r>
          </w:p>
        </w:tc>
        <w:tc>
          <w:tcPr>
            <w:tcW w:w="1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55.09</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70" w:hRule="atLeast"/>
        </w:trPr>
        <w:tc>
          <w:tcPr>
            <w:tcW w:w="1119" w:type="dxa"/>
            <w:gridSpan w:val="3"/>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2080505</w:t>
            </w:r>
          </w:p>
        </w:tc>
        <w:tc>
          <w:tcPr>
            <w:tcW w:w="3922"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28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35.15</w:t>
            </w:r>
          </w:p>
        </w:tc>
        <w:tc>
          <w:tcPr>
            <w:tcW w:w="12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35.15</w:t>
            </w:r>
          </w:p>
        </w:tc>
        <w:tc>
          <w:tcPr>
            <w:tcW w:w="126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70" w:hRule="atLeast"/>
        </w:trPr>
        <w:tc>
          <w:tcPr>
            <w:tcW w:w="1119" w:type="dxa"/>
            <w:gridSpan w:val="3"/>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20820</w:t>
            </w:r>
          </w:p>
        </w:tc>
        <w:tc>
          <w:tcPr>
            <w:tcW w:w="3922"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临时救助</w:t>
            </w:r>
          </w:p>
        </w:tc>
        <w:tc>
          <w:tcPr>
            <w:tcW w:w="128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0.83</w:t>
            </w:r>
          </w:p>
        </w:tc>
        <w:tc>
          <w:tcPr>
            <w:tcW w:w="12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0.83</w:t>
            </w:r>
          </w:p>
        </w:tc>
        <w:tc>
          <w:tcPr>
            <w:tcW w:w="126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70" w:hRule="atLeast"/>
        </w:trPr>
        <w:tc>
          <w:tcPr>
            <w:tcW w:w="1119" w:type="dxa"/>
            <w:gridSpan w:val="3"/>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2082001</w:t>
            </w:r>
          </w:p>
        </w:tc>
        <w:tc>
          <w:tcPr>
            <w:tcW w:w="3922"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128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0.83</w:t>
            </w:r>
          </w:p>
        </w:tc>
        <w:tc>
          <w:tcPr>
            <w:tcW w:w="12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0.83</w:t>
            </w:r>
          </w:p>
        </w:tc>
        <w:tc>
          <w:tcPr>
            <w:tcW w:w="126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50" w:hRule="atLeast"/>
        </w:trPr>
        <w:tc>
          <w:tcPr>
            <w:tcW w:w="1119" w:type="dxa"/>
            <w:gridSpan w:val="3"/>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210</w:t>
            </w:r>
          </w:p>
        </w:tc>
        <w:tc>
          <w:tcPr>
            <w:tcW w:w="3922"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卫生健康支出</w:t>
            </w:r>
          </w:p>
        </w:tc>
        <w:tc>
          <w:tcPr>
            <w:tcW w:w="128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34.78</w:t>
            </w:r>
          </w:p>
        </w:tc>
        <w:tc>
          <w:tcPr>
            <w:tcW w:w="12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34.78</w:t>
            </w:r>
          </w:p>
        </w:tc>
        <w:tc>
          <w:tcPr>
            <w:tcW w:w="126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50" w:hRule="atLeast"/>
        </w:trPr>
        <w:tc>
          <w:tcPr>
            <w:tcW w:w="1119" w:type="dxa"/>
            <w:gridSpan w:val="3"/>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21011</w:t>
            </w:r>
          </w:p>
        </w:tc>
        <w:tc>
          <w:tcPr>
            <w:tcW w:w="3922"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行政事业单位医疗</w:t>
            </w:r>
          </w:p>
        </w:tc>
        <w:tc>
          <w:tcPr>
            <w:tcW w:w="128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34.78</w:t>
            </w:r>
          </w:p>
        </w:tc>
        <w:tc>
          <w:tcPr>
            <w:tcW w:w="12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34.78</w:t>
            </w:r>
          </w:p>
        </w:tc>
        <w:tc>
          <w:tcPr>
            <w:tcW w:w="126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450" w:hRule="atLeast"/>
        </w:trPr>
        <w:tc>
          <w:tcPr>
            <w:tcW w:w="1119" w:type="dxa"/>
            <w:gridSpan w:val="3"/>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2101101</w:t>
            </w:r>
          </w:p>
        </w:tc>
        <w:tc>
          <w:tcPr>
            <w:tcW w:w="3922"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28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13.67</w:t>
            </w:r>
          </w:p>
        </w:tc>
        <w:tc>
          <w:tcPr>
            <w:tcW w:w="12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13.67</w:t>
            </w:r>
          </w:p>
        </w:tc>
        <w:tc>
          <w:tcPr>
            <w:tcW w:w="126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43" w:type="dxa"/>
          <w:trHeight w:val="857" w:hRule="atLeast"/>
        </w:trPr>
        <w:tc>
          <w:tcPr>
            <w:tcW w:w="1119" w:type="dxa"/>
            <w:gridSpan w:val="3"/>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2101102</w:t>
            </w:r>
          </w:p>
        </w:tc>
        <w:tc>
          <w:tcPr>
            <w:tcW w:w="3922"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事业单位医疗</w:t>
            </w:r>
          </w:p>
        </w:tc>
        <w:tc>
          <w:tcPr>
            <w:tcW w:w="128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4.64</w:t>
            </w:r>
          </w:p>
        </w:tc>
        <w:tc>
          <w:tcPr>
            <w:tcW w:w="12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4.64</w:t>
            </w:r>
          </w:p>
        </w:tc>
        <w:tc>
          <w:tcPr>
            <w:tcW w:w="126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143" w:type="dxa"/>
          <w:trHeight w:val="562" w:hRule="atLeast"/>
        </w:trPr>
        <w:tc>
          <w:tcPr>
            <w:tcW w:w="1119" w:type="dxa"/>
            <w:gridSpan w:val="3"/>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2"/>
                <w:szCs w:val="22"/>
                <w:u w:val="none"/>
                <w:lang w:val="en-US" w:eastAsia="zh-CN" w:bidi="ar"/>
              </w:rPr>
              <w:t>2101103</w:t>
            </w:r>
          </w:p>
        </w:tc>
        <w:tc>
          <w:tcPr>
            <w:tcW w:w="3922"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28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16.47</w:t>
            </w:r>
          </w:p>
        </w:tc>
        <w:tc>
          <w:tcPr>
            <w:tcW w:w="12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16.47</w:t>
            </w:r>
          </w:p>
        </w:tc>
        <w:tc>
          <w:tcPr>
            <w:tcW w:w="126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2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0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33" w:type="dxa"/>
          <w:trHeight w:val="630" w:hRule="atLeast"/>
        </w:trPr>
        <w:tc>
          <w:tcPr>
            <w:tcW w:w="13988" w:type="dxa"/>
            <w:gridSpan w:val="17"/>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注：本表反映部门本年度各项收出情况。本表金额转换为万元时，因四舍五入可能存在尾差。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20"/>
        <w:gridCol w:w="63"/>
        <w:gridCol w:w="27"/>
        <w:gridCol w:w="2960"/>
        <w:gridCol w:w="163"/>
        <w:gridCol w:w="1587"/>
        <w:gridCol w:w="215"/>
        <w:gridCol w:w="1432"/>
        <w:gridCol w:w="369"/>
        <w:gridCol w:w="1322"/>
        <w:gridCol w:w="1647"/>
        <w:gridCol w:w="634"/>
        <w:gridCol w:w="1087"/>
        <w:gridCol w:w="1362"/>
      </w:tblGrid>
      <w:tr>
        <w:tblPrEx>
          <w:tblCellMar>
            <w:top w:w="0" w:type="dxa"/>
            <w:left w:w="0" w:type="dxa"/>
            <w:bottom w:w="0" w:type="dxa"/>
            <w:right w:w="0" w:type="dxa"/>
          </w:tblCellMar>
        </w:tblPrEx>
        <w:trPr>
          <w:trHeight w:val="435" w:hRule="atLeast"/>
        </w:trPr>
        <w:tc>
          <w:tcPr>
            <w:tcW w:w="13988" w:type="dxa"/>
            <w:gridSpan w:val="14"/>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支出决算表</w:t>
            </w:r>
          </w:p>
        </w:tc>
      </w:tr>
      <w:tr>
        <w:tblPrEx>
          <w:tblCellMar>
            <w:top w:w="0" w:type="dxa"/>
            <w:left w:w="0" w:type="dxa"/>
            <w:bottom w:w="0" w:type="dxa"/>
            <w:right w:w="0" w:type="dxa"/>
          </w:tblCellMar>
        </w:tblPrEx>
        <w:trPr>
          <w:trHeight w:val="341" w:hRule="atLeast"/>
        </w:trPr>
        <w:tc>
          <w:tcPr>
            <w:tcW w:w="112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6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1"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2"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81"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49"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300" w:hRule="atLeast"/>
        </w:trPr>
        <w:tc>
          <w:tcPr>
            <w:tcW w:w="4170" w:type="dxa"/>
            <w:gridSpan w:val="4"/>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部门：许昌市信访局</w:t>
            </w:r>
          </w:p>
        </w:tc>
        <w:tc>
          <w:tcPr>
            <w:tcW w:w="163"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1"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2"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81"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49"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450" w:hRule="atLeast"/>
        </w:trPr>
        <w:tc>
          <w:tcPr>
            <w:tcW w:w="4170"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7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64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9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647"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72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36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98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7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7"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8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7"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4170" w:type="dxa"/>
            <w:gridSpan w:val="4"/>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2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2"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450" w:hRule="atLeast"/>
        </w:trPr>
        <w:tc>
          <w:tcPr>
            <w:tcW w:w="4170" w:type="dxa"/>
            <w:gridSpan w:val="4"/>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1,206.99</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806.83</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400.16</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一般公共服务支出</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1,076.12</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680.79</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395.33</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20103</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395.33</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395.33</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2010308</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信访事务</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395.33</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395.33</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20129</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群众团体事务</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3.13</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3.13</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2012906</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3.13</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3.13</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20136</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677.66</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677.66</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2013601</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524.62</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524.62</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2013650</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153.05</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153.05</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社会保障和就业支出</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95.72</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90.89</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4.83</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20805</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90.89</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90.89</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2080501</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55.74</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55.74</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2080505</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35.15</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35.15</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20820</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临时救助</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4.83</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4.83</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2082001</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4.83</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4.83</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210</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卫生健康支出</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35.15</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35.15</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21011</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行政事业单位医疗</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35.15</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35.15</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2101101</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7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13.67</w:t>
            </w:r>
          </w:p>
        </w:tc>
        <w:tc>
          <w:tcPr>
            <w:tcW w:w="1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13.67</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2"/>
                <w:szCs w:val="22"/>
                <w:u w:val="none"/>
                <w:lang w:val="en-US" w:eastAsia="zh-CN" w:bidi="ar"/>
              </w:rPr>
              <w:t>2101102</w:t>
            </w:r>
          </w:p>
        </w:tc>
        <w:tc>
          <w:tcPr>
            <w:tcW w:w="2987"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7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4.64</w:t>
            </w:r>
          </w:p>
        </w:tc>
        <w:tc>
          <w:tcPr>
            <w:tcW w:w="164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4.64</w:t>
            </w:r>
          </w:p>
        </w:tc>
        <w:tc>
          <w:tcPr>
            <w:tcW w:w="169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2100103</w:t>
            </w:r>
          </w:p>
        </w:tc>
        <w:tc>
          <w:tcPr>
            <w:tcW w:w="2987"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7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16.85</w:t>
            </w:r>
          </w:p>
        </w:tc>
        <w:tc>
          <w:tcPr>
            <w:tcW w:w="164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16.85</w:t>
            </w:r>
          </w:p>
        </w:tc>
        <w:tc>
          <w:tcPr>
            <w:tcW w:w="169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64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36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30"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17"/>
        <w:gridCol w:w="1297"/>
        <w:gridCol w:w="1210"/>
        <w:gridCol w:w="2596"/>
        <w:gridCol w:w="993"/>
        <w:gridCol w:w="567"/>
        <w:gridCol w:w="1275"/>
        <w:gridCol w:w="617"/>
        <w:gridCol w:w="943"/>
        <w:gridCol w:w="1058"/>
      </w:tblGrid>
      <w:tr>
        <w:tblPrEx>
          <w:tblCellMar>
            <w:top w:w="0" w:type="dxa"/>
            <w:left w:w="0" w:type="dxa"/>
            <w:bottom w:w="0" w:type="dxa"/>
            <w:right w:w="0" w:type="dxa"/>
          </w:tblCellMar>
        </w:tblPrEx>
        <w:trPr>
          <w:wBefore w:w="0" w:type="dxa"/>
          <w:wAfter w:w="0" w:type="dxa"/>
          <w:trHeight w:val="360" w:hRule="atLeast"/>
        </w:trPr>
        <w:tc>
          <w:tcPr>
            <w:tcW w:w="12915"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wBefore w:w="0" w:type="dxa"/>
          <w:wAfter w:w="0" w:type="dxa"/>
          <w:trHeight w:val="199" w:hRule="atLeast"/>
        </w:trPr>
        <w:tc>
          <w:tcPr>
            <w:tcW w:w="341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1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2" w:type="dxa"/>
            <w:gridSpan w:val="2"/>
            <w:tcBorders>
              <w:top w:val="nil"/>
              <w:left w:val="nil"/>
              <w:bottom w:val="nil"/>
              <w:right w:val="nil"/>
            </w:tcBorders>
            <w:shd w:val="clear" w:color="auto" w:fill="FFFFFF"/>
            <w:noWrap w:val="0"/>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943"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公开04表</w:t>
            </w:r>
          </w:p>
        </w:tc>
      </w:tr>
      <w:tr>
        <w:tblPrEx>
          <w:tblCellMar>
            <w:top w:w="0" w:type="dxa"/>
            <w:left w:w="0" w:type="dxa"/>
            <w:bottom w:w="0" w:type="dxa"/>
            <w:right w:w="0" w:type="dxa"/>
          </w:tblCellMar>
        </w:tblPrEx>
        <w:trPr>
          <w:wBefore w:w="0" w:type="dxa"/>
          <w:wAfter w:w="0" w:type="dxa"/>
          <w:trHeight w:val="300" w:hRule="atLeast"/>
        </w:trPr>
        <w:tc>
          <w:tcPr>
            <w:tcW w:w="3417" w:type="dxa"/>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许昌市信访局</w:t>
            </w:r>
          </w:p>
        </w:tc>
        <w:tc>
          <w:tcPr>
            <w:tcW w:w="129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1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01"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wBefore w:w="0" w:type="dxa"/>
          <w:wAfter w:w="0" w:type="dxa"/>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wBefore w:w="0" w:type="dxa"/>
          <w:wAfter w:w="0" w:type="dxa"/>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sz w:val="20"/>
                <w:szCs w:val="20"/>
                <w:highlight w:val="none"/>
              </w:rPr>
              <w:t>国有资本经营预算财政拨款</w:t>
            </w: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5</w:t>
            </w:r>
          </w:p>
        </w:tc>
      </w:tr>
      <w:tr>
        <w:tblPrEx>
          <w:tblCellMar>
            <w:top w:w="0" w:type="dxa"/>
            <w:left w:w="0" w:type="dxa"/>
            <w:bottom w:w="0" w:type="dxa"/>
            <w:right w:w="0" w:type="dxa"/>
          </w:tblCellMar>
        </w:tblPrEx>
        <w:trPr>
          <w:wBefore w:w="0" w:type="dxa"/>
          <w:wAfter w:w="0" w:type="dxa"/>
          <w:trHeight w:val="36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eastAsia="宋体" w:cs="宋体"/>
                <w:color w:val="000000"/>
                <w:sz w:val="20"/>
                <w:szCs w:val="20"/>
                <w:highlight w:val="none"/>
                <w:lang w:val="en-US" w:eastAsia="zh-CN"/>
              </w:rPr>
              <w:t>1084.04</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w:t>
            </w:r>
          </w:p>
        </w:tc>
        <w:tc>
          <w:tcPr>
            <w:tcW w:w="5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1076.12</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w:t>
            </w:r>
          </w:p>
        </w:tc>
        <w:tc>
          <w:tcPr>
            <w:tcW w:w="5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w:t>
            </w:r>
          </w:p>
        </w:tc>
        <w:tc>
          <w:tcPr>
            <w:tcW w:w="5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46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w:t>
            </w:r>
          </w:p>
        </w:tc>
        <w:tc>
          <w:tcPr>
            <w:tcW w:w="5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w:t>
            </w:r>
          </w:p>
        </w:tc>
        <w:tc>
          <w:tcPr>
            <w:tcW w:w="5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w:t>
            </w:r>
          </w:p>
        </w:tc>
        <w:tc>
          <w:tcPr>
            <w:tcW w:w="5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七、文化旅游体育与传媒支出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w:t>
            </w:r>
          </w:p>
        </w:tc>
        <w:tc>
          <w:tcPr>
            <w:tcW w:w="5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eastAsia="宋体" w:cs="宋体"/>
                <w:sz w:val="20"/>
                <w:szCs w:val="20"/>
                <w:lang w:val="en-US" w:eastAsia="zh-CN"/>
              </w:rPr>
              <w:t>八、社会保障和就业</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w:t>
            </w:r>
          </w:p>
        </w:tc>
        <w:tc>
          <w:tcPr>
            <w:tcW w:w="567"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95.72</w:t>
            </w: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九、卫生健康支出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23</w:t>
            </w:r>
          </w:p>
        </w:tc>
        <w:tc>
          <w:tcPr>
            <w:tcW w:w="567"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35.15</w:t>
            </w: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rPr>
              <w:t>1084.0</w:t>
            </w:r>
            <w:r>
              <w:rPr>
                <w:rFonts w:hint="eastAsia" w:ascii="宋体" w:hAnsi="宋体" w:cs="宋体"/>
                <w:color w:val="000000"/>
                <w:sz w:val="20"/>
                <w:szCs w:val="20"/>
                <w:highlight w:val="none"/>
                <w:lang w:val="en-US" w:eastAsia="zh-CN"/>
              </w:rPr>
              <w:t>4</w:t>
            </w:r>
          </w:p>
        </w:tc>
        <w:tc>
          <w:tcPr>
            <w:tcW w:w="2596"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24</w:t>
            </w:r>
          </w:p>
        </w:tc>
        <w:tc>
          <w:tcPr>
            <w:tcW w:w="567"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1,206.99</w:t>
            </w: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b/>
                <w:color w:val="000000"/>
                <w:sz w:val="20"/>
                <w:szCs w:val="20"/>
                <w:highlight w:val="none"/>
              </w:rPr>
            </w:pPr>
            <w:r>
              <w:rPr>
                <w:rFonts w:hint="eastAsia" w:ascii="宋体" w:hAnsi="宋体" w:cs="宋体"/>
                <w:color w:val="000000"/>
                <w:sz w:val="20"/>
                <w:szCs w:val="20"/>
                <w:highlight w:val="none"/>
                <w:lang w:val="en-US" w:eastAsia="zh-CN"/>
              </w:rPr>
              <w:t>0.00</w:t>
            </w: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b/>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122.95</w:t>
            </w:r>
          </w:p>
        </w:tc>
        <w:tc>
          <w:tcPr>
            <w:tcW w:w="2596"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5</w:t>
            </w:r>
          </w:p>
        </w:tc>
        <w:tc>
          <w:tcPr>
            <w:tcW w:w="567"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122.95</w:t>
            </w:r>
          </w:p>
        </w:tc>
        <w:tc>
          <w:tcPr>
            <w:tcW w:w="2596"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6</w:t>
            </w:r>
          </w:p>
        </w:tc>
        <w:tc>
          <w:tcPr>
            <w:tcW w:w="567"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c>
          <w:tcPr>
            <w:tcW w:w="1210"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7</w:t>
            </w:r>
          </w:p>
        </w:tc>
        <w:tc>
          <w:tcPr>
            <w:tcW w:w="567"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58" w:type="dxa"/>
            <w:tcBorders>
              <w:top w:val="single" w:color="000000" w:sz="4" w:space="0"/>
              <w:left w:val="nil"/>
              <w:bottom w:val="nil"/>
              <w:right w:val="single" w:color="000000" w:sz="8" w:space="0"/>
            </w:tcBorders>
            <w:noWrap w:val="0"/>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w:t>
            </w:r>
          </w:p>
        </w:tc>
        <w:tc>
          <w:tcPr>
            <w:tcW w:w="1210"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8</w:t>
            </w:r>
          </w:p>
        </w:tc>
        <w:tc>
          <w:tcPr>
            <w:tcW w:w="567"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58" w:type="dxa"/>
            <w:tcBorders>
              <w:top w:val="single" w:color="000000" w:sz="4" w:space="0"/>
              <w:left w:val="nil"/>
              <w:bottom w:val="nil"/>
              <w:right w:val="single" w:color="000000" w:sz="8" w:space="0"/>
            </w:tcBorders>
            <w:noWrap w:val="0"/>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wBefore w:w="0" w:type="dxa"/>
          <w:wAfter w:w="0" w:type="dxa"/>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tabs>
                <w:tab w:val="left" w:pos="428"/>
              </w:tabs>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ab/>
            </w:r>
            <w:r>
              <w:rPr>
                <w:rFonts w:hint="eastAsia" w:ascii="宋体" w:hAnsi="宋体" w:cs="宋体"/>
                <w:color w:val="000000"/>
                <w:sz w:val="20"/>
                <w:szCs w:val="20"/>
                <w:highlight w:val="none"/>
                <w:lang w:eastAsia="zh-CN"/>
              </w:rPr>
              <w:t>1206.99</w:t>
            </w:r>
          </w:p>
        </w:tc>
        <w:tc>
          <w:tcPr>
            <w:tcW w:w="2596" w:type="dxa"/>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9</w:t>
            </w:r>
          </w:p>
        </w:tc>
        <w:tc>
          <w:tcPr>
            <w:tcW w:w="567"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1206.99</w:t>
            </w:r>
          </w:p>
        </w:tc>
        <w:tc>
          <w:tcPr>
            <w:tcW w:w="1560" w:type="dxa"/>
            <w:gridSpan w:val="2"/>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cs="宋体"/>
                <w:b/>
                <w:color w:val="000000"/>
                <w:sz w:val="20"/>
                <w:szCs w:val="20"/>
                <w:highlight w:val="none"/>
              </w:rPr>
            </w:pPr>
            <w:r>
              <w:rPr>
                <w:rFonts w:hint="eastAsia" w:ascii="宋体" w:hAnsi="宋体" w:cs="宋体"/>
                <w:color w:val="000000"/>
                <w:sz w:val="20"/>
                <w:szCs w:val="20"/>
                <w:highlight w:val="none"/>
                <w:lang w:val="en-US" w:eastAsia="zh-CN"/>
              </w:rPr>
              <w:t>0.00</w:t>
            </w:r>
          </w:p>
        </w:tc>
        <w:tc>
          <w:tcPr>
            <w:tcW w:w="1058" w:type="dxa"/>
            <w:tcBorders>
              <w:top w:val="single" w:color="000000" w:sz="4" w:space="0"/>
              <w:left w:val="nil"/>
              <w:bottom w:val="single" w:color="000000" w:sz="8" w:space="0"/>
              <w:right w:val="single" w:color="000000" w:sz="8" w:space="0"/>
            </w:tcBorders>
            <w:noWrap w:val="0"/>
            <w:vAlign w:val="top"/>
          </w:tcPr>
          <w:p>
            <w:pPr>
              <w:jc w:val="center"/>
              <w:rPr>
                <w:rFonts w:hint="eastAsia" w:ascii="宋体" w:hAnsi="宋体" w:cs="宋体"/>
                <w:b/>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2800"/>
        <w:gridCol w:w="3353"/>
        <w:gridCol w:w="3382"/>
        <w:gridCol w:w="3039"/>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0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5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382"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039"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w:t>
            </w:r>
            <w:r>
              <w:rPr>
                <w:rStyle w:val="13"/>
                <w:sz w:val="20"/>
                <w:szCs w:val="20"/>
                <w:lang w:val="en-US" w:eastAsia="zh-CN" w:bidi="ar"/>
              </w:rPr>
              <w:t>5表</w:t>
            </w:r>
          </w:p>
        </w:tc>
      </w:tr>
      <w:tr>
        <w:tblPrEx>
          <w:tblCellMar>
            <w:top w:w="0" w:type="dxa"/>
            <w:left w:w="0" w:type="dxa"/>
            <w:bottom w:w="0" w:type="dxa"/>
            <w:right w:w="0" w:type="dxa"/>
          </w:tblCellMar>
        </w:tblPrEx>
        <w:trPr>
          <w:trHeight w:val="300" w:hRule="atLeast"/>
        </w:trPr>
        <w:tc>
          <w:tcPr>
            <w:tcW w:w="4214" w:type="dxa"/>
            <w:gridSpan w:val="3"/>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部门：许昌市信访局</w:t>
            </w:r>
          </w:p>
        </w:tc>
        <w:tc>
          <w:tcPr>
            <w:tcW w:w="335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382"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039"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405" w:hRule="atLeast"/>
        </w:trPr>
        <w:tc>
          <w:tcPr>
            <w:tcW w:w="421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 </w:t>
            </w:r>
            <w:r>
              <w:rPr>
                <w:rStyle w:val="15"/>
                <w:sz w:val="20"/>
                <w:szCs w:val="20"/>
                <w:lang w:val="en-US" w:eastAsia="zh-CN" w:bidi="ar"/>
              </w:rPr>
              <w:t xml:space="preserve">   </w:t>
            </w:r>
            <w:r>
              <w:rPr>
                <w:rStyle w:val="16"/>
                <w:sz w:val="20"/>
                <w:szCs w:val="20"/>
                <w:lang w:val="en-US" w:eastAsia="zh-CN" w:bidi="ar"/>
              </w:rPr>
              <w:t>目</w:t>
            </w:r>
          </w:p>
        </w:tc>
        <w:tc>
          <w:tcPr>
            <w:tcW w:w="9774"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8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35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3382"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3039"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5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82"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9"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5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82"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9"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42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03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50" w:hRule="atLeast"/>
        </w:trPr>
        <w:tc>
          <w:tcPr>
            <w:tcW w:w="42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1,206.99</w:t>
            </w:r>
          </w:p>
        </w:tc>
        <w:tc>
          <w:tcPr>
            <w:tcW w:w="3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806.83</w:t>
            </w:r>
          </w:p>
        </w:tc>
        <w:tc>
          <w:tcPr>
            <w:tcW w:w="303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lang w:val="en-US" w:eastAsia="zh-CN"/>
              </w:rPr>
              <w:t>400.16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w:t>
            </w:r>
          </w:p>
        </w:tc>
        <w:tc>
          <w:tcPr>
            <w:tcW w:w="2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一般公共服务支出</w:t>
            </w:r>
          </w:p>
        </w:tc>
        <w:tc>
          <w:tcPr>
            <w:tcW w:w="3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2"/>
                <w:szCs w:val="22"/>
                <w:u w:val="none"/>
                <w:lang w:val="en-US" w:eastAsia="zh-CN" w:bidi="ar"/>
              </w:rPr>
              <w:t>1,076.12</w:t>
            </w:r>
          </w:p>
        </w:tc>
        <w:tc>
          <w:tcPr>
            <w:tcW w:w="3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680.79</w:t>
            </w:r>
          </w:p>
        </w:tc>
        <w:tc>
          <w:tcPr>
            <w:tcW w:w="303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395.33</w:t>
            </w:r>
          </w:p>
        </w:tc>
      </w:tr>
      <w:tr>
        <w:tblPrEx>
          <w:tblCellMar>
            <w:top w:w="0" w:type="dxa"/>
            <w:left w:w="0" w:type="dxa"/>
            <w:bottom w:w="0" w:type="dxa"/>
            <w:right w:w="0" w:type="dxa"/>
          </w:tblCellMar>
        </w:tblPrEx>
        <w:trPr>
          <w:trHeight w:val="9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20103</w:t>
            </w:r>
          </w:p>
        </w:tc>
        <w:tc>
          <w:tcPr>
            <w:tcW w:w="2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3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2"/>
                <w:szCs w:val="22"/>
                <w:u w:val="none"/>
                <w:lang w:val="en-US" w:eastAsia="zh-CN" w:bidi="ar"/>
              </w:rPr>
              <w:t>395.33</w:t>
            </w:r>
          </w:p>
        </w:tc>
        <w:tc>
          <w:tcPr>
            <w:tcW w:w="3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0.00</w:t>
            </w:r>
          </w:p>
        </w:tc>
        <w:tc>
          <w:tcPr>
            <w:tcW w:w="303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395.33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2010308</w:t>
            </w:r>
          </w:p>
        </w:tc>
        <w:tc>
          <w:tcPr>
            <w:tcW w:w="2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信访事务</w:t>
            </w:r>
          </w:p>
        </w:tc>
        <w:tc>
          <w:tcPr>
            <w:tcW w:w="3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2"/>
                <w:szCs w:val="22"/>
                <w:u w:val="none"/>
                <w:lang w:val="en-US" w:eastAsia="zh-CN" w:bidi="ar"/>
              </w:rPr>
              <w:t>395.33</w:t>
            </w:r>
          </w:p>
        </w:tc>
        <w:tc>
          <w:tcPr>
            <w:tcW w:w="3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0.00</w:t>
            </w:r>
          </w:p>
        </w:tc>
        <w:tc>
          <w:tcPr>
            <w:tcW w:w="303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395.33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20129</w:t>
            </w:r>
          </w:p>
        </w:tc>
        <w:tc>
          <w:tcPr>
            <w:tcW w:w="2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群众团体事务</w:t>
            </w:r>
          </w:p>
        </w:tc>
        <w:tc>
          <w:tcPr>
            <w:tcW w:w="3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2"/>
                <w:szCs w:val="22"/>
                <w:u w:val="none"/>
                <w:lang w:val="en-US" w:eastAsia="zh-CN" w:bidi="ar"/>
              </w:rPr>
              <w:t>3.13</w:t>
            </w:r>
          </w:p>
        </w:tc>
        <w:tc>
          <w:tcPr>
            <w:tcW w:w="3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3.13</w:t>
            </w:r>
          </w:p>
        </w:tc>
        <w:tc>
          <w:tcPr>
            <w:tcW w:w="303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2012906</w:t>
            </w:r>
          </w:p>
        </w:tc>
        <w:tc>
          <w:tcPr>
            <w:tcW w:w="2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3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2"/>
                <w:szCs w:val="22"/>
                <w:u w:val="none"/>
                <w:lang w:val="en-US" w:eastAsia="zh-CN" w:bidi="ar"/>
              </w:rPr>
              <w:t>3.13</w:t>
            </w:r>
          </w:p>
        </w:tc>
        <w:tc>
          <w:tcPr>
            <w:tcW w:w="3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3.13</w:t>
            </w:r>
          </w:p>
        </w:tc>
        <w:tc>
          <w:tcPr>
            <w:tcW w:w="303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20136</w:t>
            </w:r>
          </w:p>
        </w:tc>
        <w:tc>
          <w:tcPr>
            <w:tcW w:w="2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3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677.66</w:t>
            </w:r>
          </w:p>
        </w:tc>
        <w:tc>
          <w:tcPr>
            <w:tcW w:w="3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677.66</w:t>
            </w:r>
          </w:p>
        </w:tc>
        <w:tc>
          <w:tcPr>
            <w:tcW w:w="303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2013601</w:t>
            </w:r>
          </w:p>
        </w:tc>
        <w:tc>
          <w:tcPr>
            <w:tcW w:w="28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335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524.61</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524.61</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2013650</w:t>
            </w:r>
          </w:p>
        </w:tc>
        <w:tc>
          <w:tcPr>
            <w:tcW w:w="28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35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153.05</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153.05</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w:t>
            </w:r>
          </w:p>
        </w:tc>
        <w:tc>
          <w:tcPr>
            <w:tcW w:w="2800" w:type="dxa"/>
            <w:tcBorders>
              <w:top w:val="single" w:color="auto" w:sz="4" w:space="0"/>
              <w:left w:val="single" w:color="auto" w:sz="4" w:space="0"/>
              <w:bottom w:val="single" w:color="000000" w:sz="8"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社会保障和就业支出</w:t>
            </w:r>
          </w:p>
        </w:tc>
        <w:tc>
          <w:tcPr>
            <w:tcW w:w="3353" w:type="dxa"/>
            <w:tcBorders>
              <w:top w:val="single" w:color="000000" w:sz="4" w:space="0"/>
              <w:left w:val="single" w:color="auto"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95.72</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90.89</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w:t>
            </w:r>
          </w:p>
        </w:tc>
        <w:tc>
          <w:tcPr>
            <w:tcW w:w="2800"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行政事业单位养老支出</w:t>
            </w:r>
          </w:p>
        </w:tc>
        <w:tc>
          <w:tcPr>
            <w:tcW w:w="3353" w:type="dxa"/>
            <w:tcBorders>
              <w:top w:val="single" w:color="000000" w:sz="4" w:space="0"/>
              <w:left w:val="single" w:color="auto"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90.89</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90.89</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2080501</w:t>
            </w:r>
          </w:p>
        </w:tc>
        <w:tc>
          <w:tcPr>
            <w:tcW w:w="2800" w:type="dxa"/>
            <w:tcBorders>
              <w:top w:val="single" w:color="auto"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335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55.74</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55.74</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2080505</w:t>
            </w:r>
          </w:p>
        </w:tc>
        <w:tc>
          <w:tcPr>
            <w:tcW w:w="28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335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35.15</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35.15</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20820</w:t>
            </w:r>
          </w:p>
        </w:tc>
        <w:tc>
          <w:tcPr>
            <w:tcW w:w="28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临时救助</w:t>
            </w:r>
          </w:p>
        </w:tc>
        <w:tc>
          <w:tcPr>
            <w:tcW w:w="335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4.83</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2082001</w:t>
            </w:r>
          </w:p>
        </w:tc>
        <w:tc>
          <w:tcPr>
            <w:tcW w:w="28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临时救助支出</w:t>
            </w:r>
          </w:p>
        </w:tc>
        <w:tc>
          <w:tcPr>
            <w:tcW w:w="335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4.83</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28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335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35.15</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35.15</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w:t>
            </w:r>
          </w:p>
        </w:tc>
        <w:tc>
          <w:tcPr>
            <w:tcW w:w="28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行政事业单位医疗</w:t>
            </w:r>
          </w:p>
        </w:tc>
        <w:tc>
          <w:tcPr>
            <w:tcW w:w="335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35.15</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35.15</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2101101</w:t>
            </w:r>
          </w:p>
        </w:tc>
        <w:tc>
          <w:tcPr>
            <w:tcW w:w="28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行政单位医疗</w:t>
            </w:r>
          </w:p>
        </w:tc>
        <w:tc>
          <w:tcPr>
            <w:tcW w:w="335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13.67</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13.67</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2101102</w:t>
            </w:r>
          </w:p>
        </w:tc>
        <w:tc>
          <w:tcPr>
            <w:tcW w:w="28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事业单位医疗</w:t>
            </w:r>
          </w:p>
        </w:tc>
        <w:tc>
          <w:tcPr>
            <w:tcW w:w="335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4.64</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4.64</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2101103</w:t>
            </w:r>
          </w:p>
        </w:tc>
        <w:tc>
          <w:tcPr>
            <w:tcW w:w="28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335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16.84</w:t>
            </w:r>
          </w:p>
        </w:tc>
        <w:tc>
          <w:tcPr>
            <w:tcW w:w="338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16.84</w:t>
            </w:r>
          </w:p>
        </w:tc>
        <w:tc>
          <w:tcPr>
            <w:tcW w:w="303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w:t>
            </w: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注：本表反映部门本年度一般公共预算财政拨款支出情况。本表金额转换为万元时，因四舍五入可能存</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wBefore w:w="0" w:type="dxa"/>
          <w:wAfter w:w="0" w:type="dxa"/>
          <w:trHeight w:val="435" w:hRule="atLeast"/>
        </w:trPr>
        <w:tc>
          <w:tcPr>
            <w:tcW w:w="13988"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wBefore w:w="0" w:type="dxa"/>
          <w:wAfter w:w="0" w:type="dxa"/>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wBefore w:w="0" w:type="dxa"/>
          <w:wAfter w:w="0" w:type="dxa"/>
          <w:trHeight w:val="300" w:hRule="atLeast"/>
        </w:trPr>
        <w:tc>
          <w:tcPr>
            <w:tcW w:w="3793" w:type="dxa"/>
            <w:gridSpan w:val="2"/>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bidi="ar"/>
              </w:rPr>
              <w:t>部门</w:t>
            </w:r>
            <w:r>
              <w:rPr>
                <w:rFonts w:ascii="Arial" w:hAnsi="Arial" w:cs="Arial"/>
                <w:color w:val="000000"/>
                <w:kern w:val="0"/>
                <w:sz w:val="20"/>
                <w:szCs w:val="20"/>
                <w:highlight w:val="none"/>
                <w:lang w:bidi="ar"/>
              </w:rPr>
              <w:t>：</w:t>
            </w:r>
            <w:r>
              <w:rPr>
                <w:rFonts w:hint="eastAsia" w:ascii="Arial" w:hAnsi="Arial" w:cs="Arial"/>
                <w:color w:val="000000"/>
                <w:kern w:val="0"/>
                <w:sz w:val="20"/>
                <w:szCs w:val="20"/>
                <w:highlight w:val="none"/>
                <w:lang w:eastAsia="zh-CN" w:bidi="ar"/>
              </w:rPr>
              <w:t>许昌市信访局</w:t>
            </w:r>
          </w:p>
        </w:tc>
        <w:tc>
          <w:tcPr>
            <w:tcW w:w="938"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4513"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wBefore w:w="0" w:type="dxa"/>
          <w:wAfter w:w="0" w:type="dxa"/>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627.72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116.64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3.09</w:t>
            </w:r>
          </w:p>
        </w:tc>
      </w:tr>
      <w:tr>
        <w:tblPrEx>
          <w:tblCellMar>
            <w:top w:w="0" w:type="dxa"/>
            <w:left w:w="0" w:type="dxa"/>
            <w:bottom w:w="0" w:type="dxa"/>
            <w:right w:w="0" w:type="dxa"/>
          </w:tblCellMar>
        </w:tblPrEx>
        <w:trPr>
          <w:wBefore w:w="0" w:type="dxa"/>
          <w:wAfter w:w="0" w:type="dxa"/>
          <w:trHeight w:val="36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281.9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28.25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0.25</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200.63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0.54</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44.31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19.27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14.47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0.69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37.93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59.38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55.74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23.33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0.58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21.83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0.00</w:t>
            </w:r>
          </w:p>
        </w:tc>
      </w:tr>
      <w:tr>
        <w:tblPrEx>
          <w:tblCellMar>
            <w:top w:w="0" w:type="dxa"/>
            <w:left w:w="0" w:type="dxa"/>
            <w:bottom w:w="0" w:type="dxa"/>
            <w:right w:w="0" w:type="dxa"/>
          </w:tblCellMar>
        </w:tblPrEx>
        <w:trPr>
          <w:wBefore w:w="0" w:type="dxa"/>
          <w:wAfter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wBefore w:w="0" w:type="dxa"/>
          <w:wAfter w:w="0" w:type="dxa"/>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wBefore w:w="0" w:type="dxa"/>
          <w:wAfter w:w="0" w:type="dxa"/>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687.1</w:t>
            </w:r>
          </w:p>
        </w:tc>
        <w:tc>
          <w:tcPr>
            <w:tcW w:w="8319"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119.73</w:t>
            </w:r>
          </w:p>
        </w:tc>
      </w:tr>
      <w:tr>
        <w:tblPrEx>
          <w:tblCellMar>
            <w:top w:w="0" w:type="dxa"/>
            <w:left w:w="0" w:type="dxa"/>
            <w:bottom w:w="0" w:type="dxa"/>
            <w:right w:w="0" w:type="dxa"/>
          </w:tblCellMar>
        </w:tblPrEx>
        <w:trPr>
          <w:wBefore w:w="0" w:type="dxa"/>
          <w:wAfter w:w="0" w:type="dxa"/>
          <w:trHeight w:val="390" w:hRule="atLeast"/>
        </w:trPr>
        <w:tc>
          <w:tcPr>
            <w:tcW w:w="13988"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2300"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许昌市信访局</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7.24</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7.24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7.21</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5.69</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Before w:w="0" w:type="dxa"/>
          <w:wAfter w:w="30" w:type="dxa"/>
          <w:trHeight w:val="600" w:hRule="atLeast"/>
        </w:trPr>
        <w:tc>
          <w:tcPr>
            <w:tcW w:w="13988" w:type="dxa"/>
            <w:gridSpan w:val="15"/>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Before w:w="0" w:type="dxa"/>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wBefore w:w="0" w:type="dxa"/>
          <w:wAfter w:w="0" w:type="dxa"/>
          <w:trHeight w:val="300" w:hRule="atLeast"/>
        </w:trPr>
        <w:tc>
          <w:tcPr>
            <w:tcW w:w="2454"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许昌市信访局</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Before w:w="0" w:type="dxa"/>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Before w:w="0" w:type="dxa"/>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dxa"/>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dxa"/>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Before w:w="0" w:type="dxa"/>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dxa"/>
          <w:wAfter w:w="30" w:type="dxa"/>
          <w:trHeight w:val="471"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dxa"/>
          <w:wAfter w:w="30" w:type="dxa"/>
          <w:trHeight w:val="645"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注：本表反映部门本年度政府性基金预算财政拨款收入、支出及结转和结余情况。</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说明：我部门没有政府性基金收入，也没有使用政府性基金安排的支出，故本表无数据。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1206.99</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541.12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30.95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我市群众来访接待中心改建项目已完成，经费减少。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1084.04</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1084.04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1206.99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806.83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66.85</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400.16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33.15</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1206.99</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541.12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30.95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我市群众来访接待中心改建项目已完成，经费减少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1206.99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428.07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26.18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我市群众来访接待中心改建项目已完成，只有剩余尾款未结，相关经费减少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1206.99</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1076.12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89.16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社会保障和就业（类）支出95.72万元，占7.93%；卫生健康（类）支出35.15万元，占2.91%</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759.64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1206.99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158.89</w:t>
      </w:r>
      <w:r>
        <w:rPr>
          <w:rFonts w:hint="eastAsia" w:ascii="仿宋_GB2312" w:hAnsi="仿宋_GB2312" w:eastAsia="仿宋_GB2312" w:cs="仿宋_GB2312"/>
          <w:sz w:val="32"/>
          <w:szCs w:val="32"/>
          <w:highlight w:val="none"/>
        </w:rPr>
        <w:t>%。其中：</w:t>
      </w:r>
    </w:p>
    <w:p>
      <w:pPr>
        <w:widowControl/>
        <w:tabs>
          <w:tab w:val="left" w:pos="1162"/>
        </w:tabs>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一般公共服务（类）政府办公厅（室）及相关机构事</w:t>
      </w:r>
    </w:p>
    <w:p>
      <w:pPr>
        <w:widowControl/>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务（款）信访事务（项）。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36.97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395.33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1069.33</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今</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乡镇评选，奖励金的发放</w:t>
      </w:r>
      <w:r>
        <w:rPr>
          <w:rFonts w:hint="eastAsia" w:ascii="仿宋_GB2312" w:hAnsi="仿宋_GB2312" w:eastAsia="仿宋_GB2312" w:cs="仿宋_GB2312"/>
          <w:sz w:val="32"/>
          <w:szCs w:val="32"/>
        </w:rPr>
        <w:t>。</w:t>
      </w:r>
    </w:p>
    <w:p>
      <w:pPr>
        <w:widowControl/>
        <w:tabs>
          <w:tab w:val="left" w:pos="1162"/>
        </w:tabs>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一般公共服务（类）群众团体事务（款）工会事务（项）。</w:t>
      </w:r>
    </w:p>
    <w:p>
      <w:pPr>
        <w:widowControl/>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3.13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3.13</w:t>
      </w:r>
      <w:r>
        <w:rPr>
          <w:rFonts w:hint="eastAsia" w:ascii="仿宋_GB2312" w:hAnsi="仿宋_GB2312" w:eastAsia="仿宋_GB2312" w:cs="仿宋_GB2312"/>
          <w:sz w:val="32"/>
          <w:szCs w:val="32"/>
        </w:rPr>
        <w:t>万元，完成年初预算的100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%。决算数与年初预算数不存在差异。</w:t>
      </w:r>
    </w:p>
    <w:p>
      <w:pPr>
        <w:numPr>
          <w:ilvl w:val="0"/>
          <w:numId w:val="0"/>
        </w:numPr>
        <w:spacing w:line="336" w:lineRule="auto"/>
        <w:ind w:firstLine="640" w:firstLineChars="200"/>
        <w:rPr>
          <w:rFonts w:hint="eastAsia" w:ascii="仿宋_GB2312" w:eastAsia="仿宋_GB2312"/>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bCs/>
          <w:sz w:val="32"/>
          <w:szCs w:val="32"/>
        </w:rPr>
        <w:t>一般公共服务（类）其他共产党事务支出（款）行政</w:t>
      </w:r>
      <w:r>
        <w:rPr>
          <w:rFonts w:hint="eastAsia" w:ascii="仿宋_GB2312" w:hAnsi="仿宋_GB2312" w:eastAsia="仿宋_GB2312" w:cs="仿宋_GB2312"/>
          <w:b/>
          <w:bCs/>
          <w:sz w:val="32"/>
          <w:szCs w:val="32"/>
          <w:lang w:eastAsia="zh-CN"/>
        </w:rPr>
        <w:t>运行</w:t>
      </w:r>
      <w:r>
        <w:rPr>
          <w:rFonts w:hint="eastAsia" w:ascii="仿宋_GB2312" w:hAnsi="仿宋_GB2312" w:eastAsia="仿宋_GB2312" w:cs="仿宋_GB2312"/>
          <w:b/>
          <w:bCs/>
          <w:sz w:val="32"/>
          <w:szCs w:val="32"/>
        </w:rPr>
        <w:t>（项）</w:t>
      </w:r>
      <w:r>
        <w:rPr>
          <w:rFonts w:hint="eastAsia" w:ascii="仿宋_GB2312" w:eastAsia="仿宋_GB2312"/>
          <w:b/>
          <w:sz w:val="32"/>
          <w:szCs w:val="32"/>
        </w:rPr>
        <w:t>。</w:t>
      </w:r>
      <w:r>
        <w:rPr>
          <w:rFonts w:hint="eastAsia" w:ascii="仿宋_GB2312" w:eastAsia="仿宋_GB2312"/>
          <w:sz w:val="32"/>
          <w:szCs w:val="32"/>
        </w:rPr>
        <w:t>年初预算为</w:t>
      </w:r>
      <w:r>
        <w:rPr>
          <w:rFonts w:hint="eastAsia" w:ascii="仿宋_GB2312" w:eastAsia="仿宋_GB2312"/>
          <w:sz w:val="32"/>
          <w:szCs w:val="32"/>
          <w:lang w:val="en-US" w:eastAsia="zh-CN"/>
        </w:rPr>
        <w:t>457.13</w:t>
      </w:r>
      <w:r>
        <w:rPr>
          <w:rFonts w:hint="eastAsia" w:ascii="仿宋_GB2312" w:eastAsia="仿宋_GB2312"/>
          <w:sz w:val="32"/>
          <w:szCs w:val="32"/>
        </w:rPr>
        <w:t>万元，支出决算为</w:t>
      </w:r>
      <w:r>
        <w:rPr>
          <w:rFonts w:hint="eastAsia" w:ascii="仿宋_GB2312" w:hAnsi="仿宋_GB2312" w:eastAsia="仿宋_GB2312" w:cs="仿宋_GB2312"/>
          <w:sz w:val="32"/>
          <w:szCs w:val="32"/>
          <w:lang w:val="en-US" w:eastAsia="zh-CN"/>
        </w:rPr>
        <w:t>524.61</w:t>
      </w:r>
      <w:r>
        <w:rPr>
          <w:rFonts w:hint="eastAsia" w:ascii="仿宋_GB2312" w:eastAsia="仿宋_GB2312"/>
          <w:sz w:val="32"/>
          <w:szCs w:val="32"/>
        </w:rPr>
        <w:t>万元，完成年初预算的</w:t>
      </w:r>
      <w:r>
        <w:rPr>
          <w:rFonts w:hint="eastAsia" w:ascii="仿宋_GB2312" w:eastAsia="仿宋_GB2312"/>
          <w:sz w:val="32"/>
          <w:szCs w:val="32"/>
          <w:lang w:val="en-US" w:eastAsia="zh-CN"/>
        </w:rPr>
        <w:t>114.76</w:t>
      </w:r>
      <w:r>
        <w:rPr>
          <w:rFonts w:hint="eastAsia" w:ascii="仿宋_GB2312" w:eastAsia="仿宋_GB2312"/>
          <w:sz w:val="32"/>
          <w:szCs w:val="32"/>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特殊疑难信访案件支出增加</w:t>
      </w:r>
      <w:r>
        <w:rPr>
          <w:rFonts w:hint="eastAsia" w:ascii="仿宋_GB2312" w:eastAsia="仿宋_GB2312"/>
          <w:sz w:val="32"/>
          <w:szCs w:val="32"/>
        </w:rPr>
        <w:t>。</w:t>
      </w:r>
    </w:p>
    <w:p>
      <w:pPr>
        <w:spacing w:line="336" w:lineRule="auto"/>
        <w:ind w:firstLine="640" w:firstLineChars="200"/>
        <w:rPr>
          <w:rFonts w:ascii="仿宋_GB2312" w:eastAsia="仿宋_GB2312"/>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bCs/>
          <w:sz w:val="32"/>
          <w:szCs w:val="32"/>
        </w:rPr>
        <w:t>一般公共服务（类）其他共产党事务支出（款）一般行政管理</w:t>
      </w:r>
      <w:r>
        <w:rPr>
          <w:rFonts w:hint="eastAsia" w:ascii="仿宋_GB2312" w:hAnsi="仿宋_GB2312" w:eastAsia="仿宋_GB2312" w:cs="仿宋_GB2312"/>
          <w:b/>
          <w:bCs/>
          <w:sz w:val="32"/>
          <w:szCs w:val="32"/>
          <w:lang w:eastAsia="zh-CN"/>
        </w:rPr>
        <w:t>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137.10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153.05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111.63</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人员增加，各项工资、津补贴随之增加</w:t>
      </w:r>
      <w:r>
        <w:rPr>
          <w:rFonts w:hint="eastAsia" w:ascii="仿宋_GB2312" w:eastAsia="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sz w:val="32"/>
          <w:szCs w:val="32"/>
        </w:rPr>
        <w:t>社会保障和就业支出（类）行政事业单位</w:t>
      </w:r>
      <w:r>
        <w:rPr>
          <w:rFonts w:hint="eastAsia" w:ascii="仿宋_GB2312" w:hAnsi="仿宋_GB2312" w:eastAsia="仿宋_GB2312" w:cs="仿宋_GB2312"/>
          <w:b/>
          <w:bCs/>
          <w:sz w:val="32"/>
          <w:szCs w:val="32"/>
          <w:lang w:eastAsia="zh-CN"/>
        </w:rPr>
        <w:t>养老支出</w:t>
      </w:r>
      <w:r>
        <w:rPr>
          <w:rFonts w:hint="eastAsia" w:ascii="仿宋_GB2312" w:hAnsi="仿宋_GB2312" w:eastAsia="仿宋_GB2312" w:cs="仿宋_GB2312"/>
          <w:b/>
          <w:bCs/>
          <w:sz w:val="32"/>
          <w:szCs w:val="32"/>
        </w:rPr>
        <w:t>（款）</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rPr>
        <w:t>行政单位离退休（项）。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52.06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55.74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107.07</w:t>
      </w:r>
      <w:r>
        <w:rPr>
          <w:rFonts w:hint="eastAsia" w:ascii="仿宋_GB2312" w:hAnsi="仿宋_GB2312" w:eastAsia="仿宋_GB2312" w:cs="仿宋_GB2312"/>
          <w:sz w:val="32"/>
          <w:szCs w:val="32"/>
        </w:rPr>
        <w:t>%。决算数与年初预算数存在差异的主要原</w:t>
      </w:r>
      <w:r>
        <w:rPr>
          <w:rFonts w:hint="eastAsia" w:ascii="仿宋_GB2312" w:hAnsi="仿宋_GB2312" w:eastAsia="仿宋_GB2312" w:cs="仿宋_GB2312"/>
          <w:sz w:val="32"/>
          <w:szCs w:val="32"/>
          <w:highlight w:val="none"/>
        </w:rPr>
        <w:t>因是各种津贴、补贴提高</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b/>
          <w:bCs/>
          <w:sz w:val="32"/>
          <w:szCs w:val="32"/>
          <w:highlight w:val="none"/>
        </w:rPr>
        <w:t>社会保障和就业支出（类）行政事业单位</w:t>
      </w:r>
      <w:r>
        <w:rPr>
          <w:rFonts w:hint="eastAsia" w:ascii="仿宋_GB2312" w:hAnsi="仿宋_GB2312" w:eastAsia="仿宋_GB2312" w:cs="仿宋_GB2312"/>
          <w:b/>
          <w:bCs/>
          <w:sz w:val="32"/>
          <w:szCs w:val="32"/>
          <w:highlight w:val="none"/>
          <w:lang w:eastAsia="zh-CN"/>
        </w:rPr>
        <w:t>养老支出</w:t>
      </w:r>
      <w:r>
        <w:rPr>
          <w:rFonts w:hint="eastAsia" w:ascii="仿宋_GB2312" w:hAnsi="仿宋_GB2312" w:eastAsia="仿宋_GB2312" w:cs="仿宋_GB2312"/>
          <w:b/>
          <w:bCs/>
          <w:sz w:val="32"/>
          <w:szCs w:val="32"/>
          <w:highlight w:val="none"/>
        </w:rPr>
        <w:t>（款）</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36.96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35.15</w:t>
      </w:r>
      <w:r>
        <w:rPr>
          <w:rFonts w:hint="eastAsia" w:ascii="仿宋_GB2312" w:hAnsi="仿宋_GB2312" w:eastAsia="仿宋_GB2312" w:cs="仿宋_GB2312"/>
          <w:sz w:val="32"/>
          <w:szCs w:val="32"/>
          <w:highlight w:val="none"/>
        </w:rPr>
        <w:t>元，完成年初预算的</w:t>
      </w:r>
      <w:r>
        <w:rPr>
          <w:rFonts w:hint="eastAsia" w:ascii="仿宋_GB2312" w:hAnsi="仿宋_GB2312" w:eastAsia="仿宋_GB2312" w:cs="仿宋_GB2312"/>
          <w:sz w:val="32"/>
          <w:szCs w:val="32"/>
          <w:highlight w:val="none"/>
          <w:lang w:val="en-US" w:eastAsia="zh-CN"/>
        </w:rPr>
        <w:t>95.10</w:t>
      </w:r>
      <w:r>
        <w:rPr>
          <w:rFonts w:hint="eastAsia" w:ascii="仿宋_GB2312" w:hAnsi="仿宋_GB2312" w:eastAsia="仿宋_GB2312" w:cs="仿宋_GB2312"/>
          <w:sz w:val="32"/>
          <w:szCs w:val="32"/>
          <w:highlight w:val="none"/>
        </w:rPr>
        <w:t>%。决算数与年初预算数存在差异的主要原因是各种津贴、补贴减少</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b/>
          <w:bCs/>
          <w:sz w:val="32"/>
          <w:szCs w:val="32"/>
        </w:rPr>
        <w:t>社会保障和就业支出（类）</w:t>
      </w:r>
      <w:r>
        <w:rPr>
          <w:rFonts w:hint="eastAsia" w:ascii="仿宋_GB2312" w:hAnsi="仿宋_GB2312" w:eastAsia="仿宋_GB2312" w:cs="仿宋_GB2312"/>
          <w:b/>
          <w:bCs/>
          <w:sz w:val="32"/>
          <w:szCs w:val="32"/>
          <w:lang w:eastAsia="zh-CN"/>
        </w:rPr>
        <w:t>临时救助</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临时救助支出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4.83</w:t>
      </w:r>
      <w:r>
        <w:rPr>
          <w:rFonts w:hint="eastAsia" w:ascii="仿宋_GB2312" w:hAnsi="仿宋_GB2312" w:eastAsia="仿宋_GB2312" w:cs="仿宋_GB2312"/>
          <w:sz w:val="32"/>
          <w:szCs w:val="32"/>
        </w:rPr>
        <w:t>万元。决算数与年初预算数存在差异的主要原因是年底有不确定性困难信访群众需要救助</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b/>
          <w:bCs/>
          <w:sz w:val="32"/>
          <w:szCs w:val="32"/>
          <w:lang w:val="en-US" w:eastAsia="zh-CN"/>
        </w:rPr>
        <w:t>卫生健康支出（类）</w:t>
      </w:r>
      <w:r>
        <w:rPr>
          <w:rFonts w:hint="eastAsia" w:ascii="仿宋_GB2312" w:hAnsi="仿宋_GB2312" w:eastAsia="仿宋_GB2312" w:cs="仿宋_GB2312"/>
          <w:b/>
          <w:bCs/>
          <w:sz w:val="32"/>
          <w:szCs w:val="32"/>
        </w:rPr>
        <w:t>行政事业单位</w:t>
      </w:r>
      <w:r>
        <w:rPr>
          <w:rFonts w:hint="eastAsia" w:ascii="仿宋_GB2312" w:hAnsi="仿宋_GB2312" w:eastAsia="仿宋_GB2312" w:cs="仿宋_GB2312"/>
          <w:b/>
          <w:bCs/>
          <w:sz w:val="32"/>
          <w:szCs w:val="32"/>
          <w:lang w:eastAsia="zh-CN"/>
        </w:rPr>
        <w:t>医疗（款）</w:t>
      </w:r>
      <w:r>
        <w:rPr>
          <w:rFonts w:hint="eastAsia" w:ascii="仿宋_GB2312" w:hAnsi="仿宋_GB2312" w:eastAsia="仿宋_GB2312" w:cs="仿宋_GB2312"/>
          <w:b/>
          <w:bCs/>
          <w:sz w:val="32"/>
          <w:szCs w:val="32"/>
        </w:rPr>
        <w:t>行政单位</w:t>
      </w:r>
      <w:r>
        <w:rPr>
          <w:rFonts w:hint="eastAsia" w:ascii="仿宋_GB2312" w:hAnsi="仿宋_GB2312" w:eastAsia="仿宋_GB2312" w:cs="仿宋_GB2312"/>
          <w:b/>
          <w:bCs/>
          <w:sz w:val="32"/>
          <w:szCs w:val="32"/>
          <w:lang w:eastAsia="zh-CN"/>
        </w:rPr>
        <w:t>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14.44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13.67</w:t>
      </w:r>
      <w:r>
        <w:rPr>
          <w:rFonts w:hint="eastAsia" w:ascii="仿宋_GB2312" w:hAnsi="仿宋_GB2312" w:eastAsia="仿宋_GB2312" w:cs="仿宋_GB2312"/>
          <w:sz w:val="32"/>
          <w:szCs w:val="32"/>
        </w:rPr>
        <w:t>万元，成年初预算的</w:t>
      </w:r>
      <w:r>
        <w:rPr>
          <w:rFonts w:hint="eastAsia" w:ascii="仿宋_GB2312" w:hAnsi="仿宋_GB2312" w:eastAsia="仿宋_GB2312" w:cs="仿宋_GB2312"/>
          <w:sz w:val="32"/>
          <w:szCs w:val="32"/>
          <w:lang w:val="en-US" w:eastAsia="zh-CN"/>
        </w:rPr>
        <w:t xml:space="preserve"> 94.67</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个别人员</w:t>
      </w:r>
      <w:r>
        <w:rPr>
          <w:rFonts w:hint="eastAsia" w:ascii="仿宋_GB2312" w:hAnsi="仿宋_GB2312" w:eastAsia="仿宋_GB2312" w:cs="仿宋_GB2312"/>
          <w:sz w:val="32"/>
          <w:szCs w:val="32"/>
        </w:rPr>
        <w:t>医保基数变动</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b/>
          <w:bCs/>
          <w:sz w:val="32"/>
          <w:szCs w:val="32"/>
          <w:lang w:val="en-US" w:eastAsia="zh-CN"/>
        </w:rPr>
        <w:t>卫生健康支出（类）</w:t>
      </w:r>
      <w:r>
        <w:rPr>
          <w:rFonts w:hint="eastAsia" w:ascii="仿宋_GB2312" w:hAnsi="仿宋_GB2312" w:eastAsia="仿宋_GB2312" w:cs="仿宋_GB2312"/>
          <w:b/>
          <w:bCs/>
          <w:sz w:val="32"/>
          <w:szCs w:val="32"/>
        </w:rPr>
        <w:t>行政事业单位</w:t>
      </w:r>
      <w:r>
        <w:rPr>
          <w:rFonts w:hint="eastAsia" w:ascii="仿宋_GB2312" w:hAnsi="仿宋_GB2312" w:eastAsia="仿宋_GB2312" w:cs="仿宋_GB2312"/>
          <w:b/>
          <w:bCs/>
          <w:sz w:val="32"/>
          <w:szCs w:val="32"/>
          <w:lang w:eastAsia="zh-CN"/>
        </w:rPr>
        <w:t>医疗（款）</w:t>
      </w:r>
      <w:r>
        <w:rPr>
          <w:rFonts w:hint="eastAsia" w:ascii="仿宋_GB2312" w:hAnsi="仿宋_GB2312" w:eastAsia="仿宋_GB2312" w:cs="仿宋_GB2312"/>
          <w:b/>
          <w:bCs/>
          <w:sz w:val="32"/>
          <w:szCs w:val="32"/>
        </w:rPr>
        <w:t>事业单</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rPr>
        <w:t>位</w:t>
      </w:r>
      <w:r>
        <w:rPr>
          <w:rFonts w:hint="eastAsia" w:ascii="仿宋_GB2312" w:hAnsi="仿宋_GB2312" w:eastAsia="仿宋_GB2312" w:cs="仿宋_GB2312"/>
          <w:b/>
          <w:bCs/>
          <w:sz w:val="32"/>
          <w:szCs w:val="32"/>
          <w:lang w:eastAsia="zh-CN"/>
        </w:rPr>
        <w:t>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4.64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4.64</w:t>
      </w:r>
      <w:r>
        <w:rPr>
          <w:rFonts w:hint="eastAsia" w:ascii="仿宋_GB2312" w:hAnsi="仿宋_GB2312" w:eastAsia="仿宋_GB2312" w:cs="仿宋_GB2312"/>
          <w:sz w:val="32"/>
          <w:szCs w:val="32"/>
        </w:rPr>
        <w:t>万元，成年初预算的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b/>
          <w:bCs/>
          <w:sz w:val="32"/>
          <w:szCs w:val="32"/>
          <w:lang w:val="en-US" w:eastAsia="zh-CN"/>
        </w:rPr>
        <w:t>卫生健康支出（类）</w:t>
      </w:r>
      <w:r>
        <w:rPr>
          <w:rFonts w:hint="eastAsia" w:ascii="仿宋_GB2312" w:hAnsi="仿宋_GB2312" w:eastAsia="仿宋_GB2312" w:cs="仿宋_GB2312"/>
          <w:b/>
          <w:bCs/>
          <w:sz w:val="32"/>
          <w:szCs w:val="32"/>
        </w:rPr>
        <w:t>行政事业单位</w:t>
      </w:r>
      <w:r>
        <w:rPr>
          <w:rFonts w:hint="eastAsia" w:ascii="仿宋_GB2312" w:hAnsi="仿宋_GB2312" w:eastAsia="仿宋_GB2312" w:cs="仿宋_GB2312"/>
          <w:b/>
          <w:bCs/>
          <w:sz w:val="32"/>
          <w:szCs w:val="32"/>
          <w:lang w:eastAsia="zh-CN"/>
        </w:rPr>
        <w:t>医疗（款）公务员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eastAsia="zh-CN"/>
        </w:rPr>
        <w:t>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17.21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16.84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 xml:space="preserve">97.85 </w:t>
      </w:r>
      <w:r>
        <w:rPr>
          <w:rFonts w:hint="eastAsia" w:ascii="仿宋_GB2312" w:hAnsi="仿宋_GB2312" w:eastAsia="仿宋_GB2312" w:cs="仿宋_GB2312"/>
          <w:sz w:val="32"/>
          <w:szCs w:val="32"/>
        </w:rPr>
        <w:t>%。决算数与年初预算数存在差异的主要原因</w:t>
      </w:r>
      <w:r>
        <w:rPr>
          <w:rFonts w:hint="eastAsia" w:ascii="仿宋_GB2312" w:hAnsi="仿宋_GB2312" w:eastAsia="仿宋_GB2312" w:cs="仿宋_GB2312"/>
          <w:sz w:val="32"/>
          <w:szCs w:val="32"/>
          <w:lang w:val="en-US" w:eastAsia="zh-CN"/>
        </w:rPr>
        <w:t>个别人员</w:t>
      </w:r>
      <w:r>
        <w:rPr>
          <w:rFonts w:hint="eastAsia" w:ascii="仿宋_GB2312" w:hAnsi="仿宋_GB2312" w:eastAsia="仿宋_GB2312" w:cs="仿宋_GB2312"/>
          <w:sz w:val="32"/>
          <w:szCs w:val="32"/>
        </w:rPr>
        <w:t>医保基数变动</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806.83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687.1</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住房公积金、其他工资福利支出、离休费、</w:t>
      </w:r>
      <w:r>
        <w:rPr>
          <w:rFonts w:hint="eastAsia" w:ascii="仿宋_GB2312" w:hAnsi="仿宋_GB2312" w:eastAsia="仿宋_GB2312" w:cs="仿宋_GB2312"/>
          <w:sz w:val="32"/>
          <w:szCs w:val="32"/>
          <w:highlight w:val="none"/>
        </w:rPr>
        <w:t>退休费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119.73</w:t>
      </w:r>
      <w:r>
        <w:rPr>
          <w:rFonts w:hint="eastAsia" w:ascii="仿宋_GB2312" w:hAnsi="仿宋_GB2312" w:eastAsia="仿宋_GB2312" w:cs="仿宋_GB2312"/>
          <w:sz w:val="32"/>
          <w:szCs w:val="32"/>
          <w:highlight w:val="none"/>
        </w:rPr>
        <w:t>万元，主要包括：邮电费、差旅费、租赁费、会议费、培训费、公务接待费、劳务费、委托业务费、工会经费、福利费、公务用车运行维护费、其他交通费用、税金及附加费用、办公设备购置、专用设备购置、信息网络及软件购置更新。</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7.24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7.21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99.59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年度“三公”经费支出决算数与预算数存在差异的主要原因是厉行节约</w:t>
      </w:r>
      <w:r>
        <w:rPr>
          <w:rFonts w:hint="eastAsia" w:ascii="仿宋_GB2312" w:hAnsi="仿宋_GB2312" w:eastAsia="仿宋_GB2312" w:cs="仿宋_GB2312"/>
          <w:sz w:val="32"/>
          <w:szCs w:val="32"/>
        </w:rPr>
        <w:t>，严格控制三公经费支出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5.69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142.25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78.92</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1.52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46.91</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21.08</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2021年度“三公”经费支出决算数与预算数不存在差异。全年因公出国（境）团组0个，累计0人次。</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5.69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142.25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问题楼盘等案件的增加，下乡督导次数增加</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5.69</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公务用车车辆运行维护。</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3.24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46.91</w:t>
      </w:r>
      <w:r>
        <w:rPr>
          <w:rFonts w:hint="eastAsia" w:ascii="仿宋_GB2312" w:hAnsi="仿宋_GB2312" w:eastAsia="仿宋_GB2312" w:cs="仿宋_GB2312"/>
          <w:sz w:val="32"/>
          <w:szCs w:val="32"/>
          <w:highlight w:val="none"/>
        </w:rPr>
        <w:t>%。决算数与预算数存在差异的主要原因是厉行节约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1.52</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82</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spacing w:line="336"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w:t>
      </w:r>
      <w:r>
        <w:rPr>
          <w:rFonts w:hint="eastAsia" w:ascii="仿宋_GB2312" w:eastAsia="仿宋_GB2312"/>
          <w:sz w:val="32"/>
          <w:szCs w:val="32"/>
          <w:lang w:eastAsia="zh-CN"/>
        </w:rPr>
        <w:t>我部门</w:t>
      </w:r>
      <w:r>
        <w:rPr>
          <w:rFonts w:hint="eastAsia" w:ascii="仿宋_GB2312" w:eastAsia="仿宋_GB2312"/>
          <w:sz w:val="32"/>
          <w:szCs w:val="32"/>
          <w:lang w:val="en-US" w:eastAsia="zh-CN"/>
        </w:rPr>
        <w:t>2021年度没有政府性基金收入，也没有使用政府性基金安排的支出</w:t>
      </w:r>
      <w:r>
        <w:rPr>
          <w:rFonts w:hint="eastAsia" w:ascii="仿宋_GB2312" w:eastAsia="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108.34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119.73</w:t>
      </w:r>
      <w:r>
        <w:rPr>
          <w:rFonts w:hint="eastAsia" w:ascii="仿宋_GB2312" w:hAnsi="仿宋_GB2312" w:eastAsia="仿宋_GB2312" w:cs="仿宋_GB2312"/>
          <w:sz w:val="32"/>
          <w:szCs w:val="32"/>
          <w:highlight w:val="none"/>
        </w:rPr>
        <w:t>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110.51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lang w:val="en-US" w:eastAsia="zh-CN"/>
        </w:rPr>
        <w:t>信访案件增加，加大了案件督导频率，增加了机关运行支出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pStyle w:val="17"/>
        <w:keepNext w:val="0"/>
        <w:keepLines w:val="0"/>
        <w:pageBreakBefore w:val="0"/>
        <w:kinsoku/>
        <w:wordWrap/>
        <w:overflowPunct/>
        <w:topLinePunct w:val="0"/>
        <w:autoSpaceDE/>
        <w:autoSpaceDN w:val="0"/>
        <w:bidi w:val="0"/>
        <w:adjustRightInd/>
        <w:snapToGrid/>
        <w:spacing w:line="590" w:lineRule="exact"/>
        <w:ind w:firstLine="643"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（一）绩效管理工作开展情况。</w:t>
      </w:r>
    </w:p>
    <w:p>
      <w:pPr>
        <w:pStyle w:val="17"/>
        <w:keepNext w:val="0"/>
        <w:keepLines w:val="0"/>
        <w:pageBreakBefore w:val="0"/>
        <w:kinsoku/>
        <w:wordWrap/>
        <w:overflowPunct/>
        <w:topLinePunct w:val="0"/>
        <w:autoSpaceDE/>
        <w:autoSpaceDN w:val="0"/>
        <w:bidi w:val="0"/>
        <w:adjustRightInd/>
        <w:snapToGrid/>
        <w:spacing w:line="590" w:lineRule="exact"/>
        <w:ind w:firstLine="640"/>
        <w:textAlignment w:val="auto"/>
        <w:rPr>
          <w:rFonts w:hint="eastAsia" w:ascii="仿宋_GB2312" w:eastAsia="仿宋_GB2312"/>
          <w:sz w:val="32"/>
          <w:szCs w:val="32"/>
        </w:rPr>
      </w:pPr>
      <w:r>
        <w:rPr>
          <w:rFonts w:hint="eastAsia" w:ascii="仿宋_GB2312" w:eastAsia="仿宋_GB2312"/>
          <w:sz w:val="32"/>
          <w:szCs w:val="32"/>
          <w:lang w:val="en-US" w:eastAsia="zh-CN"/>
        </w:rPr>
        <w:t>我部门按照《中共许昌市委 许昌市人民政府关于全面</w:t>
      </w:r>
      <w:r>
        <w:rPr>
          <w:rFonts w:hint="eastAsia" w:ascii="仿宋_GB2312" w:eastAsia="仿宋_GB2312"/>
          <w:sz w:val="32"/>
          <w:szCs w:val="32"/>
        </w:rPr>
        <w:t>实施预算绩效管理的实施意见》（许发〔</w:t>
      </w:r>
      <w:r>
        <w:rPr>
          <w:rFonts w:hint="eastAsia" w:ascii="仿宋_GB2312" w:eastAsia="仿宋_GB2312"/>
          <w:sz w:val="32"/>
          <w:szCs w:val="32"/>
          <w:lang w:val="en-US" w:eastAsia="zh-CN"/>
        </w:rPr>
        <w:t>2021</w:t>
      </w:r>
      <w:r>
        <w:rPr>
          <w:rFonts w:hint="eastAsia" w:ascii="仿宋_GB2312" w:eastAsia="仿宋_GB2312"/>
          <w:sz w:val="32"/>
          <w:szCs w:val="32"/>
        </w:rPr>
        <w:t>〕13号）文件要求，对本部门整体支出和项目支出开展全过程预算绩效管理。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kern w:val="0"/>
          <w:sz w:val="32"/>
          <w:szCs w:val="32"/>
          <w:lang w:val="en-US" w:eastAsia="zh-CN" w:bidi="ar-SA"/>
        </w:rPr>
      </w:pPr>
      <w:r>
        <w:rPr>
          <w:rFonts w:hint="eastAsia" w:ascii="仿宋_GB2312" w:eastAsia="仿宋_GB2312"/>
          <w:sz w:val="32"/>
          <w:szCs w:val="32"/>
          <w:lang w:eastAsia="zh-CN"/>
        </w:rPr>
        <w:t>我部门具体做法：</w:t>
      </w:r>
      <w:r>
        <w:rPr>
          <w:rFonts w:hint="eastAsia" w:ascii="仿宋_GB2312" w:eastAsia="仿宋_GB2312"/>
          <w:kern w:val="0"/>
          <w:sz w:val="32"/>
          <w:szCs w:val="32"/>
          <w:lang w:val="en-US" w:eastAsia="zh-CN" w:bidi="ar-SA"/>
        </w:rPr>
        <w:t>由正县级信访督查专员赵恩昌牵头，局办公室具体负责，接访科、网信科、复查复核科、人民来信与建议征集科、联席办、信访工作站和信访网络中心共同参与。绩效自评工作坚持实事求是，确保数据准确，严禁刻意提高评级结果，弄虚作假。</w:t>
      </w:r>
    </w:p>
    <w:p>
      <w:pPr>
        <w:pStyle w:val="17"/>
        <w:keepNext w:val="0"/>
        <w:keepLines w:val="0"/>
        <w:pageBreakBefore w:val="0"/>
        <w:kinsoku/>
        <w:wordWrap/>
        <w:overflowPunct/>
        <w:topLinePunct w:val="0"/>
        <w:autoSpaceDE/>
        <w:autoSpaceDN w:val="0"/>
        <w:bidi w:val="0"/>
        <w:adjustRightInd/>
        <w:snapToGrid/>
        <w:spacing w:line="590" w:lineRule="exact"/>
        <w:ind w:firstLine="643"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（二）部门（单位）整体和项目绩效自评结果。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按照《许昌市财政局关于开展2021年度市级预算绩效自评工作的通知》（许财效）〔202</w:t>
      </w:r>
      <w:r>
        <w:rPr>
          <w:rFonts w:hint="eastAsia" w:ascii="仿宋_GB2312" w:eastAsia="仿宋_GB2312"/>
          <w:sz w:val="32"/>
          <w:szCs w:val="32"/>
          <w:lang w:val="en-US" w:eastAsia="zh-CN"/>
        </w:rPr>
        <w:t>2</w:t>
      </w:r>
      <w:r>
        <w:rPr>
          <w:rFonts w:hint="eastAsia" w:ascii="仿宋_GB2312" w:eastAsia="仿宋_GB2312"/>
          <w:sz w:val="32"/>
          <w:szCs w:val="32"/>
        </w:rPr>
        <w:t>〕1号）等文件精神，我部门对本部门整体绩效目标和项目支出绩效目标进行了自评。</w:t>
      </w:r>
      <w:r>
        <w:rPr>
          <w:rFonts w:hint="eastAsia" w:ascii="仿宋_GB2312" w:hAnsi="仿宋_GB2312" w:eastAsia="仿宋_GB2312" w:cs="仿宋_GB2312"/>
          <w:color w:val="auto"/>
          <w:sz w:val="32"/>
          <w:szCs w:val="32"/>
          <w:highlight w:val="none"/>
          <w:lang w:val="en-US" w:eastAsia="zh-CN"/>
        </w:rPr>
        <w:t>一是部门整体绩效自评情况。</w:t>
      </w:r>
      <w:r>
        <w:rPr>
          <w:rFonts w:hint="eastAsia" w:ascii="仿宋_GB2312" w:eastAsia="仿宋_GB2312"/>
          <w:sz w:val="32"/>
          <w:szCs w:val="32"/>
          <w:lang w:val="en-US" w:eastAsia="zh-CN"/>
        </w:rPr>
        <w:t>本</w:t>
      </w:r>
      <w:r>
        <w:rPr>
          <w:rFonts w:hint="eastAsia" w:ascii="仿宋_GB2312" w:eastAsia="仿宋_GB2312"/>
          <w:sz w:val="32"/>
          <w:szCs w:val="32"/>
        </w:rPr>
        <w:t>部门整体绩效自评工作已完成，</w:t>
      </w:r>
      <w:r>
        <w:rPr>
          <w:rFonts w:hint="eastAsia" w:ascii="仿宋" w:hAnsi="仿宋" w:eastAsia="仿宋"/>
          <w:sz w:val="32"/>
          <w:szCs w:val="32"/>
        </w:rPr>
        <w:t>各项指标基本达到了预期绩效目标</w:t>
      </w:r>
      <w:r>
        <w:rPr>
          <w:rFonts w:hint="eastAsia" w:ascii="仿宋_GB2312" w:eastAsia="仿宋_GB2312"/>
          <w:sz w:val="32"/>
          <w:szCs w:val="32"/>
        </w:rPr>
        <w:t xml:space="preserve">，整体绩效自评结果评定等级为“优”。 </w:t>
      </w:r>
      <w:r>
        <w:rPr>
          <w:rFonts w:hint="eastAsia" w:ascii="仿宋_GB2312" w:hAnsi="仿宋_GB2312" w:eastAsia="仿宋_GB2312" w:cs="仿宋_GB2312"/>
          <w:color w:val="auto"/>
          <w:sz w:val="32"/>
          <w:szCs w:val="32"/>
          <w:highlight w:val="none"/>
          <w:lang w:val="en-US" w:eastAsia="zh-CN"/>
        </w:rPr>
        <w:t>二是项目绩效自评情况。我部门共有2个项目批复了绩效目标，</w:t>
      </w:r>
      <w:r>
        <w:rPr>
          <w:rFonts w:hint="eastAsia" w:ascii="仿宋_GB2312" w:eastAsia="仿宋_GB2312"/>
          <w:sz w:val="32"/>
          <w:szCs w:val="32"/>
          <w:lang w:val="en-US" w:eastAsia="zh-CN"/>
        </w:rPr>
        <w:t>项目金额34.6万元。</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其中：</w:t>
      </w:r>
      <w:r>
        <w:rPr>
          <w:rFonts w:hint="eastAsia" w:ascii="仿宋_GB2312" w:hAnsi="仿宋_GB2312" w:eastAsia="仿宋_GB2312" w:cs="仿宋_GB2312"/>
          <w:color w:val="auto"/>
          <w:sz w:val="32"/>
          <w:szCs w:val="32"/>
          <w:highlight w:val="none"/>
          <w:lang w:val="en-US" w:eastAsia="zh-CN"/>
        </w:rPr>
        <w:t>许昌市信访局2个，项目金额34.6万元；</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分。其中：2个项目评价等级为均为“优”。0个项目评价等级为“良”、0个项目评价等级为“中”、0个项目评价等级为“差”。</w:t>
      </w:r>
    </w:p>
    <w:p>
      <w:pPr>
        <w:pStyle w:val="17"/>
        <w:keepNext w:val="0"/>
        <w:keepLines w:val="0"/>
        <w:pageBreakBefore w:val="0"/>
        <w:kinsoku/>
        <w:wordWrap/>
        <w:overflowPunct/>
        <w:topLinePunct w:val="0"/>
        <w:autoSpaceDE/>
        <w:autoSpaceDN w:val="0"/>
        <w:bidi w:val="0"/>
        <w:adjustRightInd/>
        <w:snapToGrid/>
        <w:spacing w:line="590" w:lineRule="exact"/>
        <w:ind w:firstLine="643"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（三）重点绩效评价结果。</w:t>
      </w:r>
    </w:p>
    <w:p>
      <w:pPr>
        <w:pStyle w:val="17"/>
        <w:keepNext w:val="0"/>
        <w:keepLines w:val="0"/>
        <w:pageBreakBefore w:val="0"/>
        <w:kinsoku/>
        <w:wordWrap/>
        <w:overflowPunct/>
        <w:topLinePunct w:val="0"/>
        <w:autoSpaceDE/>
        <w:autoSpaceDN w:val="0"/>
        <w:bidi w:val="0"/>
        <w:adjustRightInd/>
        <w:snapToGrid/>
        <w:spacing w:line="590" w:lineRule="exact"/>
        <w:ind w:firstLine="640"/>
        <w:textAlignment w:val="auto"/>
        <w:rPr>
          <w:rFonts w:ascii="仿宋_GB2312" w:eastAsia="仿宋_GB2312"/>
          <w:sz w:val="32"/>
          <w:szCs w:val="32"/>
        </w:rPr>
      </w:pPr>
      <w:r>
        <w:rPr>
          <w:rFonts w:hint="eastAsia" w:ascii="仿宋_GB2312" w:eastAsia="仿宋_GB2312"/>
          <w:sz w:val="32"/>
          <w:szCs w:val="32"/>
        </w:rPr>
        <w:t>2021年我部门没有开展重点绩效评价的项目。</w:t>
      </w: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rPr>
          <w:rFonts w:hint="eastAsia" w:ascii="黑体" w:hAnsi="黑体" w:eastAsia="黑体" w:cs="黑体"/>
          <w:sz w:val="48"/>
          <w:szCs w:val="48"/>
          <w:highlight w:val="none"/>
        </w:rPr>
      </w:pP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172A27"/>
    <w:rsid w:val="02857A9D"/>
    <w:rsid w:val="0CD34264"/>
    <w:rsid w:val="0F320EFF"/>
    <w:rsid w:val="134D649D"/>
    <w:rsid w:val="146752C6"/>
    <w:rsid w:val="1FC97167"/>
    <w:rsid w:val="21EF0F2A"/>
    <w:rsid w:val="27483067"/>
    <w:rsid w:val="2CDE3795"/>
    <w:rsid w:val="2E0574D5"/>
    <w:rsid w:val="2F1F6DA3"/>
    <w:rsid w:val="38E72296"/>
    <w:rsid w:val="3ACC4283"/>
    <w:rsid w:val="3CD441DD"/>
    <w:rsid w:val="3F057A52"/>
    <w:rsid w:val="48291334"/>
    <w:rsid w:val="4D743E86"/>
    <w:rsid w:val="4ED212E5"/>
    <w:rsid w:val="56982E14"/>
    <w:rsid w:val="59EA47D4"/>
    <w:rsid w:val="637C2A92"/>
    <w:rsid w:val="65ED1317"/>
    <w:rsid w:val="68D27C68"/>
    <w:rsid w:val="69BD174E"/>
    <w:rsid w:val="6A5C61DA"/>
    <w:rsid w:val="6B952B10"/>
    <w:rsid w:val="71067748"/>
    <w:rsid w:val="74D80B53"/>
    <w:rsid w:val="76A65008"/>
    <w:rsid w:val="7E5340A5"/>
    <w:rsid w:val="7F9322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uiPriority w:val="99"/>
    <w:rPr>
      <w:color w:val="800080"/>
      <w:u w:val="single"/>
    </w:rPr>
  </w:style>
  <w:style w:type="character" w:styleId="8">
    <w:name w:val="Hyperlink"/>
    <w:unhideWhenUsed/>
    <w:uiPriority w:val="99"/>
    <w:rPr>
      <w:color w:val="0000FF"/>
      <w:u w:val="single"/>
    </w:rPr>
  </w:style>
  <w:style w:type="character" w:customStyle="1" w:styleId="9">
    <w:name w:val="批注框文本 Char Char Char"/>
    <w:link w:val="2"/>
    <w:uiPriority w:val="99"/>
    <w:rPr>
      <w:kern w:val="2"/>
      <w:sz w:val="18"/>
      <w:szCs w:val="18"/>
    </w:rPr>
  </w:style>
  <w:style w:type="character" w:customStyle="1" w:styleId="10">
    <w:name w:val="页脚 Char Char Char"/>
    <w:link w:val="3"/>
    <w:uiPriority w:val="99"/>
    <w:rPr>
      <w:kern w:val="2"/>
      <w:sz w:val="18"/>
      <w:szCs w:val="18"/>
    </w:rPr>
  </w:style>
  <w:style w:type="character" w:customStyle="1" w:styleId="11">
    <w:name w:val="页眉 Char Char Char"/>
    <w:link w:val="4"/>
    <w:uiPriority w:val="99"/>
    <w:rPr>
      <w:kern w:val="2"/>
      <w:sz w:val="18"/>
      <w:szCs w:val="18"/>
    </w:rPr>
  </w:style>
  <w:style w:type="character" w:customStyle="1" w:styleId="12">
    <w:name w:val="font41"/>
    <w:uiPriority w:val="0"/>
    <w:rPr>
      <w:rFonts w:hint="eastAsia" w:ascii="宋体" w:hAnsi="宋体" w:eastAsia="宋体" w:cs="宋体"/>
      <w:color w:val="000000"/>
      <w:sz w:val="24"/>
      <w:szCs w:val="24"/>
      <w:u w:val="none"/>
    </w:rPr>
  </w:style>
  <w:style w:type="character" w:customStyle="1" w:styleId="13">
    <w:name w:val="font11"/>
    <w:basedOn w:val="6"/>
    <w:uiPriority w:val="0"/>
    <w:rPr>
      <w:rFonts w:hint="eastAsia" w:ascii="宋体" w:hAnsi="宋体" w:eastAsia="宋体" w:cs="宋体"/>
      <w:color w:val="000000"/>
      <w:sz w:val="20"/>
      <w:szCs w:val="20"/>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01"/>
    <w:basedOn w:val="6"/>
    <w:uiPriority w:val="0"/>
    <w:rPr>
      <w:rFonts w:hint="eastAsia" w:ascii="宋体" w:hAnsi="宋体" w:eastAsia="宋体" w:cs="宋体"/>
      <w:color w:val="000000"/>
      <w:sz w:val="22"/>
      <w:szCs w:val="22"/>
      <w:u w:val="none"/>
    </w:rPr>
  </w:style>
  <w:style w:type="character" w:customStyle="1" w:styleId="16">
    <w:name w:val="font51"/>
    <w:basedOn w:val="6"/>
    <w:uiPriority w:val="0"/>
    <w:rPr>
      <w:rFonts w:hint="eastAsia" w:ascii="宋体" w:hAnsi="宋体" w:eastAsia="宋体" w:cs="宋体"/>
      <w:color w:val="000000"/>
      <w:sz w:val="24"/>
      <w:szCs w:val="24"/>
      <w:u w:val="none"/>
    </w:rPr>
  </w:style>
  <w:style w:type="paragraph" w:customStyle="1" w:styleId="17">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8770</Words>
  <Characters>11734</Characters>
  <Lines>60</Lines>
  <Paragraphs>16</Paragraphs>
  <TotalTime>158</TotalTime>
  <ScaleCrop>false</ScaleCrop>
  <LinksUpToDate>false</LinksUpToDate>
  <CharactersWithSpaces>12109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2022-09-09T10:08:39Z</cp:lastPrinted>
  <dcterms:modified xsi:type="dcterms:W3CDTF">2023-05-29T03:10:23Z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8CEF2285CB9548448838FCF2F8A0FBCC_13</vt:lpwstr>
  </property>
</Properties>
</file>