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48"/>
          <w:szCs w:val="4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许昌市供销合作社</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许昌市供销合作社</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许昌市供销合作社</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hint="eastAsia" w:ascii="黑体" w:hAnsi="黑体" w:eastAsia="黑体" w:cs="黑体"/>
          <w:kern w:val="0"/>
          <w:sz w:val="32"/>
          <w:szCs w:val="32"/>
          <w:highlight w:val="none"/>
        </w:rPr>
      </w:pPr>
      <w:bookmarkStart w:id="0" w:name="_GoBack"/>
      <w:bookmarkEnd w:id="0"/>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（一）贯彻落实党中央、国务院、省委、省政府和市委、市政府有关农村经济和社会发展的方针、政策；参与研究和实施全市合作经济发展和农村现代流通的政策和规定。</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（二）研究制定全市供销合作社的发展战略和发展规划，指导全市供销合作社的改革和发展；参与研究拟订全市农业和农村经济发展规划。</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（三）按照政府授权，负责对重要农业生产资料、农副产品、再生资源和烟花爆竹经营的组织、协调和管理；负责管理化肥、农药等重要物资的市级储备工作。</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组织、指导全市供销合作社系统积极参与农业产业化，搞好农业社会化服务体系和农村商品流通体系建设；推动各级供销合作社实施农业综合开发，加强农产品市场建设，开展农业生产社会化服务；指导各级供销合作社领办创办农民专业合作社和组建农民专业合作社联合社。</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（五）推进全市供销合作社综合改革工作，推动构建联合社机关主导的行业指导体系和社有企业支撑的经营服务体系“双线运行”机制，加强对社有资产的监督管理，增强服务“三农”综合实力。</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（六）加强对本级社直属单位及县（市、区）供销合作社的行业管理和教育培训；负责成员社的年度综合业绩考核工作；指导成员社主动适应新型城镇化和新农村建设要求，加快城乡社区综合服务平台建设。</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（七）协调各有关部门推动各级供销合作社打造“互联网+”供销合作社，发展农村电子商务等新型经营业态，开展农村合作金融服务。</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（八）向政府和有关部门反映农民社员和供销合作社的意见及要求，维护广大农民社员和各级供销合作社、农村合作经济组织的合法权益，协调与有关部门和相关社会组织的关系。</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九）行使本级社社有资产和直属单位资产的所有权代表和管理者职能，承担本级社社有资产出资人代表职责，加强社有出资企业管理，监督管理社有资产保值增值，并按照出资额依法享有资产受益、重大决策和选择管理者的权利。</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（十）协调指导县（市、区）供销合作社开展业务工作。</w:t>
      </w:r>
    </w:p>
    <w:p>
      <w:pPr>
        <w:widowControl/>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（十一）承办市委、市政府和河南省供销合作总社交办的其他事项。</w:t>
      </w:r>
    </w:p>
    <w:p>
      <w:pPr>
        <w:widowControl/>
        <w:ind w:firstLine="640" w:firstLineChars="200"/>
        <w:jc w:val="both"/>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许昌市供销合作社</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rPr>
        <w:t>办公室（理事会办公室）、合作指导与经济发展科、基层组织与企业管理科、财会与资产管理科、人事教育科、监事会办公室（审计科）、老干部管理科。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许昌市供销合作社</w:t>
      </w:r>
      <w:r>
        <w:rPr>
          <w:rFonts w:hint="eastAsia" w:ascii="仿宋_GB2312" w:hAnsi="仿宋_GB2312" w:eastAsia="仿宋_GB2312" w:cs="仿宋_GB2312"/>
          <w:kern w:val="0"/>
          <w:sz w:val="32"/>
          <w:szCs w:val="32"/>
          <w:highlight w:val="none"/>
        </w:rPr>
        <w:t>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1.许昌市供销合作社</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48"/>
        <w:gridCol w:w="676"/>
        <w:gridCol w:w="2618"/>
        <w:gridCol w:w="3621"/>
        <w:gridCol w:w="676"/>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60" w:type="dxa"/>
            <w:gridSpan w:val="6"/>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993.87</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83.96</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54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54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28"/>
          <w:szCs w:val="28"/>
          <w:highlight w:val="none"/>
        </w:rPr>
        <w:sectPr>
          <w:pgSz w:w="16838" w:h="11906" w:orient="landscape"/>
          <w:pgMar w:top="1236" w:right="1440" w:bottom="1236"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49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440"/>
        <w:gridCol w:w="244"/>
        <w:gridCol w:w="4089"/>
        <w:gridCol w:w="1685"/>
        <w:gridCol w:w="2101"/>
        <w:gridCol w:w="1040"/>
        <w:gridCol w:w="785"/>
        <w:gridCol w:w="700"/>
        <w:gridCol w:w="1188"/>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1"/>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Arial" w:hAnsi="Arial" w:cs="Arial"/>
                <w:i w:val="0"/>
                <w:iCs w:val="0"/>
                <w:color w:val="000000"/>
                <w:sz w:val="18"/>
                <w:szCs w:val="18"/>
                <w:u w:val="none"/>
              </w:rPr>
            </w:pPr>
          </w:p>
        </w:tc>
        <w:tc>
          <w:tcPr>
            <w:tcW w:w="15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8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45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60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74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37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27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24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42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449" w:type="pct"/>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9" w:type="pct"/>
            <w:gridSpan w:val="4"/>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60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74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37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27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24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872" w:type="pct"/>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9"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0"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748"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79"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49"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49"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56"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0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4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3" w:type="pct"/>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1456" w:type="pct"/>
            <w:vMerge w:val="continue"/>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60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4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3" w:type="pct"/>
            <w:gridSpan w:val="3"/>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1456" w:type="pct"/>
            <w:vMerge w:val="continue"/>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60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748"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37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7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2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2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49"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9"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0"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8"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0"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9"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9"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23"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9"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79"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993.87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993.87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339.41</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339.41</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243.94</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243.94</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217.96</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217.96</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145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60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74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628.17</w:t>
            </w:r>
          </w:p>
        </w:tc>
        <w:tc>
          <w:tcPr>
            <w:tcW w:w="37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7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2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2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4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1"/>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widowControl/>
        <w:jc w:val="left"/>
        <w:rPr>
          <w:rFonts w:hint="eastAsia" w:ascii="宋体" w:hAnsi="宋体" w:eastAsia="宋体" w:cs="宋体"/>
          <w:kern w:val="0"/>
          <w:sz w:val="22"/>
          <w:szCs w:val="2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495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7"/>
        <w:gridCol w:w="642"/>
        <w:gridCol w:w="343"/>
        <w:gridCol w:w="3665"/>
        <w:gridCol w:w="1758"/>
        <w:gridCol w:w="1579"/>
        <w:gridCol w:w="1155"/>
        <w:gridCol w:w="1144"/>
        <w:gridCol w:w="1157"/>
        <w:gridCol w:w="1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Arial" w:hAnsi="Arial" w:cs="Arial"/>
                <w:i w:val="0"/>
                <w:iCs w:val="0"/>
                <w:color w:val="000000"/>
                <w:sz w:val="18"/>
                <w:szCs w:val="18"/>
                <w:u w:val="none"/>
              </w:rPr>
            </w:pPr>
          </w:p>
        </w:tc>
        <w:tc>
          <w:tcPr>
            <w:tcW w:w="22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2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305"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62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56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411"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361" w:type="pct"/>
            <w:gridSpan w:val="3"/>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9" w:type="pct"/>
            <w:gridSpan w:val="4"/>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62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56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411"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361" w:type="pct"/>
            <w:gridSpan w:val="3"/>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039"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6"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62"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07"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12"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41"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4" w:type="pct"/>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功能分类科目编码</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562"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07"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412"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9"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26"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62"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1"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7"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2"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39"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1,077.83</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1,076.23</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227.31</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227.31</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667.87</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667.87</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4"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130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6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5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411"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41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c>
          <w:tcPr>
            <w:tcW w:w="541"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0"/>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498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30"/>
        <w:gridCol w:w="450"/>
        <w:gridCol w:w="1307"/>
        <w:gridCol w:w="3220"/>
        <w:gridCol w:w="638"/>
        <w:gridCol w:w="1168"/>
        <w:gridCol w:w="1167"/>
        <w:gridCol w:w="1533"/>
        <w:gridCol w:w="1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000" w:type="pct"/>
            <w:gridSpan w:val="9"/>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eastAsia" w:ascii="Arial" w:hAnsi="Arial" w:cs="Arial"/>
                <w:i w:val="0"/>
                <w:iCs w:val="0"/>
                <w:color w:val="000000"/>
                <w:sz w:val="18"/>
                <w:szCs w:val="18"/>
                <w:u w:val="none"/>
              </w:rPr>
            </w:pPr>
          </w:p>
        </w:tc>
        <w:tc>
          <w:tcPr>
            <w:tcW w:w="15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6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14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225"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1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1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075" w:type="pct"/>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08" w:type="pct"/>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159"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6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14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225"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1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13"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075" w:type="pct"/>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69" w:type="pct"/>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8" w:type="pct"/>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9"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62"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40"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5"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13" w:type="pct"/>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3"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42"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33" w:type="pct"/>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08"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159"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6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1140"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225"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13" w:type="pct"/>
            <w:vMerge w:val="continue"/>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13"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42"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533" w:type="pct"/>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993.87</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993.87</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83.96</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83.96</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59"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08"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59" w:type="pct"/>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11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2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413"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1,077.83</w:t>
            </w:r>
          </w:p>
        </w:tc>
        <w:tc>
          <w:tcPr>
            <w:tcW w:w="54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黑体" w:hAnsi="宋体" w:eastAsia="黑体" w:cs="宋体"/>
          <w:kern w:val="0"/>
          <w:sz w:val="28"/>
          <w:szCs w:val="28"/>
          <w:highlight w:val="none"/>
        </w:rPr>
      </w:pPr>
      <w:r>
        <w:rPr>
          <w:rFonts w:hint="eastAsia" w:ascii="宋体" w:hAnsi="宋体" w:eastAsia="宋体" w:cs="宋体"/>
          <w:kern w:val="0"/>
          <w:sz w:val="22"/>
          <w:szCs w:val="22"/>
          <w:highlight w:val="none"/>
        </w:rPr>
        <w:br w:type="page"/>
      </w:r>
    </w:p>
    <w:tbl>
      <w:tblPr>
        <w:tblStyle w:val="5"/>
        <w:tblpPr w:leftFromText="180" w:rightFromText="180" w:vertAnchor="text" w:horzAnchor="page" w:tblpX="1531" w:tblpY="162"/>
        <w:tblOverlap w:val="never"/>
        <w:tblW w:w="48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5"/>
        <w:gridCol w:w="240"/>
        <w:gridCol w:w="338"/>
        <w:gridCol w:w="4479"/>
        <w:gridCol w:w="2293"/>
        <w:gridCol w:w="893"/>
        <w:gridCol w:w="1448"/>
        <w:gridCol w:w="569"/>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widowControl/>
              <w:jc w:val="center"/>
              <w:rPr>
                <w:rFonts w:hint="eastAsia" w:ascii="宋体" w:hAnsi="宋体" w:eastAsia="宋体" w:cs="宋体"/>
                <w:i w:val="0"/>
                <w:iCs w:val="0"/>
                <w:color w:val="000000"/>
                <w:sz w:val="30"/>
                <w:szCs w:val="30"/>
                <w:u w:val="none"/>
              </w:rPr>
            </w:pPr>
            <w:r>
              <w:rPr>
                <w:rFonts w:ascii="黑体" w:hAnsi="宋体" w:eastAsia="黑体" w:cs="宋体"/>
                <w:kern w:val="0"/>
                <w:sz w:val="30"/>
                <w:szCs w:val="30"/>
                <w:highlight w:val="none"/>
              </w:rPr>
              <w:br w:type="page"/>
            </w: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eastAsia" w:ascii="Arial" w:hAnsi="Arial" w:cs="Arial"/>
                <w:i w:val="0"/>
                <w:iCs w:val="0"/>
                <w:color w:val="000000"/>
                <w:sz w:val="18"/>
                <w:szCs w:val="18"/>
                <w:u w:val="none"/>
              </w:rPr>
            </w:pPr>
          </w:p>
        </w:tc>
        <w:tc>
          <w:tcPr>
            <w:tcW w:w="86"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21"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614"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1148" w:type="pct"/>
            <w:gridSpan w:val="2"/>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726" w:type="pct"/>
            <w:gridSpan w:val="2"/>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630" w:type="pct"/>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2494" w:type="pct"/>
            <w:gridSpan w:val="4"/>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1148" w:type="pct"/>
            <w:gridSpan w:val="2"/>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726" w:type="pct"/>
            <w:gridSpan w:val="2"/>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80" w:lineRule="exact"/>
              <w:rPr>
                <w:rFonts w:hint="default" w:ascii="Arial" w:hAnsi="Arial" w:cs="Arial"/>
                <w:i w:val="0"/>
                <w:iCs w:val="0"/>
                <w:color w:val="000000"/>
                <w:sz w:val="18"/>
                <w:szCs w:val="18"/>
                <w:u w:val="none"/>
              </w:rPr>
            </w:pPr>
          </w:p>
        </w:tc>
        <w:tc>
          <w:tcPr>
            <w:tcW w:w="630" w:type="pct"/>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505" w:type="pct"/>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880" w:type="pct"/>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功能分类科目编码</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科目名称</w:t>
            </w:r>
          </w:p>
        </w:tc>
        <w:tc>
          <w:tcPr>
            <w:tcW w:w="826"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小计</w:t>
            </w:r>
          </w:p>
        </w:tc>
        <w:tc>
          <w:tcPr>
            <w:tcW w:w="843" w:type="pct"/>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基本支出</w:t>
            </w:r>
          </w:p>
        </w:tc>
        <w:tc>
          <w:tcPr>
            <w:tcW w:w="835" w:type="pct"/>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2494"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494" w:type="pct"/>
            <w:gridSpan w:val="4"/>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1,077.83</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1,076.23</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358.94</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227.31</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227.31</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673.47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2160201</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667.87</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667.87</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0" w:type="pct"/>
            <w:gridSpan w:val="3"/>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2160202</w:t>
            </w:r>
          </w:p>
        </w:tc>
        <w:tc>
          <w:tcPr>
            <w:tcW w:w="161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826"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843"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835" w:type="pct"/>
            <w:gridSpan w:val="2"/>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黑体" w:hAnsi="宋体" w:eastAsia="黑体" w:cs="宋体"/>
          <w:kern w:val="0"/>
          <w:sz w:val="28"/>
          <w:szCs w:val="28"/>
          <w:highlight w:val="none"/>
        </w:rPr>
      </w:pPr>
      <w:r>
        <w:rPr>
          <w:rFonts w:ascii="黑体" w:hAnsi="宋体" w:eastAsia="黑体" w:cs="宋体"/>
          <w:kern w:val="0"/>
          <w:sz w:val="28"/>
          <w:szCs w:val="28"/>
          <w:highlight w:val="none"/>
        </w:rPr>
        <w:br w:type="page"/>
      </w:r>
    </w:p>
    <w:tbl>
      <w:tblPr>
        <w:tblStyle w:val="5"/>
        <w:tblpPr w:leftFromText="180" w:rightFromText="180" w:vertAnchor="text" w:horzAnchor="page" w:tblpX="1447" w:tblpY="40"/>
        <w:tblOverlap w:val="never"/>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2900"/>
        <w:gridCol w:w="966"/>
        <w:gridCol w:w="801"/>
        <w:gridCol w:w="2604"/>
        <w:gridCol w:w="1157"/>
        <w:gridCol w:w="806"/>
        <w:gridCol w:w="2965"/>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5000" w:type="pct"/>
            <w:gridSpan w:val="9"/>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eastAsia" w:ascii="Arial" w:hAnsi="Arial" w:cs="Arial"/>
                <w:i w:val="0"/>
                <w:iCs w:val="0"/>
                <w:color w:val="000000"/>
                <w:sz w:val="20"/>
                <w:szCs w:val="20"/>
                <w:u w:val="none"/>
              </w:rPr>
            </w:pPr>
          </w:p>
        </w:tc>
        <w:tc>
          <w:tcPr>
            <w:tcW w:w="102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340"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28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91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07"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284"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412" w:type="pct"/>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694" w:type="pct"/>
            <w:gridSpan w:val="3"/>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282"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918"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407"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284" w:type="pct"/>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rPr>
                <w:rFonts w:hint="default" w:ascii="Arial" w:hAnsi="Arial" w:cs="Arial"/>
                <w:i w:val="0"/>
                <w:iCs w:val="0"/>
                <w:color w:val="000000"/>
                <w:sz w:val="18"/>
                <w:szCs w:val="18"/>
                <w:u w:val="none"/>
              </w:rPr>
            </w:pPr>
          </w:p>
        </w:tc>
        <w:tc>
          <w:tcPr>
            <w:tcW w:w="1412" w:type="pct"/>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9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05" w:type="pct"/>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1" w:type="pc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编码</w:t>
            </w:r>
          </w:p>
        </w:tc>
        <w:tc>
          <w:tcPr>
            <w:tcW w:w="1022"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340"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c>
          <w:tcPr>
            <w:tcW w:w="282"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918"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407"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c>
          <w:tcPr>
            <w:tcW w:w="284"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1045"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367" w:type="pc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647.50</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93.21</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280.65</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211.32</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35.87</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w w:val="80"/>
                <w:kern w:val="0"/>
                <w:sz w:val="22"/>
                <w:szCs w:val="22"/>
                <w:u w:val="none"/>
                <w:lang w:val="en-US" w:eastAsia="zh-CN" w:bidi="ar"/>
              </w:rPr>
              <w:t>机关事业单位基本养老保险缴费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40.94</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w w:val="90"/>
                <w:kern w:val="0"/>
                <w:sz w:val="22"/>
                <w:szCs w:val="22"/>
                <w:u w:val="none"/>
                <w:lang w:val="en-US" w:eastAsia="zh-CN" w:bidi="ar"/>
              </w:rPr>
              <w:t>信息网络及软件购置更新</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40.02</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0.34</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328.74</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40.14</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184.16</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95.47</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w w:val="90"/>
                <w:kern w:val="0"/>
                <w:sz w:val="22"/>
                <w:szCs w:val="22"/>
                <w:u w:val="none"/>
                <w:lang w:val="en-US" w:eastAsia="zh-CN" w:bidi="ar"/>
              </w:rPr>
              <w:t>公务用车运行维护费</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38.90</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w w:val="90"/>
                <w:kern w:val="0"/>
                <w:sz w:val="22"/>
                <w:szCs w:val="22"/>
                <w:u w:val="none"/>
                <w:lang w:val="en-US" w:eastAsia="zh-CN" w:bidi="ar"/>
              </w:rPr>
              <w:t>其他对个人和家庭的补助</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1" w:type="pc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022"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c>
          <w:tcPr>
            <w:tcW w:w="282"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918"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0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84"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1045"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22"/>
                <w:szCs w:val="22"/>
                <w:u w:val="none"/>
              </w:rPr>
            </w:pP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54" w:type="pct"/>
            <w:gridSpan w:val="2"/>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40"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976.24</w:t>
            </w:r>
          </w:p>
        </w:tc>
        <w:tc>
          <w:tcPr>
            <w:tcW w:w="2938" w:type="pct"/>
            <w:gridSpan w:val="5"/>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367" w:type="pc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123" w:right="1440" w:bottom="1123"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9"/>
        <w:gridCol w:w="933"/>
        <w:gridCol w:w="1222"/>
        <w:gridCol w:w="495"/>
        <w:gridCol w:w="1247"/>
        <w:gridCol w:w="1233"/>
        <w:gridCol w:w="1222"/>
        <w:gridCol w:w="933"/>
        <w:gridCol w:w="1222"/>
        <w:gridCol w:w="496"/>
        <w:gridCol w:w="1248"/>
        <w:gridCol w:w="1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6" w:type="pct"/>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3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4"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3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86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部门：许昌市供销合作社</w:t>
            </w:r>
          </w:p>
        </w:tc>
        <w:tc>
          <w:tcPr>
            <w:tcW w:w="33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4"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3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2"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75"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4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08"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79"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320"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3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3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48"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0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3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0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3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5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4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2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9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49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14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rPr>
          <w:rFonts w:ascii="黑体" w:hAnsi="宋体" w:eastAsia="黑体" w:cs="宋体"/>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27"/>
        <w:gridCol w:w="306"/>
        <w:gridCol w:w="306"/>
        <w:gridCol w:w="1509"/>
        <w:gridCol w:w="1457"/>
        <w:gridCol w:w="1457"/>
        <w:gridCol w:w="1457"/>
        <w:gridCol w:w="1457"/>
        <w:gridCol w:w="1457"/>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部门：许昌市供销合作社</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jc w:val="left"/>
        <w:rPr>
          <w:rFonts w:hint="eastAsia" w:ascii="宋体" w:hAnsi="宋体" w:eastAsia="宋体" w:cs="宋体"/>
          <w:kern w:val="0"/>
          <w:sz w:val="22"/>
          <w:szCs w:val="2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auto"/>
          <w:sz w:val="22"/>
          <w:szCs w:val="2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2021年度收、支总计均为1,077.83万元。与上年度相比，收、支总计各增加171.74万元，增长18.95%。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2021年调入领导干部1名，接收转业干部1名，新进考录公务员8名，人员经费、公用经费均增加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2021年度收入合计993.87万元，其中：财政拨款收入993.87万元，占100%；上级补助收入0万元，占0%；事业收入0万元，占0%；经营收入0万元，占0%；附属单位上缴收入0万元，占0%；其他收入0万元，占0%。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sz w:val="32"/>
          <w:szCs w:val="24"/>
          <w:lang w:val="en-US"/>
        </w:rPr>
        <w:t>2021年度支出合计1,077.83万元，其中：基本支出1,076.23万元，占99.85%；项目支出1.6</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万元，占0.15%；</w:t>
      </w:r>
      <w:r>
        <w:rPr>
          <w:rFonts w:hint="eastAsia" w:ascii="仿宋_GB2312" w:hAnsi="仿宋_GB2312" w:eastAsia="仿宋_GB2312" w:cs="仿宋_GB2312"/>
          <w:color w:val="auto"/>
          <w:sz w:val="32"/>
          <w:szCs w:val="32"/>
          <w:highlight w:val="none"/>
          <w:lang w:val="en-US" w:eastAsia="zh-CN"/>
        </w:rPr>
        <w:t>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2021年度财政拨款收、支总计均为1,077.83万元。与上年度相比，财政拨款收、支总计各增加171.74万元，增长18.95%。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2021年调入领导干部1名，接收转业干部1名，新进考录公务员8名，人员经费、公用经费均增加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1077.83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244.20</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29.29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2021年调入领导干部1名，接收转业干部1名，新进考录公务员8名，人员经费、公用经费均增加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1077.83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0.29</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358.94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33.30</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40.74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3.78</w:t>
      </w:r>
      <w:r>
        <w:rPr>
          <w:rFonts w:hint="eastAsia" w:ascii="仿宋_GB2312" w:hAnsi="仿宋_GB2312" w:eastAsia="仿宋_GB2312" w:cs="仿宋_GB2312"/>
          <w:sz w:val="32"/>
          <w:szCs w:val="32"/>
          <w:highlight w:val="none"/>
        </w:rPr>
        <w:t>%；商业服务业等（类）支出</w:t>
      </w:r>
      <w:r>
        <w:rPr>
          <w:rFonts w:hint="eastAsia" w:ascii="仿宋_GB2312" w:hAnsi="仿宋_GB2312" w:eastAsia="仿宋_GB2312" w:cs="仿宋_GB2312"/>
          <w:sz w:val="32"/>
          <w:szCs w:val="32"/>
          <w:highlight w:val="none"/>
          <w:lang w:val="en-US" w:eastAsia="zh-CN"/>
        </w:rPr>
        <w:t>675.07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62.63</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881.22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1077.83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122.31</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一般公共服务（类）群众团体事务（款）工会事务（项）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（类）行政事业单位养老支出（款）行政单位离退休（项）。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219.45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227.31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103.58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2021年核定2020年退休人员的正式待遇，追加补发相应津补贴，因此存在差异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年初预算为36.72万元，支出决算为36.17万元，完成年初预算的98.50%。决算数与年初预算数存在差异的主要原因是使用以往年度结转资金。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社会保障和就业</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sz w:val="32"/>
          <w:szCs w:val="32"/>
          <w:lang w:eastAsia="zh-CN"/>
        </w:rPr>
        <w:t>抚恤</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死亡抚恤</w:t>
      </w:r>
      <w:r>
        <w:rPr>
          <w:rFonts w:hint="eastAsia" w:ascii="仿宋_GB2312" w:hAnsi="仿宋_GB2312" w:eastAsia="仿宋_GB2312" w:cs="仿宋_GB2312"/>
          <w:b/>
          <w:bCs/>
          <w:sz w:val="32"/>
          <w:szCs w:val="32"/>
        </w:rPr>
        <w:t>（项）。</w:t>
      </w:r>
      <w:r>
        <w:rPr>
          <w:rFonts w:hint="eastAsia" w:ascii="仿宋_GB2312" w:hAnsi="仿宋_GB2312" w:eastAsia="仿宋_GB2312" w:cs="仿宋_GB2312"/>
          <w:color w:val="auto"/>
          <w:sz w:val="32"/>
          <w:szCs w:val="32"/>
          <w:highlight w:val="none"/>
          <w:lang w:val="en-US" w:eastAsia="zh-CN"/>
        </w:rPr>
        <w:t>年初预算为0万元，支出决算为95.47万元。决算数与年初预算数存在差异的主要原因是年中存在退休去世人员。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（类）行政事业单位医疗（款）行政单位医疗（项）。</w:t>
      </w:r>
      <w:r>
        <w:rPr>
          <w:rFonts w:hint="eastAsia" w:ascii="仿宋_GB2312" w:hAnsi="仿宋_GB2312" w:eastAsia="仿宋_GB2312" w:cs="仿宋_GB2312"/>
          <w:color w:val="auto"/>
          <w:sz w:val="32"/>
          <w:szCs w:val="32"/>
          <w:highlight w:val="none"/>
          <w:lang w:val="en-US" w:eastAsia="zh-CN"/>
        </w:rPr>
        <w:t>年初预算为19.17万元，支出决算为20.02万元，完成年初预算的104.43%。决算数与年初预算数存在差异的主要原因是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2021年调入领导干部1名，接收转业干部1名，新进考录公务员8名，追加人员经费</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18.26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20.72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113.47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2021年调入领导干部1名，接收转业干部1名，新进考录公务员8名，追加人员经费</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cyan"/>
          <w:lang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sz w:val="32"/>
          <w:szCs w:val="32"/>
        </w:rPr>
        <w:t>商业服务业</w:t>
      </w:r>
      <w:r>
        <w:rPr>
          <w:rFonts w:hint="eastAsia" w:ascii="仿宋_GB2312" w:hAnsi="仿宋_GB2312" w:eastAsia="仿宋_GB2312" w:cs="仿宋_GB2312"/>
          <w:b/>
          <w:bCs/>
          <w:sz w:val="32"/>
          <w:szCs w:val="32"/>
          <w:lang w:eastAsia="zh-CN"/>
        </w:rPr>
        <w:t>等支出</w:t>
      </w:r>
      <w:r>
        <w:rPr>
          <w:rFonts w:hint="eastAsia" w:ascii="仿宋_GB2312" w:hAnsi="仿宋_GB2312" w:eastAsia="仿宋_GB2312" w:cs="仿宋_GB2312"/>
          <w:b/>
          <w:bCs/>
          <w:sz w:val="32"/>
          <w:szCs w:val="32"/>
        </w:rPr>
        <w:t>（类）商业流通事务（款）行政运行（项）。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584.54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667.87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highlight w:val="none"/>
          <w:u w:val="none"/>
          <w:lang w:val="en-US" w:eastAsia="zh-CN"/>
        </w:rPr>
        <w:t>114.26%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决算数与年初预算数存在差异的主要原因是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2021年调入领导干部1名，接收转业干部1名，新进考录公务员8名，追加经费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sz w:val="32"/>
          <w:szCs w:val="32"/>
        </w:rPr>
        <w:t>商业服务业</w:t>
      </w:r>
      <w:r>
        <w:rPr>
          <w:rFonts w:hint="eastAsia" w:ascii="仿宋_GB2312" w:hAnsi="仿宋_GB2312" w:eastAsia="仿宋_GB2312" w:cs="仿宋_GB2312"/>
          <w:b/>
          <w:bCs/>
          <w:sz w:val="32"/>
          <w:szCs w:val="32"/>
          <w:lang w:eastAsia="zh-CN"/>
        </w:rPr>
        <w:t>等支出</w:t>
      </w:r>
      <w:r>
        <w:rPr>
          <w:rFonts w:hint="eastAsia" w:ascii="仿宋_GB2312" w:hAnsi="仿宋_GB2312" w:eastAsia="仿宋_GB2312" w:cs="仿宋_GB2312"/>
          <w:b/>
          <w:bCs/>
          <w:sz w:val="32"/>
          <w:szCs w:val="32"/>
        </w:rPr>
        <w:t>（类）商业流通事务（款）一般行政管理事务（项）。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en-US" w:eastAsia="zh-CN"/>
        </w:rPr>
        <w:t>2021年新进人员较多，</w:t>
      </w:r>
      <w:r>
        <w:rPr>
          <w:rFonts w:hint="eastAsia" w:ascii="仿宋_GB2312" w:hAnsi="仿宋_GB2312" w:eastAsia="仿宋_GB2312" w:cs="仿宋_GB2312"/>
          <w:sz w:val="32"/>
          <w:szCs w:val="32"/>
          <w:lang w:eastAsia="zh-CN"/>
        </w:rPr>
        <w:t>追加公用经费</w:t>
      </w:r>
      <w:r>
        <w:rPr>
          <w:rFonts w:hint="eastAsia" w:ascii="仿宋_GB2312" w:hAnsi="仿宋_GB2312" w:eastAsia="仿宋_GB2312" w:cs="仿宋_GB2312"/>
          <w:sz w:val="32"/>
          <w:szCs w:val="32"/>
          <w:lang w:val="en-US" w:eastAsia="zh-CN"/>
        </w:rPr>
        <w:t>5.60万元</w:t>
      </w:r>
      <w:r>
        <w:rPr>
          <w:rFonts w:hint="eastAsia" w:ascii="仿宋_GB2312" w:hAnsi="仿宋_GB2312" w:eastAsia="仿宋_GB2312" w:cs="仿宋_GB2312"/>
          <w:sz w:val="32"/>
          <w:szCs w:val="32"/>
          <w:lang w:eastAsia="zh-CN"/>
        </w:rPr>
        <w:t>，二是追加纪检组办案经费</w:t>
      </w:r>
      <w:r>
        <w:rPr>
          <w:rFonts w:hint="eastAsia" w:ascii="仿宋_GB2312" w:hAnsi="仿宋_GB2312" w:eastAsia="仿宋_GB2312" w:cs="仿宋_GB2312"/>
          <w:sz w:val="32"/>
          <w:szCs w:val="32"/>
          <w:lang w:val="en-US" w:eastAsia="zh-CN"/>
        </w:rPr>
        <w:t>1.60万元。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1076.23</w:t>
      </w:r>
      <w:r>
        <w:rPr>
          <w:rFonts w:hint="eastAsia" w:ascii="仿宋_GB2312" w:hAnsi="仿宋_GB2312" w:eastAsia="仿宋_GB2312" w:cs="仿宋_GB2312"/>
          <w:sz w:val="32"/>
          <w:szCs w:val="32"/>
          <w:highlight w:val="none"/>
        </w:rPr>
        <w:t>万元。其中：</w:t>
      </w:r>
      <w:r>
        <w:rPr>
          <w:rFonts w:hint="eastAsia" w:ascii="仿宋_GB2312" w:hAnsi="仿宋_GB2312" w:eastAsia="仿宋_GB2312"/>
          <w:sz w:val="32"/>
          <w:szCs w:val="24"/>
        </w:rPr>
        <w:t>人员经费976.24万元，主要包括：基本工资、津贴补贴、</w:t>
      </w:r>
      <w:r>
        <w:rPr>
          <w:rFonts w:hint="eastAsia" w:ascii="仿宋_GB2312" w:hAnsi="仿宋_GB2312" w:eastAsia="仿宋_GB2312"/>
          <w:sz w:val="32"/>
          <w:szCs w:val="24"/>
          <w:lang w:eastAsia="zh-CN"/>
        </w:rPr>
        <w:t>奖金</w:t>
      </w:r>
      <w:r>
        <w:rPr>
          <w:rFonts w:hint="eastAsia" w:ascii="仿宋_GB2312" w:hAnsi="仿宋_GB2312" w:eastAsia="仿宋_GB2312"/>
          <w:sz w:val="32"/>
          <w:szCs w:val="24"/>
        </w:rPr>
        <w:t>、机关事业单位基本养老保险缴费、职工基本医疗保险缴费</w:t>
      </w:r>
      <w:r>
        <w:rPr>
          <w:rFonts w:hint="eastAsia" w:ascii="仿宋_GB2312" w:hAnsi="仿宋_GB2312" w:eastAsia="仿宋_GB2312"/>
          <w:sz w:val="32"/>
          <w:szCs w:val="24"/>
          <w:lang w:eastAsia="zh-CN"/>
        </w:rPr>
        <w:t>、公务员医疗补助缴费、</w:t>
      </w:r>
      <w:r>
        <w:rPr>
          <w:rFonts w:hint="eastAsia" w:ascii="仿宋_GB2312" w:hAnsi="仿宋_GB2312" w:eastAsia="仿宋_GB2312"/>
          <w:sz w:val="32"/>
          <w:szCs w:val="24"/>
        </w:rPr>
        <w:t>其他社会保障缴费、住房公积金、其他工资福利支出、离休费、退休费、抚恤金、生活补助、其他对个人和家庭的补助支出；公用经费99.99万元，主要包括：办公费、咨询费、电费、邮电费、物业管理费、差旅费、维修（护）费、会议费、公务接待费、劳务费、委托业务费、工会经费、福利费、公务用车运行维护费、其他交通费用、其他商品和服务支出、办公设备购置</w:t>
      </w:r>
      <w:r>
        <w:rPr>
          <w:rFonts w:hint="eastAsia" w:ascii="仿宋_GB2312" w:hAnsi="仿宋_GB2312" w:eastAsia="仿宋_GB2312"/>
          <w:sz w:val="32"/>
          <w:szCs w:val="24"/>
          <w:lang w:eastAsia="zh-CN"/>
        </w:rPr>
        <w:t>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5.23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93.39</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严格控制经费支出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4.03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98.29</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77.06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22.94</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b/>
          <w:sz w:val="32"/>
          <w:szCs w:val="24"/>
          <w:lang w:val="en-US"/>
        </w:rPr>
        <w:t>因公出国（境）费</w:t>
      </w:r>
      <w:r>
        <w:rPr>
          <w:rFonts w:hint="eastAsia" w:ascii="仿宋_GB2312" w:hAnsi="仿宋_GB2312" w:eastAsia="仿宋_GB2312"/>
          <w:sz w:val="32"/>
          <w:szCs w:val="24"/>
          <w:lang w:val="en-US"/>
        </w:rPr>
        <w:t>预算为0万元，支出决算为0万元。</w:t>
      </w:r>
      <w:r>
        <w:rPr>
          <w:rFonts w:hint="eastAsia" w:ascii="仿宋_GB2312" w:hAnsi="仿宋_GB2312" w:eastAsia="仿宋_GB2312"/>
          <w:sz w:val="32"/>
          <w:szCs w:val="24"/>
          <w:lang w:val="en-US" w:eastAsia="zh-CN"/>
        </w:rPr>
        <w:t>2021年度“三公”经费支出</w:t>
      </w:r>
      <w:r>
        <w:rPr>
          <w:rFonts w:hint="eastAsia" w:ascii="仿宋_GB2312" w:hAnsi="仿宋_GB2312" w:eastAsia="仿宋_GB2312"/>
          <w:sz w:val="32"/>
          <w:szCs w:val="24"/>
          <w:lang w:val="en-US"/>
        </w:rPr>
        <w:t>决算数与预算数不存在差异</w:t>
      </w:r>
      <w:r>
        <w:rPr>
          <w:rFonts w:hint="eastAsia" w:ascii="仿宋_GB2312" w:hAnsi="仿宋_GB2312" w:eastAsia="仿宋_GB2312" w:cs="仿宋_GB2312"/>
          <w:sz w:val="32"/>
          <w:szCs w:val="32"/>
          <w:highlight w:val="none"/>
        </w:rPr>
        <w:t>。</w:t>
      </w:r>
      <w:r>
        <w:rPr>
          <w:rFonts w:hint="eastAsia" w:ascii="仿宋_GB2312" w:hAnsi="仿宋_GB2312" w:eastAsia="仿宋_GB2312"/>
          <w:sz w:val="32"/>
          <w:szCs w:val="24"/>
          <w:lang w:val="en-US"/>
        </w:rPr>
        <w:t>因公出国（境）团组0个，因公出国（境）人</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98.29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shd w:val="clear"/>
        </w:rPr>
        <w:t>决算数与预算数存在差异</w:t>
      </w:r>
      <w:r>
        <w:rPr>
          <w:rFonts w:hint="eastAsia" w:ascii="仿宋_GB2312" w:hAnsi="仿宋_GB2312" w:eastAsia="仿宋_GB2312" w:cs="仿宋_GB2312"/>
          <w:sz w:val="32"/>
          <w:szCs w:val="32"/>
          <w:highlight w:val="none"/>
          <w:shd w:val="clear"/>
          <w:lang w:eastAsia="zh-CN"/>
        </w:rPr>
        <w:t>的主要原因是严格控制经费支出</w:t>
      </w:r>
      <w:r>
        <w:rPr>
          <w:rFonts w:hint="eastAsia" w:ascii="仿宋_GB2312" w:hAnsi="仿宋_GB2312" w:eastAsia="仿宋_GB2312" w:cs="仿宋_GB2312"/>
          <w:sz w:val="32"/>
          <w:szCs w:val="32"/>
          <w:highlight w:val="none"/>
          <w:shd w:val="clear"/>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4.03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公务用车加油、购买保险、维修维护等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量。</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1.50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严格控制经费支出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hd w:val="clear"/>
        <w:spacing w:line="590" w:lineRule="exact"/>
        <w:ind w:firstLine="643" w:firstLineChars="200"/>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1.20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主要用于国内公务接待。</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80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2021年度政府性基金预算财政拨款支出年初预算为0万元，支出决算为0万元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不存在项目年末结转和结余资金数额较大。情况说明：</w:t>
      </w:r>
      <w:r>
        <w:rPr>
          <w:rFonts w:hint="eastAsia" w:ascii="仿宋_GB2312" w:hAnsi="仿宋_GB2312" w:eastAsia="仿宋_GB2312" w:cs="仿宋_GB2312"/>
          <w:sz w:val="32"/>
          <w:szCs w:val="32"/>
        </w:rPr>
        <w:t>我部门202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年度没有政府性基金收入，也没有使用政府性基金安排</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87.83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113.84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2021年调入领导干部1名，接收转业干部1名，新进考录公务员8名，人员经费、公用经费均增加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w:t>
      </w:r>
      <w:r>
        <w:rPr>
          <w:rFonts w:hint="eastAsia" w:ascii="仿宋_GB2312" w:hAnsi="仿宋_GB2312" w:eastAsia="仿宋_GB2312"/>
          <w:sz w:val="32"/>
          <w:szCs w:val="24"/>
          <w:lang w:val="en-US"/>
        </w:rPr>
        <w:t>度政府采购支出总额0万元，其中：政府采购货物支出0万元、政府采购工程支出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万元、政府采购服务支出0万元。授予中小企业合同金额0万元，其中：授予小微企业合同金额0万元。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w:t>
      </w:r>
      <w:r>
        <w:rPr>
          <w:rFonts w:hint="eastAsia" w:ascii="仿宋_GB2312" w:hAnsi="仿宋_GB2312" w:eastAsia="仿宋_GB2312"/>
          <w:sz w:val="32"/>
          <w:szCs w:val="24"/>
          <w:highlight w:val="none"/>
        </w:rPr>
        <w:t>1,077.83</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sz w:val="32"/>
          <w:szCs w:val="24"/>
          <w:highlight w:val="none"/>
          <w:lang w:val="en-US"/>
        </w:rPr>
        <w:t>1,076.23</w:t>
      </w:r>
      <w:r>
        <w:rPr>
          <w:rFonts w:hint="eastAsia" w:ascii="仿宋_GB2312" w:hAnsi="仿宋_GB2312" w:eastAsia="仿宋_GB2312" w:cs="仿宋_GB2312"/>
          <w:color w:val="auto"/>
          <w:sz w:val="32"/>
          <w:szCs w:val="32"/>
          <w:highlight w:val="none"/>
          <w:lang w:val="en-US" w:eastAsia="zh-CN"/>
        </w:rPr>
        <w:t>万元；支出项目1个，支出金额1.60万元。开展项目绩效自评项目0个，自评金额0万元；纳入重点绩效评价0个，评价金额0万元。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部门本着清晰明确可量化、可实现的原则，切实结合我部门工作实际，使部门整体绩效评价指标具有较强的针对性，充分体现出我部门的工作的性质、工作内容和特点。根据绩效评价结果来看，绩效指标设定较为科学、合理，体现了针对性和可实现性。总体评价结果等次为“优”。二是项目绩效自评情况。我部门共有0个项目批复了绩效目标，项目金额0万元。我部门项目支出1.60万元为市纪委派驻纪检监察组办案基本运转经费，该项目为市纪委项目，资金由市纪委申请。</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B5271"/>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9E255C"/>
    <w:rsid w:val="02A3489A"/>
    <w:rsid w:val="02CA138D"/>
    <w:rsid w:val="033646FC"/>
    <w:rsid w:val="03C75F80"/>
    <w:rsid w:val="03FA31AE"/>
    <w:rsid w:val="0478364D"/>
    <w:rsid w:val="053D4C0D"/>
    <w:rsid w:val="0557532E"/>
    <w:rsid w:val="0799329C"/>
    <w:rsid w:val="08397436"/>
    <w:rsid w:val="086F16A7"/>
    <w:rsid w:val="0A0F7225"/>
    <w:rsid w:val="0A2B7D82"/>
    <w:rsid w:val="0A5D3B7D"/>
    <w:rsid w:val="0ADC40E9"/>
    <w:rsid w:val="0AE607F4"/>
    <w:rsid w:val="0B386127"/>
    <w:rsid w:val="0B451598"/>
    <w:rsid w:val="0BEC73F4"/>
    <w:rsid w:val="0C0515EA"/>
    <w:rsid w:val="0C392698"/>
    <w:rsid w:val="0D5C557D"/>
    <w:rsid w:val="0DBE05A4"/>
    <w:rsid w:val="10BD36F6"/>
    <w:rsid w:val="10D0167B"/>
    <w:rsid w:val="11BF0649"/>
    <w:rsid w:val="123E3E08"/>
    <w:rsid w:val="133212F4"/>
    <w:rsid w:val="13D22E22"/>
    <w:rsid w:val="161C2DFF"/>
    <w:rsid w:val="16373578"/>
    <w:rsid w:val="16D3336B"/>
    <w:rsid w:val="17200028"/>
    <w:rsid w:val="17806C36"/>
    <w:rsid w:val="17A74F62"/>
    <w:rsid w:val="18A47774"/>
    <w:rsid w:val="192C2A25"/>
    <w:rsid w:val="1A8D28EB"/>
    <w:rsid w:val="1A9F2D78"/>
    <w:rsid w:val="1B2E6FD8"/>
    <w:rsid w:val="1B877D21"/>
    <w:rsid w:val="1C1408AC"/>
    <w:rsid w:val="1C4319A9"/>
    <w:rsid w:val="1D1F4B85"/>
    <w:rsid w:val="1E443B4B"/>
    <w:rsid w:val="1E994F4A"/>
    <w:rsid w:val="1EAF0224"/>
    <w:rsid w:val="1F2230A4"/>
    <w:rsid w:val="20210932"/>
    <w:rsid w:val="202448E0"/>
    <w:rsid w:val="20F614FE"/>
    <w:rsid w:val="21302EEA"/>
    <w:rsid w:val="22376FB5"/>
    <w:rsid w:val="22AA7CF7"/>
    <w:rsid w:val="23E152D7"/>
    <w:rsid w:val="23EE2489"/>
    <w:rsid w:val="24D97BB7"/>
    <w:rsid w:val="255D43C8"/>
    <w:rsid w:val="26714EF8"/>
    <w:rsid w:val="26876BDD"/>
    <w:rsid w:val="2714632A"/>
    <w:rsid w:val="27541E73"/>
    <w:rsid w:val="27B0539E"/>
    <w:rsid w:val="29365CF8"/>
    <w:rsid w:val="299469B3"/>
    <w:rsid w:val="2A805789"/>
    <w:rsid w:val="2ADC0D75"/>
    <w:rsid w:val="2B4A0E52"/>
    <w:rsid w:val="2B912D7A"/>
    <w:rsid w:val="2C5907A4"/>
    <w:rsid w:val="2C975890"/>
    <w:rsid w:val="2CFA2379"/>
    <w:rsid w:val="2DEF21BB"/>
    <w:rsid w:val="2E4A2F05"/>
    <w:rsid w:val="2ECC1061"/>
    <w:rsid w:val="2FA476AD"/>
    <w:rsid w:val="303F7540"/>
    <w:rsid w:val="31DD00BF"/>
    <w:rsid w:val="3293174C"/>
    <w:rsid w:val="32BB38D4"/>
    <w:rsid w:val="32C9376D"/>
    <w:rsid w:val="33780472"/>
    <w:rsid w:val="33AF0905"/>
    <w:rsid w:val="355932F4"/>
    <w:rsid w:val="35611882"/>
    <w:rsid w:val="365454D7"/>
    <w:rsid w:val="36746FC3"/>
    <w:rsid w:val="368763AE"/>
    <w:rsid w:val="395D59E7"/>
    <w:rsid w:val="399D1A9B"/>
    <w:rsid w:val="39A93932"/>
    <w:rsid w:val="3A080940"/>
    <w:rsid w:val="3A10004C"/>
    <w:rsid w:val="3A915562"/>
    <w:rsid w:val="3B8D4765"/>
    <w:rsid w:val="3C000DBA"/>
    <w:rsid w:val="3C765DE7"/>
    <w:rsid w:val="3CB26374"/>
    <w:rsid w:val="3D4445A5"/>
    <w:rsid w:val="3DC045D3"/>
    <w:rsid w:val="3E281374"/>
    <w:rsid w:val="3E504FFB"/>
    <w:rsid w:val="3E615CD0"/>
    <w:rsid w:val="3E9C47F6"/>
    <w:rsid w:val="3F8B0112"/>
    <w:rsid w:val="3FAB3095"/>
    <w:rsid w:val="3FE45947"/>
    <w:rsid w:val="41242965"/>
    <w:rsid w:val="41BE352A"/>
    <w:rsid w:val="435671EA"/>
    <w:rsid w:val="437D4BB7"/>
    <w:rsid w:val="440809E9"/>
    <w:rsid w:val="442407A6"/>
    <w:rsid w:val="442B1604"/>
    <w:rsid w:val="44805EA1"/>
    <w:rsid w:val="45710696"/>
    <w:rsid w:val="46142B1B"/>
    <w:rsid w:val="47E60DD0"/>
    <w:rsid w:val="48735039"/>
    <w:rsid w:val="492C684B"/>
    <w:rsid w:val="49500594"/>
    <w:rsid w:val="49E7604E"/>
    <w:rsid w:val="4BF67CDD"/>
    <w:rsid w:val="4CE930BC"/>
    <w:rsid w:val="4D173441"/>
    <w:rsid w:val="4D603DD6"/>
    <w:rsid w:val="4EBF010F"/>
    <w:rsid w:val="4F471EB0"/>
    <w:rsid w:val="508930D9"/>
    <w:rsid w:val="51331326"/>
    <w:rsid w:val="51740A7F"/>
    <w:rsid w:val="51A5541E"/>
    <w:rsid w:val="51C96242"/>
    <w:rsid w:val="531324F8"/>
    <w:rsid w:val="53906AE1"/>
    <w:rsid w:val="54F46F60"/>
    <w:rsid w:val="55A37BEA"/>
    <w:rsid w:val="56362CD2"/>
    <w:rsid w:val="56535E58"/>
    <w:rsid w:val="56567066"/>
    <w:rsid w:val="57200F59"/>
    <w:rsid w:val="5784687B"/>
    <w:rsid w:val="57846959"/>
    <w:rsid w:val="578E6A87"/>
    <w:rsid w:val="59B20671"/>
    <w:rsid w:val="5AC2203A"/>
    <w:rsid w:val="5B6F7E1D"/>
    <w:rsid w:val="5C0367D3"/>
    <w:rsid w:val="5CBB3334"/>
    <w:rsid w:val="5D115FAF"/>
    <w:rsid w:val="5D30277E"/>
    <w:rsid w:val="60FB6FF2"/>
    <w:rsid w:val="62811722"/>
    <w:rsid w:val="62E75A72"/>
    <w:rsid w:val="63021E7C"/>
    <w:rsid w:val="63DA28FF"/>
    <w:rsid w:val="64571880"/>
    <w:rsid w:val="649125B6"/>
    <w:rsid w:val="652F4C1A"/>
    <w:rsid w:val="666D37F1"/>
    <w:rsid w:val="66A80C3D"/>
    <w:rsid w:val="67087D8F"/>
    <w:rsid w:val="671F687E"/>
    <w:rsid w:val="67F415F8"/>
    <w:rsid w:val="682640D1"/>
    <w:rsid w:val="684B73E5"/>
    <w:rsid w:val="6A047A2A"/>
    <w:rsid w:val="6EFB7548"/>
    <w:rsid w:val="6F3831C3"/>
    <w:rsid w:val="6F5C7BF2"/>
    <w:rsid w:val="6F8B71C1"/>
    <w:rsid w:val="6FBE597B"/>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9100</Words>
  <Characters>11022</Characters>
  <Lines>60</Lines>
  <Paragraphs>16</Paragraphs>
  <TotalTime>11</TotalTime>
  <ScaleCrop>false</ScaleCrop>
  <LinksUpToDate>false</LinksUpToDate>
  <CharactersWithSpaces>11248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2023-02-15T06:08:00Z</cp:lastPrinted>
  <dcterms:modified xsi:type="dcterms:W3CDTF">2023-05-09T08:17:08Z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688E8BCE10C843EEACD04793EC420293</vt:lpwstr>
  </property>
</Properties>
</file>