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lang w:eastAsia="zh-CN"/>
        </w:rPr>
        <w:t>许昌市体育局</w:t>
      </w:r>
      <w:r>
        <w:rPr>
          <w:rFonts w:hint="eastAsia" w:ascii="黑体" w:hAnsi="黑体" w:eastAsia="黑体" w:cs="黑体"/>
          <w:sz w:val="52"/>
          <w:szCs w:val="52"/>
          <w:highlight w:val="none"/>
        </w:rPr>
        <w:t>部门决算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sz w:val="32"/>
          <w:szCs w:val="32"/>
          <w:highlight w:val="none"/>
          <w:lang w:eastAsia="zh-CN"/>
        </w:rPr>
        <w:t>许昌市体育局</w:t>
      </w:r>
      <w:r>
        <w:rPr>
          <w:rFonts w:hint="eastAsia" w:ascii="黑体" w:hAnsi="黑体" w:eastAsia="黑体" w:cs="黑体"/>
          <w:sz w:val="32"/>
          <w:szCs w:val="32"/>
          <w:highlight w:val="none"/>
        </w:rPr>
        <w:t>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部门职责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2021年度部门决算表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ascii="黑体" w:hAnsi="黑体" w:eastAsia="黑体" w:cs="黑体"/>
          <w:sz w:val="32"/>
          <w:szCs w:val="32"/>
          <w:highlight w:val="none"/>
        </w:rPr>
        <w:t>部门</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宋体" w:eastAsia="黑体" w:cs="宋体"/>
          <w:kern w:val="0"/>
          <w:sz w:val="28"/>
          <w:szCs w:val="28"/>
          <w:highlight w:val="none"/>
        </w:rPr>
      </w:pPr>
      <w:r>
        <w:rPr>
          <w:rFonts w:hint="eastAsia" w:ascii="黑体" w:hAnsi="黑体" w:eastAsia="黑体" w:cs="黑体"/>
          <w:sz w:val="48"/>
          <w:szCs w:val="48"/>
          <w:highlight w:val="none"/>
        </w:rPr>
        <w:t xml:space="preserve">第一部分  </w:t>
      </w:r>
      <w:r>
        <w:rPr>
          <w:rFonts w:hint="eastAsia" w:ascii="黑体" w:hAnsi="黑体" w:eastAsia="黑体" w:cs="黑体"/>
          <w:sz w:val="48"/>
          <w:szCs w:val="48"/>
          <w:highlight w:val="none"/>
          <w:lang w:eastAsia="zh-CN"/>
        </w:rPr>
        <w:t>许昌市体育局</w:t>
      </w:r>
      <w:r>
        <w:rPr>
          <w:rFonts w:hint="eastAsia" w:ascii="黑体" w:hAnsi="黑体" w:eastAsia="黑体" w:cs="黑体"/>
          <w:sz w:val="48"/>
          <w:szCs w:val="48"/>
          <w:highlight w:val="none"/>
        </w:rPr>
        <w:t>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jc w:val="left"/>
        <w:outlineLvl w:val="1"/>
        <w:rPr>
          <w:rFonts w:ascii="黑体" w:hAnsi="黑体" w:eastAsia="黑体" w:cs="黑体"/>
          <w:kern w:val="0"/>
          <w:sz w:val="32"/>
          <w:szCs w:val="32"/>
          <w:highlight w:val="none"/>
        </w:rPr>
      </w:pPr>
    </w:p>
    <w:p>
      <w:pPr>
        <w:widowControl/>
        <w:numPr>
          <w:ilvl w:val="0"/>
          <w:numId w:val="2"/>
        </w:numPr>
        <w:ind w:firstLine="640" w:firstLineChars="200"/>
        <w:jc w:val="left"/>
        <w:outlineLvl w:val="1"/>
        <w:rPr>
          <w:rFonts w:hint="eastAsia" w:ascii="黑体" w:hAnsi="黑体" w:eastAsia="黑体" w:cs="黑体"/>
          <w:bCs/>
          <w:sz w:val="32"/>
          <w:szCs w:val="32"/>
          <w:highlight w:val="none"/>
        </w:rPr>
      </w:pPr>
      <w:r>
        <w:rPr>
          <w:rFonts w:hint="eastAsia" w:ascii="黑体" w:hAnsi="黑体" w:eastAsia="黑体" w:cs="黑体"/>
          <w:kern w:val="0"/>
          <w:sz w:val="32"/>
          <w:szCs w:val="32"/>
          <w:highlight w:val="none"/>
        </w:rPr>
        <w:t>部门</w:t>
      </w:r>
      <w:r>
        <w:rPr>
          <w:rFonts w:hint="eastAsia" w:ascii="黑体" w:hAnsi="黑体" w:eastAsia="黑体" w:cs="黑体"/>
          <w:bCs/>
          <w:sz w:val="32"/>
          <w:szCs w:val="32"/>
          <w:highlight w:val="none"/>
        </w:rPr>
        <w:t>职责</w:t>
      </w:r>
    </w:p>
    <w:p>
      <w:pPr>
        <w:adjustRightInd w:val="0"/>
        <w:snapToGrid w:val="0"/>
        <w:spacing w:line="360" w:lineRule="auto"/>
        <w:ind w:firstLine="640"/>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（一）贯彻落实党和国家体育工作方针、政策，研究拟定全市体育工作的发展规划并监督实施。</w:t>
      </w:r>
    </w:p>
    <w:p>
      <w:pPr>
        <w:adjustRightInd w:val="0"/>
        <w:snapToGrid w:val="0"/>
        <w:spacing w:line="360" w:lineRule="auto"/>
        <w:ind w:firstLine="640"/>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（二）指导和推动体育体制改革、制定体育发展战略、编制全市体育事业中长期发展规划、年度计划。</w:t>
      </w:r>
    </w:p>
    <w:p>
      <w:pPr>
        <w:adjustRightInd w:val="0"/>
        <w:snapToGrid w:val="0"/>
        <w:spacing w:line="360" w:lineRule="auto"/>
        <w:ind w:firstLine="640"/>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（三）指导各县（市、区）的体育工作。推行《全民健身计划纲要》，指导开展群众性体育活动。实施国家体育锻炼标准，开展国民体质监测。</w:t>
      </w:r>
    </w:p>
    <w:p>
      <w:pPr>
        <w:adjustRightInd w:val="0"/>
        <w:snapToGrid w:val="0"/>
        <w:spacing w:line="360" w:lineRule="auto"/>
        <w:ind w:firstLine="640"/>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（四）统筹规划竞技体育发展、研究全市体育项目的布局；负责市运动员队伍建设和体育后备人才的培养；组织开展反兴奋剂工作。</w:t>
      </w:r>
    </w:p>
    <w:p>
      <w:pPr>
        <w:adjustRightInd w:val="0"/>
        <w:snapToGrid w:val="0"/>
        <w:spacing w:line="360" w:lineRule="auto"/>
        <w:ind w:firstLine="640"/>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（五）负责体育外事工作，组织参加和承办各级各类体育竞赛，举办全市综合性运动会。</w:t>
      </w:r>
    </w:p>
    <w:p>
      <w:pPr>
        <w:adjustRightInd w:val="0"/>
        <w:snapToGrid w:val="0"/>
        <w:spacing w:line="360" w:lineRule="auto"/>
        <w:ind w:firstLine="640"/>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（六）组织体育领域科研和成果的推广，发展体育教育；负责对全市体校及业余训练的业务指导。</w:t>
      </w:r>
    </w:p>
    <w:p>
      <w:pPr>
        <w:adjustRightInd w:val="0"/>
        <w:snapToGrid w:val="0"/>
        <w:spacing w:line="360" w:lineRule="auto"/>
        <w:ind w:firstLine="640"/>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（七）研究体育产业政策、发展体育市场、指导体育彩票发行工作；负责体育经营活动从业条件的审核、审批。</w:t>
      </w:r>
    </w:p>
    <w:p>
      <w:pPr>
        <w:adjustRightInd w:val="0"/>
        <w:snapToGrid w:val="0"/>
        <w:spacing w:line="360" w:lineRule="auto"/>
        <w:ind w:firstLine="640"/>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（八）负责全市体育社团的资格审查。</w:t>
      </w:r>
    </w:p>
    <w:p>
      <w:pPr>
        <w:adjustRightInd w:val="0"/>
        <w:snapToGrid w:val="0"/>
        <w:spacing w:line="360" w:lineRule="auto"/>
        <w:ind w:firstLine="640"/>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（九）负责全市体育设施布局、规划。</w:t>
      </w:r>
    </w:p>
    <w:p>
      <w:pPr>
        <w:adjustRightInd w:val="0"/>
        <w:snapToGrid w:val="0"/>
        <w:spacing w:line="360" w:lineRule="auto"/>
        <w:ind w:firstLine="640"/>
        <w:rPr>
          <w:rFonts w:hint="eastAsia" w:ascii="仿宋_GB2312" w:hAnsi="宋体" w:eastAsia="仿宋_GB2312" w:cs="宋体"/>
          <w:kern w:val="0"/>
          <w:sz w:val="32"/>
          <w:szCs w:val="32"/>
          <w:highlight w:val="none"/>
          <w:lang w:eastAsia="zh-CN"/>
        </w:rPr>
      </w:pPr>
      <w:r>
        <w:rPr>
          <w:rFonts w:hint="eastAsia" w:ascii="仿宋_GB2312" w:hAnsi="仿宋_GB2312" w:eastAsia="仿宋_GB2312" w:cs="仿宋_GB2312"/>
          <w:color w:val="auto"/>
          <w:kern w:val="0"/>
          <w:sz w:val="32"/>
          <w:szCs w:val="32"/>
          <w:highlight w:val="none"/>
          <w:lang w:val="en-US" w:eastAsia="zh-CN"/>
        </w:rPr>
        <w:t>（十）承办市政府交办的其他事项</w:t>
      </w:r>
      <w:r>
        <w:rPr>
          <w:rFonts w:hint="eastAsia" w:ascii="仿宋_GB2312" w:hAnsi="宋体" w:eastAsia="仿宋_GB2312" w:cs="宋体"/>
          <w:kern w:val="0"/>
          <w:sz w:val="32"/>
          <w:szCs w:val="32"/>
          <w:highlight w:val="none"/>
          <w:lang w:eastAsia="zh-CN"/>
        </w:rPr>
        <w:t>。</w:t>
      </w: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许昌市体育局内设机构4个，包括：办公室、群体科、青训科、产业发展科。</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从决算单位构成看，许昌市体育局部门决算包括：本级决算（1个）、所属单位决算(3个)。</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本决算为汇总决算，纳入本部门2021年度部门决算编制范围的单位共4个，其中二级单位3个，具体是：</w:t>
      </w:r>
    </w:p>
    <w:p>
      <w:pPr>
        <w:widowControl/>
        <w:numPr>
          <w:ilvl w:val="0"/>
          <w:numId w:val="3"/>
        </w:numPr>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许昌市体育局（本级）</w:t>
      </w:r>
    </w:p>
    <w:p>
      <w:pPr>
        <w:widowControl/>
        <w:numPr>
          <w:ilvl w:val="0"/>
          <w:numId w:val="3"/>
        </w:numPr>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许昌市体育运动学校</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3、许昌市业余体校</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4、许昌市体育场馆设施管理中心</w:t>
      </w:r>
    </w:p>
    <w:p>
      <w:pPr>
        <w:widowControl/>
        <w:ind w:firstLine="640" w:firstLineChars="200"/>
        <w:jc w:val="left"/>
        <w:rPr>
          <w:rFonts w:hint="eastAsia" w:ascii="仿宋_GB2312" w:hAnsi="仿宋_GB2312" w:eastAsia="仿宋_GB2312" w:cs="仿宋_GB2312"/>
          <w:kern w:val="0"/>
          <w:sz w:val="32"/>
          <w:szCs w:val="32"/>
          <w:highlight w:val="none"/>
        </w:rPr>
      </w:pPr>
    </w:p>
    <w:p>
      <w:pPr>
        <w:widowControl/>
        <w:jc w:val="left"/>
        <w:rPr>
          <w:rFonts w:hint="eastAsia" w:ascii="黑体" w:hAnsi="宋体" w:eastAsia="黑体" w:cs="宋体"/>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2021年度部门决算表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tbl>
      <w:tblPr>
        <w:tblStyle w:val="5"/>
        <w:tblW w:w="140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887"/>
        <w:gridCol w:w="858"/>
        <w:gridCol w:w="1434"/>
        <w:gridCol w:w="4599"/>
        <w:gridCol w:w="858"/>
        <w:gridCol w:w="14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70" w:type="dxa"/>
            <w:gridSpan w:val="6"/>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6"/>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部门：许昌市体育局</w:t>
            </w: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1,601.20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683.61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1,038.75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696.84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179.68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1,879.10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2,284.81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3,893.35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1,608.54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3,893.35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3,893.35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rPr>
          <w:rFonts w:hint="eastAsia" w:ascii="仿宋_GB2312" w:hAnsi="仿宋_GB2312" w:eastAsia="仿宋_GB2312" w:cs="仿宋_GB2312"/>
          <w:sz w:val="32"/>
          <w:szCs w:val="32"/>
          <w:highlight w:val="none"/>
        </w:rPr>
      </w:pPr>
    </w:p>
    <w:tbl>
      <w:tblPr>
        <w:tblStyle w:val="5"/>
        <w:tblW w:w="1405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90"/>
        <w:gridCol w:w="3956"/>
        <w:gridCol w:w="1305"/>
        <w:gridCol w:w="1305"/>
        <w:gridCol w:w="1300"/>
        <w:gridCol w:w="1300"/>
        <w:gridCol w:w="1300"/>
        <w:gridCol w:w="1300"/>
        <w:gridCol w:w="13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55"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9"/>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6"/>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部门：许昌市体育局</w:t>
            </w: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30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30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130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130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130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130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130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30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0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0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0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0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0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0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30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0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0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0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0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0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0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30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0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0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0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0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0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0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30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0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0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30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30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30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30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2,284.81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2,284.81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888.42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888.42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职业教育</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888.42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888.42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2050302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中等职业教育</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888.42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888.42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547.51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547.51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文化和旅游</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体育</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524.82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524.82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2070301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342.84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342.84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2070302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2070306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体育训练</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121.44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121.44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2070307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体育场馆</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54.42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54.42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2070808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广播电视事务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138.69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138.69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59.95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59.95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23.20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23.20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683.61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683.61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彩票公益金安排的支出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683.61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683.61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用于体育事业的彩票公益金支出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683.61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683.61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90"/>
        <w:gridCol w:w="3956"/>
        <w:gridCol w:w="1500"/>
        <w:gridCol w:w="1500"/>
        <w:gridCol w:w="1500"/>
        <w:gridCol w:w="1492"/>
        <w:gridCol w:w="1492"/>
        <w:gridCol w:w="14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920" w:type="dxa"/>
            <w:gridSpan w:val="8"/>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8"/>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6"/>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部门：许昌市体育局</w:t>
            </w: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50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50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50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50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150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50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5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5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5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5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5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3,893.35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2,008.12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1,885.23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77.41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77.41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1,038.75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1,038.75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职业教育</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1,038.75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1,038.75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2050302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中等职业教育</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1,038.75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1,038.75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696.84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690.72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文化和旅游</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体育</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674.16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668.03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2070301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406.98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406.98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2070302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2070306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体育训练</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2070307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体育场馆</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112.95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112.95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2070808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广播电视事务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179.68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179.68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158.09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158.09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72.53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41.68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41.68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1,879.10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1,879.10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彩票公益金安排的支出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1,879.10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1,879.10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用于体育事业的彩票公益金支出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1,879.10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1,879.10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8"/>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0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334"/>
        <w:gridCol w:w="540"/>
        <w:gridCol w:w="1232"/>
        <w:gridCol w:w="3779"/>
        <w:gridCol w:w="540"/>
        <w:gridCol w:w="1176"/>
        <w:gridCol w:w="1264"/>
        <w:gridCol w:w="1264"/>
        <w:gridCol w:w="9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40"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9"/>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7"/>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部门：许昌市体育局</w:t>
            </w: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0" w:type="auto"/>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3135"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20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52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26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26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26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313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52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6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6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6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1,601.20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77.41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77.41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683.61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1,038.75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1,038.75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696.84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696.84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179.68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179.68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1,879.10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1,879.10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2,284.81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3,893.35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2,014.25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1,879.10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1,608.54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413.05</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1,195.49</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3,893.35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3,893.35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2,014.25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1,879.10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4040" w:type="dxa"/>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16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90"/>
        <w:gridCol w:w="3956"/>
        <w:gridCol w:w="2250"/>
        <w:gridCol w:w="2224"/>
        <w:gridCol w:w="2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1670" w:type="dxa"/>
            <w:gridSpan w:val="5"/>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5"/>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部门：许昌市体育局</w:t>
            </w: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750"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25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225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25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99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2,014.25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2,008.12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77.41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77.41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1,038.75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1,038.75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职业教育</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1,038.75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1,038.75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2050302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中等职业教育</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1,038.75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1,038.75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696.84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690.72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文化和旅游</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体育</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674.16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668.03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2070301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406.98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406.98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2070302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2070306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体育训练</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2070307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体育场馆</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112.95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112.95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2070808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广播电视事务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179.68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179.68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158.09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158.09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72.53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41.68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41.68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5"/>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注：本表反映部门本年度一般公共预算财政拨款支出情况。本套报表金额单位转换时可能存在尾数误差。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246"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84"/>
        <w:gridCol w:w="2935"/>
        <w:gridCol w:w="1202"/>
        <w:gridCol w:w="793"/>
        <w:gridCol w:w="2139"/>
        <w:gridCol w:w="816"/>
        <w:gridCol w:w="780"/>
        <w:gridCol w:w="3900"/>
        <w:gridCol w:w="8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246"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4246" w:type="dxa"/>
            <w:gridSpan w:val="9"/>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449" w:type="dxa"/>
            <w:gridSpan w:val="7"/>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部门：许昌市体育局</w:t>
            </w:r>
          </w:p>
        </w:tc>
        <w:tc>
          <w:tcPr>
            <w:tcW w:w="4797"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21"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9325" w:type="dxa"/>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exact"/>
        </w:trPr>
        <w:tc>
          <w:tcPr>
            <w:tcW w:w="784"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93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20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793"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13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81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78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390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89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784"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93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0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9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13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1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8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9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9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exact"/>
        </w:trPr>
        <w:tc>
          <w:tcPr>
            <w:tcW w:w="78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29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12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1,491.32</w:t>
            </w:r>
          </w:p>
        </w:tc>
        <w:tc>
          <w:tcPr>
            <w:tcW w:w="7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21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8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248.31</w:t>
            </w:r>
          </w:p>
        </w:tc>
        <w:tc>
          <w:tcPr>
            <w:tcW w:w="7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39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8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exact"/>
        </w:trPr>
        <w:tc>
          <w:tcPr>
            <w:tcW w:w="78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29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12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349.08</w:t>
            </w:r>
          </w:p>
        </w:tc>
        <w:tc>
          <w:tcPr>
            <w:tcW w:w="7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21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8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87.93</w:t>
            </w:r>
          </w:p>
        </w:tc>
        <w:tc>
          <w:tcPr>
            <w:tcW w:w="7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39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8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exact"/>
        </w:trPr>
        <w:tc>
          <w:tcPr>
            <w:tcW w:w="78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29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12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227.80</w:t>
            </w:r>
          </w:p>
        </w:tc>
        <w:tc>
          <w:tcPr>
            <w:tcW w:w="7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21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8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2.45</w:t>
            </w:r>
          </w:p>
        </w:tc>
        <w:tc>
          <w:tcPr>
            <w:tcW w:w="7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39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8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exact"/>
        </w:trPr>
        <w:tc>
          <w:tcPr>
            <w:tcW w:w="78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29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12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357.58</w:t>
            </w:r>
          </w:p>
        </w:tc>
        <w:tc>
          <w:tcPr>
            <w:tcW w:w="7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21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8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7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39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8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exact"/>
        </w:trPr>
        <w:tc>
          <w:tcPr>
            <w:tcW w:w="78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29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12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21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8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w:t>
            </w:r>
          </w:p>
        </w:tc>
        <w:tc>
          <w:tcPr>
            <w:tcW w:w="7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39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8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exact"/>
        </w:trPr>
        <w:tc>
          <w:tcPr>
            <w:tcW w:w="78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29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12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200.46</w:t>
            </w:r>
          </w:p>
        </w:tc>
        <w:tc>
          <w:tcPr>
            <w:tcW w:w="7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21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8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2.51</w:t>
            </w:r>
          </w:p>
        </w:tc>
        <w:tc>
          <w:tcPr>
            <w:tcW w:w="7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39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8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exact"/>
        </w:trPr>
        <w:tc>
          <w:tcPr>
            <w:tcW w:w="78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29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12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96.10</w:t>
            </w:r>
          </w:p>
        </w:tc>
        <w:tc>
          <w:tcPr>
            <w:tcW w:w="7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21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8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7.88</w:t>
            </w:r>
          </w:p>
        </w:tc>
        <w:tc>
          <w:tcPr>
            <w:tcW w:w="7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39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8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exact"/>
        </w:trPr>
        <w:tc>
          <w:tcPr>
            <w:tcW w:w="78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29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12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4.70</w:t>
            </w:r>
          </w:p>
        </w:tc>
        <w:tc>
          <w:tcPr>
            <w:tcW w:w="7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21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8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3.63</w:t>
            </w:r>
          </w:p>
        </w:tc>
        <w:tc>
          <w:tcPr>
            <w:tcW w:w="7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39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8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exact"/>
        </w:trPr>
        <w:tc>
          <w:tcPr>
            <w:tcW w:w="78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29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12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51.54</w:t>
            </w:r>
          </w:p>
        </w:tc>
        <w:tc>
          <w:tcPr>
            <w:tcW w:w="7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21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8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39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8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exact"/>
        </w:trPr>
        <w:tc>
          <w:tcPr>
            <w:tcW w:w="78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29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12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6.58</w:t>
            </w:r>
          </w:p>
        </w:tc>
        <w:tc>
          <w:tcPr>
            <w:tcW w:w="7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21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8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17.40</w:t>
            </w:r>
          </w:p>
        </w:tc>
        <w:tc>
          <w:tcPr>
            <w:tcW w:w="7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39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8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exact"/>
        </w:trPr>
        <w:tc>
          <w:tcPr>
            <w:tcW w:w="78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29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12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10.75</w:t>
            </w:r>
          </w:p>
        </w:tc>
        <w:tc>
          <w:tcPr>
            <w:tcW w:w="7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21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8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4.15</w:t>
            </w:r>
          </w:p>
        </w:tc>
        <w:tc>
          <w:tcPr>
            <w:tcW w:w="7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39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8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exact"/>
        </w:trPr>
        <w:tc>
          <w:tcPr>
            <w:tcW w:w="78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29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2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121.68</w:t>
            </w:r>
          </w:p>
        </w:tc>
        <w:tc>
          <w:tcPr>
            <w:tcW w:w="7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21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8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39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8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exact"/>
        </w:trPr>
        <w:tc>
          <w:tcPr>
            <w:tcW w:w="78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29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12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21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8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0.20</w:t>
            </w:r>
          </w:p>
        </w:tc>
        <w:tc>
          <w:tcPr>
            <w:tcW w:w="7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39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8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exact"/>
        </w:trPr>
        <w:tc>
          <w:tcPr>
            <w:tcW w:w="78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29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12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65.05</w:t>
            </w:r>
          </w:p>
        </w:tc>
        <w:tc>
          <w:tcPr>
            <w:tcW w:w="7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21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8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0.26</w:t>
            </w:r>
          </w:p>
        </w:tc>
        <w:tc>
          <w:tcPr>
            <w:tcW w:w="7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39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8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exact"/>
        </w:trPr>
        <w:tc>
          <w:tcPr>
            <w:tcW w:w="78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29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12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267.84</w:t>
            </w:r>
          </w:p>
        </w:tc>
        <w:tc>
          <w:tcPr>
            <w:tcW w:w="7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21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8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0.26</w:t>
            </w:r>
          </w:p>
        </w:tc>
        <w:tc>
          <w:tcPr>
            <w:tcW w:w="7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39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8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exact"/>
        </w:trPr>
        <w:tc>
          <w:tcPr>
            <w:tcW w:w="78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29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12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21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8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0.78</w:t>
            </w:r>
          </w:p>
        </w:tc>
        <w:tc>
          <w:tcPr>
            <w:tcW w:w="7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39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8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exact"/>
        </w:trPr>
        <w:tc>
          <w:tcPr>
            <w:tcW w:w="78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29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12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229.86</w:t>
            </w:r>
          </w:p>
        </w:tc>
        <w:tc>
          <w:tcPr>
            <w:tcW w:w="7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21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8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0.14</w:t>
            </w:r>
          </w:p>
        </w:tc>
        <w:tc>
          <w:tcPr>
            <w:tcW w:w="7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39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8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exact"/>
        </w:trPr>
        <w:tc>
          <w:tcPr>
            <w:tcW w:w="78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29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12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21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8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39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8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exact"/>
        </w:trPr>
        <w:tc>
          <w:tcPr>
            <w:tcW w:w="78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29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12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21.66</w:t>
            </w:r>
          </w:p>
        </w:tc>
        <w:tc>
          <w:tcPr>
            <w:tcW w:w="7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21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8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39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8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exact"/>
        </w:trPr>
        <w:tc>
          <w:tcPr>
            <w:tcW w:w="78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29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12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5.23</w:t>
            </w:r>
          </w:p>
        </w:tc>
        <w:tc>
          <w:tcPr>
            <w:tcW w:w="7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21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8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39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w:t>
            </w:r>
            <w:bookmarkStart w:id="0" w:name="_GoBack"/>
            <w:bookmarkEnd w:id="0"/>
            <w:r>
              <w:rPr>
                <w:rFonts w:hint="eastAsia" w:ascii="宋体" w:hAnsi="宋体" w:eastAsia="宋体" w:cs="宋体"/>
                <w:i w:val="0"/>
                <w:iCs w:val="0"/>
                <w:color w:val="000000"/>
                <w:kern w:val="0"/>
                <w:sz w:val="22"/>
                <w:szCs w:val="22"/>
                <w:u w:val="none"/>
                <w:lang w:val="en-US" w:eastAsia="zh-CN" w:bidi="ar"/>
              </w:rPr>
              <w:t>资本性支出</w:t>
            </w:r>
          </w:p>
        </w:tc>
        <w:tc>
          <w:tcPr>
            <w:tcW w:w="8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exact"/>
        </w:trPr>
        <w:tc>
          <w:tcPr>
            <w:tcW w:w="78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29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12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21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8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2.95</w:t>
            </w:r>
          </w:p>
        </w:tc>
        <w:tc>
          <w:tcPr>
            <w:tcW w:w="7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39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8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exact"/>
        </w:trPr>
        <w:tc>
          <w:tcPr>
            <w:tcW w:w="78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29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12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21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8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12.09</w:t>
            </w:r>
          </w:p>
        </w:tc>
        <w:tc>
          <w:tcPr>
            <w:tcW w:w="7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39906</w:t>
            </w:r>
          </w:p>
        </w:tc>
        <w:tc>
          <w:tcPr>
            <w:tcW w:w="39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赠与</w:t>
            </w:r>
          </w:p>
        </w:tc>
        <w:tc>
          <w:tcPr>
            <w:tcW w:w="8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exact"/>
        </w:trPr>
        <w:tc>
          <w:tcPr>
            <w:tcW w:w="78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29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12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21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8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7.41</w:t>
            </w:r>
          </w:p>
        </w:tc>
        <w:tc>
          <w:tcPr>
            <w:tcW w:w="7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39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8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exact"/>
        </w:trPr>
        <w:tc>
          <w:tcPr>
            <w:tcW w:w="78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29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12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21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8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30.25</w:t>
            </w:r>
          </w:p>
        </w:tc>
        <w:tc>
          <w:tcPr>
            <w:tcW w:w="7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39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补贴</w:t>
            </w:r>
          </w:p>
        </w:tc>
        <w:tc>
          <w:tcPr>
            <w:tcW w:w="8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exact"/>
        </w:trPr>
        <w:tc>
          <w:tcPr>
            <w:tcW w:w="78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29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12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21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8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w:t>
            </w:r>
          </w:p>
        </w:tc>
        <w:tc>
          <w:tcPr>
            <w:tcW w:w="78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39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8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exact"/>
        </w:trPr>
        <w:tc>
          <w:tcPr>
            <w:tcW w:w="78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29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12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0.47</w:t>
            </w:r>
          </w:p>
        </w:tc>
        <w:tc>
          <w:tcPr>
            <w:tcW w:w="7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21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8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13.03</w:t>
            </w:r>
          </w:p>
        </w:tc>
        <w:tc>
          <w:tcPr>
            <w:tcW w:w="78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90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exact"/>
        </w:trPr>
        <w:tc>
          <w:tcPr>
            <w:tcW w:w="78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29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12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10.61</w:t>
            </w:r>
          </w:p>
        </w:tc>
        <w:tc>
          <w:tcPr>
            <w:tcW w:w="7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21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8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w:t>
            </w:r>
          </w:p>
        </w:tc>
        <w:tc>
          <w:tcPr>
            <w:tcW w:w="78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90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exact"/>
        </w:trPr>
        <w:tc>
          <w:tcPr>
            <w:tcW w:w="78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293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2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21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8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45.76</w:t>
            </w:r>
          </w:p>
        </w:tc>
        <w:tc>
          <w:tcPr>
            <w:tcW w:w="78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90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exact"/>
        </w:trPr>
        <w:tc>
          <w:tcPr>
            <w:tcW w:w="3719"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12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1,759.16</w:t>
            </w:r>
          </w:p>
        </w:tc>
        <w:tc>
          <w:tcPr>
            <w:tcW w:w="8428" w:type="dxa"/>
            <w:gridSpan w:val="5"/>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8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248.96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246" w:type="dxa"/>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0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70"/>
        <w:gridCol w:w="1170"/>
        <w:gridCol w:w="1170"/>
        <w:gridCol w:w="1170"/>
        <w:gridCol w:w="1170"/>
        <w:gridCol w:w="1170"/>
        <w:gridCol w:w="1170"/>
        <w:gridCol w:w="1170"/>
        <w:gridCol w:w="1170"/>
        <w:gridCol w:w="1170"/>
        <w:gridCol w:w="1170"/>
        <w:gridCol w:w="11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4040" w:type="dxa"/>
            <w:gridSpan w:val="12"/>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30"/>
                <w:szCs w:val="30"/>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1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10"/>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部门：许昌市体育局</w:t>
            </w: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02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7020"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7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7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510"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17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117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7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510"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17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17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17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17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17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17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17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17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7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7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7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7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7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7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17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17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17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17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7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17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4040" w:type="dxa"/>
            <w:gridSpan w:val="1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139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92"/>
        <w:gridCol w:w="4242"/>
        <w:gridCol w:w="1571"/>
        <w:gridCol w:w="1437"/>
        <w:gridCol w:w="1571"/>
        <w:gridCol w:w="1168"/>
        <w:gridCol w:w="1571"/>
        <w:gridCol w:w="11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920" w:type="dxa"/>
            <w:gridSpan w:val="8"/>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8"/>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6"/>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部门：许昌市体育局</w:t>
            </w: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50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50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4500"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150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0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50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50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1,195.49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683.61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1,879.10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1,879.10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1,195.49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683.61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1,879.10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1,879.10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彩票公益金安排的支出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1,195.49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683.61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1,879.10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1,879.10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用于体育事业的彩票公益金支出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1,195.49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683.61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1,879.10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1,879.10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8"/>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注：本表反映部门本年度政府性基金预算财政拨款收入、支出及结转和结余情况。本表金额转换为万元时，因四舍五入可能存在尾差。</w:t>
            </w:r>
          </w:p>
        </w:tc>
      </w:tr>
    </w:tbl>
    <w:p>
      <w:pPr>
        <w:widowControl/>
        <w:spacing w:line="590" w:lineRule="exact"/>
        <w:jc w:val="left"/>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2021年度部门决算情况说明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年度收、支总计均为</w:t>
      </w:r>
      <w:r>
        <w:rPr>
          <w:rFonts w:hint="eastAsia" w:ascii="仿宋_GB2312" w:hAnsi="仿宋_GB2312" w:eastAsia="仿宋_GB2312" w:cs="仿宋_GB2312"/>
          <w:sz w:val="32"/>
          <w:szCs w:val="32"/>
          <w:highlight w:val="none"/>
          <w:lang w:val="en-US" w:eastAsia="zh-CN"/>
        </w:rPr>
        <w:t>3893.35</w:t>
      </w:r>
      <w:r>
        <w:rPr>
          <w:rFonts w:hint="eastAsia" w:ascii="仿宋_GB2312" w:hAnsi="仿宋_GB2312" w:eastAsia="仿宋_GB2312" w:cs="仿宋_GB2312"/>
          <w:sz w:val="32"/>
          <w:szCs w:val="32"/>
          <w:highlight w:val="none"/>
        </w:rPr>
        <w:t>万元。与上年度相比，收、支总计各减少</w:t>
      </w:r>
      <w:r>
        <w:rPr>
          <w:rFonts w:hint="eastAsia" w:ascii="仿宋_GB2312" w:hAnsi="仿宋_GB2312" w:eastAsia="仿宋_GB2312" w:cs="仿宋_GB2312"/>
          <w:sz w:val="32"/>
          <w:szCs w:val="32"/>
          <w:highlight w:val="none"/>
          <w:lang w:val="en-US" w:eastAsia="zh-CN"/>
        </w:rPr>
        <w:t>5734.28</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59.56</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eastAsia="zh-CN"/>
        </w:rPr>
        <w:t>疫情原因，比赛减少，体彩公益金收支减少</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w:t>
      </w:r>
      <w:r>
        <w:rPr>
          <w:rFonts w:hint="eastAsia" w:ascii="仿宋_GB2312" w:hAnsi="仿宋_GB2312" w:eastAsia="仿宋_GB2312" w:cs="仿宋_GB2312"/>
          <w:sz w:val="32"/>
          <w:szCs w:val="32"/>
          <w:highlight w:val="none"/>
          <w:lang w:val="en-US" w:eastAsia="zh-CN"/>
        </w:rPr>
        <w:t>2284.81</w:t>
      </w:r>
      <w:r>
        <w:rPr>
          <w:rFonts w:hint="eastAsia" w:ascii="仿宋_GB2312" w:hAnsi="仿宋_GB2312" w:eastAsia="仿宋_GB2312" w:cs="仿宋_GB2312"/>
          <w:sz w:val="32"/>
          <w:szCs w:val="32"/>
          <w:highlight w:val="none"/>
        </w:rPr>
        <w:t>万元，其中：财政拨款收入</w:t>
      </w:r>
      <w:r>
        <w:rPr>
          <w:rFonts w:hint="eastAsia" w:ascii="仿宋_GB2312" w:hAnsi="仿宋_GB2312" w:eastAsia="仿宋_GB2312" w:cs="仿宋_GB2312"/>
          <w:sz w:val="32"/>
          <w:szCs w:val="32"/>
          <w:highlight w:val="none"/>
          <w:lang w:val="en-US" w:eastAsia="zh-CN"/>
        </w:rPr>
        <w:t>2284.81</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%；事业收入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%；附属单位上缴收入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%；其他收入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年度支出合计</w:t>
      </w:r>
      <w:r>
        <w:rPr>
          <w:rFonts w:hint="eastAsia" w:ascii="仿宋_GB2312" w:hAnsi="仿宋_GB2312" w:eastAsia="仿宋_GB2312" w:cs="仿宋_GB2312"/>
          <w:sz w:val="32"/>
          <w:szCs w:val="32"/>
          <w:highlight w:val="none"/>
          <w:lang w:val="en-US" w:eastAsia="zh-CN"/>
        </w:rPr>
        <w:t>3893.35</w:t>
      </w:r>
      <w:r>
        <w:rPr>
          <w:rFonts w:hint="eastAsia" w:ascii="仿宋_GB2312" w:hAnsi="仿宋_GB2312" w:eastAsia="仿宋_GB2312" w:cs="仿宋_GB2312"/>
          <w:sz w:val="32"/>
          <w:szCs w:val="32"/>
          <w:highlight w:val="none"/>
        </w:rPr>
        <w:t>万元，其中：基本支出</w:t>
      </w:r>
      <w:r>
        <w:rPr>
          <w:rFonts w:hint="eastAsia" w:ascii="仿宋_GB2312" w:hAnsi="仿宋_GB2312" w:eastAsia="仿宋_GB2312" w:cs="仿宋_GB2312"/>
          <w:sz w:val="32"/>
          <w:szCs w:val="32"/>
          <w:highlight w:val="none"/>
          <w:lang w:val="en-US" w:eastAsia="zh-CN"/>
        </w:rPr>
        <w:t>2008.12</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51.58</w:t>
      </w:r>
      <w:r>
        <w:rPr>
          <w:rFonts w:hint="eastAsia" w:ascii="仿宋_GB2312" w:hAnsi="仿宋_GB2312" w:eastAsia="仿宋_GB2312" w:cs="仿宋_GB2312"/>
          <w:sz w:val="32"/>
          <w:szCs w:val="32"/>
          <w:highlight w:val="none"/>
        </w:rPr>
        <w:t>%；项目支出</w:t>
      </w:r>
      <w:r>
        <w:rPr>
          <w:rFonts w:hint="eastAsia" w:ascii="仿宋_GB2312" w:hAnsi="仿宋_GB2312" w:eastAsia="仿宋_GB2312" w:cs="仿宋_GB2312"/>
          <w:sz w:val="32"/>
          <w:szCs w:val="32"/>
          <w:highlight w:val="none"/>
          <w:lang w:val="en-US" w:eastAsia="zh-CN"/>
        </w:rPr>
        <w:t>1885.23</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48.42</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lang w:val="en-US" w:eastAsia="zh-CN"/>
        </w:rPr>
        <w:t>上缴上级支出0.00万元，占0.00%；经营支出0.00万元，占0.00%；对附属单位补助支出0.00万元，占0.00%。</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年度财政拨款收、支总计均为</w:t>
      </w:r>
      <w:r>
        <w:rPr>
          <w:rFonts w:hint="eastAsia" w:ascii="仿宋_GB2312" w:hAnsi="仿宋_GB2312" w:eastAsia="仿宋_GB2312" w:cs="仿宋_GB2312"/>
          <w:sz w:val="32"/>
          <w:szCs w:val="32"/>
          <w:highlight w:val="none"/>
          <w:lang w:val="en-US" w:eastAsia="zh-CN"/>
        </w:rPr>
        <w:t>3893.35</w:t>
      </w:r>
      <w:r>
        <w:rPr>
          <w:rFonts w:hint="eastAsia" w:ascii="仿宋_GB2312" w:hAnsi="仿宋_GB2312" w:eastAsia="仿宋_GB2312" w:cs="仿宋_GB2312"/>
          <w:sz w:val="32"/>
          <w:szCs w:val="32"/>
          <w:highlight w:val="none"/>
        </w:rPr>
        <w:t>万元。与上年度相比，财政拨款收、支总计各减少</w:t>
      </w:r>
      <w:r>
        <w:rPr>
          <w:rFonts w:hint="eastAsia" w:ascii="仿宋_GB2312" w:hAnsi="仿宋_GB2312" w:eastAsia="仿宋_GB2312" w:cs="仿宋_GB2312"/>
          <w:sz w:val="32"/>
          <w:szCs w:val="32"/>
          <w:highlight w:val="none"/>
          <w:lang w:val="en-US" w:eastAsia="zh-CN"/>
        </w:rPr>
        <w:t>5521.45</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58.65</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eastAsia="zh-CN"/>
        </w:rPr>
        <w:t>疫情原因，比赛减少，体彩公益金收支减少</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2014.25</w:t>
      </w:r>
      <w:r>
        <w:rPr>
          <w:rFonts w:hint="eastAsia" w:ascii="仿宋_GB2312" w:hAnsi="仿宋_GB2312" w:eastAsia="仿宋_GB2312" w:cs="仿宋_GB2312"/>
          <w:sz w:val="32"/>
          <w:szCs w:val="32"/>
          <w:highlight w:val="none"/>
        </w:rPr>
        <w:t>万元，占支出合计的</w:t>
      </w:r>
      <w:r>
        <w:rPr>
          <w:rFonts w:hint="eastAsia" w:ascii="仿宋_GB2312" w:hAnsi="仿宋_GB2312" w:eastAsia="仿宋_GB2312" w:cs="仿宋_GB2312"/>
          <w:sz w:val="32"/>
          <w:szCs w:val="32"/>
          <w:highlight w:val="none"/>
          <w:lang w:val="en-US" w:eastAsia="zh-CN"/>
        </w:rPr>
        <w:t>51.74</w:t>
      </w:r>
      <w:r>
        <w:rPr>
          <w:rFonts w:hint="eastAsia" w:ascii="仿宋_GB2312" w:hAnsi="仿宋_GB2312" w:eastAsia="仿宋_GB2312" w:cs="仿宋_GB2312"/>
          <w:sz w:val="32"/>
          <w:szCs w:val="32"/>
          <w:highlight w:val="none"/>
        </w:rPr>
        <w:t>%。与上年度相比，一般公共预算财政拨款支出增加</w:t>
      </w:r>
      <w:r>
        <w:rPr>
          <w:rFonts w:hint="eastAsia" w:ascii="仿宋_GB2312" w:hAnsi="仿宋_GB2312" w:eastAsia="仿宋_GB2312" w:cs="仿宋_GB2312"/>
          <w:sz w:val="32"/>
          <w:szCs w:val="32"/>
          <w:highlight w:val="none"/>
          <w:lang w:val="en-US" w:eastAsia="zh-CN"/>
        </w:rPr>
        <w:t>183.83</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10.04</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eastAsia="zh-CN"/>
        </w:rPr>
        <w:t>业务需要，物价上涨</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2014.25</w:t>
      </w:r>
      <w:r>
        <w:rPr>
          <w:rFonts w:hint="eastAsia" w:ascii="仿宋_GB2312" w:hAnsi="仿宋_GB2312" w:eastAsia="仿宋_GB2312" w:cs="仿宋_GB2312"/>
          <w:sz w:val="32"/>
          <w:szCs w:val="32"/>
          <w:highlight w:val="none"/>
        </w:rPr>
        <w:t>万元，主要用于以下方面：一般公共服务（类）支出</w:t>
      </w:r>
      <w:r>
        <w:rPr>
          <w:rFonts w:hint="eastAsia" w:ascii="仿宋_GB2312" w:hAnsi="仿宋_GB2312" w:eastAsia="仿宋_GB2312" w:cs="仿宋_GB2312"/>
          <w:sz w:val="32"/>
          <w:szCs w:val="32"/>
          <w:highlight w:val="none"/>
          <w:lang w:val="en-US" w:eastAsia="zh-CN"/>
        </w:rPr>
        <w:t>77.41</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3.84</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教育（类）支出1038.75万元，占51.57%；</w:t>
      </w:r>
      <w:r>
        <w:rPr>
          <w:rFonts w:hint="eastAsia" w:ascii="仿宋_GB2312" w:hAnsi="仿宋_GB2312" w:eastAsia="仿宋_GB2312" w:cs="仿宋_GB2312"/>
          <w:color w:val="auto"/>
          <w:sz w:val="32"/>
          <w:szCs w:val="32"/>
          <w:highlight w:val="none"/>
          <w:lang w:val="en-US" w:eastAsia="zh-CN"/>
        </w:rPr>
        <w:t>文化旅游体育与传媒（类）支出696.84万元，占34.60%；社会保障和就业（类）支出179.68万元，占8.92%；卫生健康（类）支出21.57万元，占1.07%</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color w:val="auto"/>
          <w:sz w:val="32"/>
          <w:szCs w:val="32"/>
          <w:highlight w:val="none"/>
          <w:lang w:val="en-US" w:eastAsia="zh-CN"/>
        </w:rPr>
        <w:t>1935.75</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2014.25</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104.06</w:t>
      </w:r>
      <w:r>
        <w:rPr>
          <w:rFonts w:hint="eastAsia" w:ascii="仿宋_GB2312" w:hAnsi="仿宋_GB2312" w:eastAsia="仿宋_GB2312" w:cs="仿宋_GB2312"/>
          <w:sz w:val="32"/>
          <w:szCs w:val="32"/>
          <w:highlight w:val="none"/>
        </w:rPr>
        <w:t>%。其中：</w:t>
      </w:r>
    </w:p>
    <w:p>
      <w:pPr>
        <w:numPr>
          <w:ilvl w:val="0"/>
          <w:numId w:val="4"/>
        </w:numPr>
        <w:adjustRightInd w:val="0"/>
        <w:snapToGrid w:val="0"/>
        <w:spacing w:line="360" w:lineRule="auto"/>
        <w:ind w:firstLine="643" w:firstLineChars="200"/>
        <w:rPr>
          <w:rFonts w:hint="eastAsia" w:ascii="仿宋_GB2312" w:hAnsi="宋体" w:eastAsia="仿宋_GB2312" w:cs="Courier New"/>
          <w:sz w:val="32"/>
          <w:szCs w:val="32"/>
          <w:highlight w:val="none"/>
          <w:lang w:val="en-US" w:eastAsia="zh-CN"/>
        </w:rPr>
      </w:pPr>
      <w:r>
        <w:rPr>
          <w:rFonts w:hint="eastAsia" w:ascii="仿宋_GB2312" w:hAnsi="宋体" w:eastAsia="仿宋_GB2312" w:cs="Courier New"/>
          <w:b/>
          <w:bCs/>
          <w:sz w:val="32"/>
          <w:szCs w:val="32"/>
          <w:highlight w:val="none"/>
          <w:lang w:val="en-US" w:eastAsia="zh-CN"/>
        </w:rPr>
        <w:t>一般公共服务支出（类）群众团体事务（款）工会事务（项）。</w:t>
      </w:r>
      <w:r>
        <w:rPr>
          <w:rFonts w:hint="eastAsia" w:ascii="仿宋_GB2312" w:hAnsi="宋体" w:eastAsia="仿宋_GB2312" w:cs="Courier New"/>
          <w:sz w:val="32"/>
          <w:szCs w:val="32"/>
          <w:highlight w:val="none"/>
          <w:lang w:val="en-US" w:eastAsia="zh-CN"/>
        </w:rPr>
        <w:t>年初预算为8.87万元，支出决算为7.41万元，完成年初预算的83.54%。决算数与年初预算数存在差异的主要原因是工会经费增加。</w:t>
      </w:r>
    </w:p>
    <w:p>
      <w:pPr>
        <w:numPr>
          <w:ilvl w:val="0"/>
          <w:numId w:val="4"/>
        </w:numPr>
        <w:adjustRightInd w:val="0"/>
        <w:snapToGrid w:val="0"/>
        <w:spacing w:line="360" w:lineRule="auto"/>
        <w:ind w:firstLine="643" w:firstLineChars="200"/>
        <w:rPr>
          <w:rFonts w:hint="eastAsia" w:ascii="仿宋_GB2312" w:hAnsi="宋体" w:eastAsia="仿宋_GB2312" w:cs="Courier New"/>
          <w:sz w:val="32"/>
          <w:szCs w:val="32"/>
          <w:highlight w:val="none"/>
          <w:lang w:val="en-US" w:eastAsia="zh-CN"/>
        </w:rPr>
      </w:pPr>
      <w:r>
        <w:rPr>
          <w:rFonts w:hint="eastAsia" w:ascii="仿宋_GB2312" w:hAnsi="宋体" w:eastAsia="仿宋_GB2312" w:cs="Courier New"/>
          <w:b/>
          <w:bCs/>
          <w:sz w:val="32"/>
          <w:szCs w:val="32"/>
          <w:highlight w:val="none"/>
          <w:lang w:val="en-US" w:eastAsia="zh-CN"/>
        </w:rPr>
        <w:t>一般公共服务支出（类）其他一般公共服务支出（款）其他一般公共服务支出（项）。</w:t>
      </w:r>
      <w:r>
        <w:rPr>
          <w:rFonts w:hint="eastAsia" w:ascii="仿宋_GB2312" w:hAnsi="宋体" w:eastAsia="仿宋_GB2312" w:cs="Courier New"/>
          <w:sz w:val="32"/>
          <w:szCs w:val="32"/>
          <w:highlight w:val="none"/>
          <w:lang w:val="en-US" w:eastAsia="zh-CN"/>
        </w:rPr>
        <w:t>年初预算为0.00万元，支出决算为70.00万元。决算数与年初预算数存在差异的主要原因是其他一般公共服务支出增加。</w:t>
      </w:r>
    </w:p>
    <w:p>
      <w:pPr>
        <w:numPr>
          <w:ilvl w:val="0"/>
          <w:numId w:val="4"/>
        </w:numPr>
        <w:adjustRightInd w:val="0"/>
        <w:snapToGrid w:val="0"/>
        <w:spacing w:line="360" w:lineRule="auto"/>
        <w:ind w:firstLine="643" w:firstLineChars="200"/>
        <w:rPr>
          <w:rFonts w:hint="eastAsia" w:ascii="仿宋_GB2312" w:hAnsi="宋体" w:eastAsia="仿宋_GB2312" w:cs="Courier New"/>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教育支出（类）职业教育（款）中等职业教育（项）</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年初预算为889.51万元，支出决算为1038.75万元</w:t>
      </w:r>
      <w:r>
        <w:rPr>
          <w:rFonts w:hint="eastAsia" w:ascii="仿宋_GB2312" w:hAnsi="宋体" w:eastAsia="仿宋_GB2312" w:cs="Courier New"/>
          <w:sz w:val="32"/>
          <w:szCs w:val="32"/>
          <w:highlight w:val="none"/>
          <w:lang w:val="en-US" w:eastAsia="zh-CN"/>
        </w:rPr>
        <w:t>，完成年初预算的116.78%</w:t>
      </w:r>
      <w:r>
        <w:rPr>
          <w:rFonts w:hint="eastAsia" w:ascii="仿宋_GB2312" w:hAnsi="仿宋_GB2312" w:eastAsia="仿宋_GB2312" w:cs="仿宋_GB2312"/>
          <w:color w:val="auto"/>
          <w:sz w:val="32"/>
          <w:szCs w:val="32"/>
          <w:highlight w:val="none"/>
          <w:lang w:val="en-US" w:eastAsia="zh-CN"/>
        </w:rPr>
        <w:t>。决算数与年初预算数存在差异的主要原因是本年</w:t>
      </w:r>
      <w:r>
        <w:rPr>
          <w:rFonts w:hint="eastAsia" w:ascii="仿宋_GB2312" w:hAnsi="仿宋_GB2312" w:eastAsia="仿宋_GB2312" w:cs="仿宋_GB2312"/>
          <w:b w:val="0"/>
          <w:bCs w:val="0"/>
          <w:color w:val="auto"/>
          <w:sz w:val="32"/>
          <w:szCs w:val="32"/>
          <w:highlight w:val="none"/>
          <w:lang w:val="en-US" w:eastAsia="zh-CN"/>
        </w:rPr>
        <w:t>中等职业教育支出增加</w:t>
      </w:r>
      <w:r>
        <w:rPr>
          <w:rFonts w:hint="eastAsia" w:ascii="仿宋_GB2312" w:hAnsi="仿宋_GB2312" w:eastAsia="仿宋_GB2312" w:cs="仿宋_GB2312"/>
          <w:color w:val="auto"/>
          <w:sz w:val="32"/>
          <w:szCs w:val="32"/>
          <w:highlight w:val="none"/>
          <w:lang w:val="en-US" w:eastAsia="zh-CN"/>
        </w:rPr>
        <w:t>。</w:t>
      </w:r>
    </w:p>
    <w:p>
      <w:pPr>
        <w:numPr>
          <w:ilvl w:val="0"/>
          <w:numId w:val="4"/>
        </w:numPr>
        <w:adjustRightInd w:val="0"/>
        <w:snapToGrid w:val="0"/>
        <w:spacing w:line="360" w:lineRule="auto"/>
        <w:ind w:firstLine="643" w:firstLineChars="200"/>
        <w:rPr>
          <w:rFonts w:ascii="仿宋_GB2312" w:hAnsi="宋体" w:eastAsia="仿宋_GB2312" w:cs="Courier New"/>
          <w:b/>
          <w:bCs/>
          <w:sz w:val="32"/>
          <w:szCs w:val="32"/>
          <w:highlight w:val="none"/>
        </w:rPr>
      </w:pPr>
      <w:r>
        <w:rPr>
          <w:rFonts w:hint="eastAsia" w:ascii="仿宋_GB2312" w:hAnsi="仿宋_GB2312" w:eastAsia="仿宋_GB2312" w:cs="仿宋_GB2312"/>
          <w:b/>
          <w:bCs/>
          <w:sz w:val="32"/>
          <w:szCs w:val="32"/>
          <w:highlight w:val="none"/>
          <w:lang w:val="en-US" w:eastAsia="zh-CN"/>
        </w:rPr>
        <w:t>文化旅游体育与传媒支出（类）文化和旅游（款）行政运行（项）</w:t>
      </w:r>
      <w:r>
        <w:rPr>
          <w:rFonts w:hint="eastAsia" w:ascii="仿宋_GB2312" w:hAnsi="宋体" w:eastAsia="仿宋_GB2312" w:cs="Courier New"/>
          <w:sz w:val="32"/>
          <w:szCs w:val="32"/>
          <w:highlight w:val="none"/>
          <w:lang w:val="en-US" w:eastAsia="zh-CN"/>
        </w:rPr>
        <w:t>年</w:t>
      </w:r>
      <w:r>
        <w:rPr>
          <w:rFonts w:hint="eastAsia" w:ascii="仿宋_GB2312" w:hAnsi="宋体" w:eastAsia="仿宋_GB2312" w:cs="Courier New"/>
          <w:sz w:val="32"/>
          <w:szCs w:val="32"/>
          <w:highlight w:val="none"/>
        </w:rPr>
        <w:t>初预算为</w:t>
      </w:r>
      <w:r>
        <w:rPr>
          <w:rFonts w:hint="eastAsia" w:ascii="仿宋_GB2312" w:hAnsi="宋体" w:eastAsia="仿宋_GB2312" w:cs="Courier New"/>
          <w:sz w:val="32"/>
          <w:szCs w:val="32"/>
          <w:highlight w:val="none"/>
          <w:lang w:val="en-US" w:eastAsia="zh-CN"/>
        </w:rPr>
        <w:t>15.21</w:t>
      </w:r>
      <w:r>
        <w:rPr>
          <w:rFonts w:hint="eastAsia" w:ascii="仿宋_GB2312" w:hAnsi="宋体" w:eastAsia="仿宋_GB2312" w:cs="Courier New"/>
          <w:sz w:val="32"/>
          <w:szCs w:val="32"/>
          <w:highlight w:val="none"/>
        </w:rPr>
        <w:t>万元</w:t>
      </w:r>
      <w:r>
        <w:rPr>
          <w:rFonts w:hint="eastAsia" w:ascii="仿宋_GB2312" w:hAnsi="宋体" w:eastAsia="仿宋_GB2312" w:cs="Courier New"/>
          <w:sz w:val="32"/>
          <w:szCs w:val="32"/>
          <w:highlight w:val="none"/>
          <w:lang w:eastAsia="zh-CN"/>
        </w:rPr>
        <w:t>，支出</w:t>
      </w:r>
      <w:r>
        <w:rPr>
          <w:rFonts w:hint="eastAsia" w:ascii="仿宋_GB2312" w:hAnsi="宋体" w:eastAsia="仿宋_GB2312" w:cs="Courier New"/>
          <w:sz w:val="32"/>
          <w:szCs w:val="32"/>
          <w:highlight w:val="none"/>
          <w:lang w:val="en-US" w:eastAsia="zh-CN"/>
        </w:rPr>
        <w:t>决算数13.72万元，</w:t>
      </w:r>
      <w:r>
        <w:rPr>
          <w:rFonts w:hint="eastAsia" w:ascii="仿宋_GB2312" w:hAnsi="宋体" w:eastAsia="仿宋_GB2312" w:cs="Courier New"/>
          <w:sz w:val="32"/>
          <w:szCs w:val="32"/>
          <w:highlight w:val="none"/>
        </w:rPr>
        <w:t>完成年初预算的</w:t>
      </w:r>
      <w:r>
        <w:rPr>
          <w:rFonts w:hint="eastAsia" w:ascii="仿宋_GB2312" w:hAnsi="宋体" w:eastAsia="仿宋_GB2312" w:cs="Courier New"/>
          <w:sz w:val="32"/>
          <w:szCs w:val="32"/>
          <w:highlight w:val="none"/>
          <w:lang w:val="en-US" w:eastAsia="zh-CN"/>
        </w:rPr>
        <w:t>90.20</w:t>
      </w:r>
      <w:r>
        <w:rPr>
          <w:rFonts w:hint="eastAsia" w:ascii="仿宋_GB2312" w:hAnsi="宋体" w:eastAsia="仿宋_GB2312" w:cs="Courier New"/>
          <w:sz w:val="32"/>
          <w:szCs w:val="32"/>
          <w:highlight w:val="none"/>
        </w:rPr>
        <w:t>%</w:t>
      </w:r>
      <w:r>
        <w:rPr>
          <w:rFonts w:hint="eastAsia" w:ascii="仿宋_GB2312" w:hAnsi="宋体" w:eastAsia="仿宋_GB2312" w:cs="Courier New"/>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决算数与年初预算数存在差异的主要原因是响应政府号召过紧日子，压缩各项支出。</w:t>
      </w:r>
    </w:p>
    <w:p>
      <w:pPr>
        <w:numPr>
          <w:ilvl w:val="0"/>
          <w:numId w:val="4"/>
        </w:numPr>
        <w:adjustRightInd w:val="0"/>
        <w:snapToGrid w:val="0"/>
        <w:spacing w:line="360" w:lineRule="auto"/>
        <w:ind w:firstLine="643" w:firstLineChars="200"/>
        <w:rPr>
          <w:rFonts w:ascii="仿宋_GB2312" w:hAnsi="宋体" w:eastAsia="仿宋_GB2312" w:cs="Courier New"/>
          <w:b/>
          <w:bCs/>
          <w:sz w:val="32"/>
          <w:szCs w:val="32"/>
          <w:highlight w:val="none"/>
        </w:rPr>
      </w:pPr>
      <w:r>
        <w:rPr>
          <w:rFonts w:hint="eastAsia" w:ascii="仿宋_GB2312" w:hAnsi="仿宋_GB2312" w:eastAsia="仿宋_GB2312" w:cs="仿宋_GB2312"/>
          <w:b/>
          <w:bCs/>
          <w:sz w:val="32"/>
          <w:szCs w:val="32"/>
          <w:highlight w:val="none"/>
          <w:lang w:val="en-US" w:eastAsia="zh-CN"/>
        </w:rPr>
        <w:t>文化旅游体育与传媒支出（类）体育（款）行政运行（项）</w:t>
      </w:r>
      <w:r>
        <w:rPr>
          <w:rFonts w:hint="eastAsia" w:ascii="仿宋_GB2312" w:hAnsi="宋体" w:eastAsia="仿宋_GB2312" w:cs="Courier New"/>
          <w:sz w:val="32"/>
          <w:szCs w:val="32"/>
          <w:highlight w:val="none"/>
          <w:lang w:val="en-US" w:eastAsia="zh-CN"/>
        </w:rPr>
        <w:t>年初预算为358.80万元，支出决算数406.98万元，完成年初预算的113.43</w:t>
      </w:r>
      <w:r>
        <w:rPr>
          <w:rFonts w:hint="eastAsia" w:ascii="仿宋_GB2312" w:hAnsi="宋体" w:eastAsia="仿宋_GB2312" w:cs="Courier New"/>
          <w:sz w:val="32"/>
          <w:szCs w:val="32"/>
          <w:highlight w:val="none"/>
        </w:rPr>
        <w:t>%</w:t>
      </w:r>
      <w:r>
        <w:rPr>
          <w:rFonts w:hint="eastAsia" w:ascii="仿宋_GB2312" w:hAnsi="宋体" w:eastAsia="仿宋_GB2312" w:cs="Courier New"/>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决算数与年初预算数存在差异的主要原因是包含了一般行政管理事项。</w:t>
      </w:r>
    </w:p>
    <w:p>
      <w:pPr>
        <w:numPr>
          <w:ilvl w:val="0"/>
          <w:numId w:val="4"/>
        </w:numPr>
        <w:adjustRightInd w:val="0"/>
        <w:snapToGrid w:val="0"/>
        <w:spacing w:line="360" w:lineRule="auto"/>
        <w:ind w:firstLine="643" w:firstLineChars="200"/>
        <w:rPr>
          <w:rFonts w:ascii="仿宋_GB2312" w:hAnsi="宋体" w:eastAsia="仿宋_GB2312" w:cs="Courier New"/>
          <w:b/>
          <w:bCs/>
          <w:sz w:val="32"/>
          <w:szCs w:val="32"/>
          <w:highlight w:val="none"/>
        </w:rPr>
      </w:pPr>
      <w:r>
        <w:rPr>
          <w:rFonts w:hint="eastAsia" w:ascii="仿宋_GB2312" w:hAnsi="仿宋_GB2312" w:eastAsia="仿宋_GB2312" w:cs="仿宋_GB2312"/>
          <w:b/>
          <w:bCs/>
          <w:sz w:val="32"/>
          <w:szCs w:val="32"/>
          <w:highlight w:val="none"/>
          <w:lang w:val="en-US" w:eastAsia="zh-CN"/>
        </w:rPr>
        <w:t>文化旅游体育与传媒支出</w:t>
      </w:r>
      <w:r>
        <w:rPr>
          <w:rFonts w:hint="eastAsia" w:ascii="仿宋_GB2312" w:hAnsi="仿宋_GB2312" w:eastAsia="仿宋_GB2312" w:cs="仿宋_GB2312"/>
          <w:b/>
          <w:bCs/>
          <w:color w:val="auto"/>
          <w:sz w:val="32"/>
          <w:szCs w:val="32"/>
          <w:highlight w:val="none"/>
          <w:lang w:val="en-US" w:eastAsia="zh-CN"/>
        </w:rPr>
        <w:t>（类）体育（款）一般行政管理事务（项）</w:t>
      </w:r>
      <w:r>
        <w:rPr>
          <w:rFonts w:hint="eastAsia" w:ascii="仿宋_GB2312" w:hAnsi="宋体" w:eastAsia="仿宋_GB2312" w:cs="Courier New"/>
          <w:sz w:val="32"/>
          <w:szCs w:val="32"/>
          <w:highlight w:val="none"/>
          <w:lang w:val="en-US" w:eastAsia="zh-CN"/>
        </w:rPr>
        <w:t>年</w:t>
      </w:r>
      <w:r>
        <w:rPr>
          <w:rFonts w:hint="eastAsia" w:ascii="仿宋_GB2312" w:hAnsi="宋体" w:eastAsia="仿宋_GB2312" w:cs="Courier New"/>
          <w:sz w:val="32"/>
          <w:szCs w:val="32"/>
          <w:highlight w:val="none"/>
        </w:rPr>
        <w:t>初预算为</w:t>
      </w:r>
      <w:r>
        <w:rPr>
          <w:rFonts w:hint="eastAsia" w:ascii="仿宋_GB2312" w:hAnsi="宋体" w:eastAsia="仿宋_GB2312" w:cs="Courier New"/>
          <w:sz w:val="32"/>
          <w:szCs w:val="32"/>
          <w:highlight w:val="none"/>
          <w:lang w:val="en-US" w:eastAsia="zh-CN"/>
        </w:rPr>
        <w:t>41.50</w:t>
      </w:r>
      <w:r>
        <w:rPr>
          <w:rFonts w:hint="eastAsia" w:ascii="仿宋_GB2312" w:hAnsi="宋体" w:eastAsia="仿宋_GB2312" w:cs="Courier New"/>
          <w:sz w:val="32"/>
          <w:szCs w:val="32"/>
          <w:highlight w:val="none"/>
        </w:rPr>
        <w:t>万元</w:t>
      </w:r>
      <w:r>
        <w:rPr>
          <w:rFonts w:hint="eastAsia" w:ascii="仿宋_GB2312" w:hAnsi="宋体" w:eastAsia="仿宋_GB2312" w:cs="Courier New"/>
          <w:sz w:val="32"/>
          <w:szCs w:val="32"/>
          <w:highlight w:val="none"/>
          <w:lang w:eastAsia="zh-CN"/>
        </w:rPr>
        <w:t>，支出</w:t>
      </w:r>
      <w:r>
        <w:rPr>
          <w:rFonts w:hint="eastAsia" w:ascii="仿宋_GB2312" w:hAnsi="宋体" w:eastAsia="仿宋_GB2312" w:cs="Courier New"/>
          <w:sz w:val="32"/>
          <w:szCs w:val="32"/>
          <w:highlight w:val="none"/>
          <w:lang w:val="en-US" w:eastAsia="zh-CN"/>
        </w:rPr>
        <w:t>决算数6.13万元，</w:t>
      </w:r>
      <w:r>
        <w:rPr>
          <w:rFonts w:hint="eastAsia" w:ascii="仿宋_GB2312" w:hAnsi="宋体" w:eastAsia="仿宋_GB2312" w:cs="Courier New"/>
          <w:sz w:val="32"/>
          <w:szCs w:val="32"/>
          <w:highlight w:val="none"/>
        </w:rPr>
        <w:t>完成年初预算的</w:t>
      </w:r>
      <w:r>
        <w:rPr>
          <w:rFonts w:hint="eastAsia" w:ascii="仿宋_GB2312" w:hAnsi="宋体" w:eastAsia="仿宋_GB2312" w:cs="Courier New"/>
          <w:sz w:val="32"/>
          <w:szCs w:val="32"/>
          <w:highlight w:val="none"/>
          <w:lang w:val="en-US" w:eastAsia="zh-CN"/>
        </w:rPr>
        <w:t>14.77</w:t>
      </w:r>
      <w:r>
        <w:rPr>
          <w:rFonts w:hint="eastAsia" w:ascii="仿宋_GB2312" w:hAnsi="宋体" w:eastAsia="仿宋_GB2312" w:cs="Courier New"/>
          <w:sz w:val="32"/>
          <w:szCs w:val="32"/>
          <w:highlight w:val="none"/>
        </w:rPr>
        <w:t>%。</w:t>
      </w:r>
      <w:r>
        <w:rPr>
          <w:rFonts w:hint="eastAsia" w:ascii="仿宋_GB2312" w:hAnsi="仿宋_GB2312" w:eastAsia="仿宋_GB2312" w:cs="仿宋_GB2312"/>
          <w:color w:val="auto"/>
          <w:sz w:val="32"/>
          <w:szCs w:val="32"/>
          <w:highlight w:val="none"/>
          <w:lang w:val="en-US" w:eastAsia="zh-CN"/>
        </w:rPr>
        <w:t>决算数与年初预算数存在差异的主要原因是一般行政管理事项，支出在行政运行里边。</w:t>
      </w:r>
    </w:p>
    <w:p>
      <w:pPr>
        <w:numPr>
          <w:ilvl w:val="0"/>
          <w:numId w:val="4"/>
        </w:numPr>
        <w:adjustRightInd w:val="0"/>
        <w:snapToGrid w:val="0"/>
        <w:spacing w:line="360" w:lineRule="auto"/>
        <w:ind w:firstLine="643" w:firstLineChars="200"/>
        <w:rPr>
          <w:rFonts w:ascii="仿宋_GB2312" w:hAnsi="宋体" w:eastAsia="仿宋_GB2312" w:cs="Courier New"/>
          <w:b/>
          <w:bCs/>
          <w:sz w:val="32"/>
          <w:szCs w:val="32"/>
          <w:highlight w:val="none"/>
        </w:rPr>
      </w:pPr>
      <w:r>
        <w:rPr>
          <w:rFonts w:hint="eastAsia" w:ascii="仿宋_GB2312" w:hAnsi="仿宋_GB2312" w:eastAsia="仿宋_GB2312" w:cs="仿宋_GB2312"/>
          <w:b/>
          <w:bCs/>
          <w:sz w:val="32"/>
          <w:szCs w:val="32"/>
          <w:highlight w:val="none"/>
          <w:lang w:val="en-US" w:eastAsia="zh-CN"/>
        </w:rPr>
        <w:t>文化旅游体育与传媒支出</w:t>
      </w:r>
      <w:r>
        <w:rPr>
          <w:rFonts w:hint="eastAsia" w:ascii="仿宋_GB2312" w:hAnsi="仿宋_GB2312" w:eastAsia="仿宋_GB2312" w:cs="仿宋_GB2312"/>
          <w:b/>
          <w:bCs/>
          <w:color w:val="auto"/>
          <w:sz w:val="32"/>
          <w:szCs w:val="32"/>
          <w:highlight w:val="none"/>
          <w:lang w:val="en-US" w:eastAsia="zh-CN"/>
        </w:rPr>
        <w:t>（类）体育（款）体育训练（项）</w:t>
      </w:r>
      <w:r>
        <w:rPr>
          <w:rFonts w:hint="eastAsia" w:ascii="仿宋_GB2312" w:hAnsi="宋体" w:eastAsia="仿宋_GB2312" w:cs="Courier New"/>
          <w:sz w:val="32"/>
          <w:szCs w:val="32"/>
          <w:highlight w:val="none"/>
          <w:lang w:val="en-US" w:eastAsia="zh-CN"/>
        </w:rPr>
        <w:t>年</w:t>
      </w:r>
      <w:r>
        <w:rPr>
          <w:rFonts w:hint="eastAsia" w:ascii="仿宋_GB2312" w:hAnsi="宋体" w:eastAsia="仿宋_GB2312" w:cs="Courier New"/>
          <w:sz w:val="32"/>
          <w:szCs w:val="32"/>
          <w:highlight w:val="none"/>
        </w:rPr>
        <w:t>初预算为</w:t>
      </w:r>
      <w:r>
        <w:rPr>
          <w:rFonts w:hint="eastAsia" w:ascii="仿宋_GB2312" w:hAnsi="宋体" w:eastAsia="仿宋_GB2312" w:cs="Courier New"/>
          <w:sz w:val="32"/>
          <w:szCs w:val="32"/>
          <w:highlight w:val="none"/>
          <w:lang w:val="en-US" w:eastAsia="zh-CN"/>
        </w:rPr>
        <w:t>137.37</w:t>
      </w:r>
      <w:r>
        <w:rPr>
          <w:rFonts w:hint="eastAsia" w:ascii="仿宋_GB2312" w:hAnsi="宋体" w:eastAsia="仿宋_GB2312" w:cs="Courier New"/>
          <w:sz w:val="32"/>
          <w:szCs w:val="32"/>
          <w:highlight w:val="none"/>
        </w:rPr>
        <w:t>万元</w:t>
      </w:r>
      <w:r>
        <w:rPr>
          <w:rFonts w:hint="eastAsia" w:ascii="仿宋_GB2312" w:hAnsi="宋体" w:eastAsia="仿宋_GB2312" w:cs="Courier New"/>
          <w:sz w:val="32"/>
          <w:szCs w:val="32"/>
          <w:highlight w:val="none"/>
          <w:lang w:eastAsia="zh-CN"/>
        </w:rPr>
        <w:t>，支出</w:t>
      </w:r>
      <w:r>
        <w:rPr>
          <w:rFonts w:hint="eastAsia" w:ascii="仿宋_GB2312" w:hAnsi="宋体" w:eastAsia="仿宋_GB2312" w:cs="Courier New"/>
          <w:sz w:val="32"/>
          <w:szCs w:val="32"/>
          <w:highlight w:val="none"/>
          <w:lang w:val="en-US" w:eastAsia="zh-CN"/>
        </w:rPr>
        <w:t>决算数148.10万元，</w:t>
      </w:r>
      <w:r>
        <w:rPr>
          <w:rFonts w:hint="eastAsia" w:ascii="仿宋_GB2312" w:hAnsi="宋体" w:eastAsia="仿宋_GB2312" w:cs="Courier New"/>
          <w:sz w:val="32"/>
          <w:szCs w:val="32"/>
          <w:highlight w:val="none"/>
        </w:rPr>
        <w:t>完成年初预算的</w:t>
      </w:r>
      <w:r>
        <w:rPr>
          <w:rFonts w:hint="eastAsia" w:ascii="仿宋_GB2312" w:hAnsi="宋体" w:eastAsia="仿宋_GB2312" w:cs="Courier New"/>
          <w:sz w:val="32"/>
          <w:szCs w:val="32"/>
          <w:highlight w:val="none"/>
          <w:lang w:val="en-US" w:eastAsia="zh-CN"/>
        </w:rPr>
        <w:t>107.81</w:t>
      </w:r>
      <w:r>
        <w:rPr>
          <w:rFonts w:hint="eastAsia" w:ascii="仿宋_GB2312" w:hAnsi="宋体" w:eastAsia="仿宋_GB2312" w:cs="Courier New"/>
          <w:sz w:val="32"/>
          <w:szCs w:val="32"/>
          <w:highlight w:val="none"/>
        </w:rPr>
        <w:t>%。</w:t>
      </w:r>
      <w:r>
        <w:rPr>
          <w:rFonts w:hint="eastAsia" w:ascii="仿宋_GB2312" w:hAnsi="仿宋_GB2312" w:eastAsia="仿宋_GB2312" w:cs="仿宋_GB2312"/>
          <w:color w:val="auto"/>
          <w:sz w:val="32"/>
          <w:szCs w:val="32"/>
          <w:highlight w:val="none"/>
          <w:lang w:val="en-US" w:eastAsia="zh-CN"/>
        </w:rPr>
        <w:t>决算数与年初预算数存在差异的主要原因是体育训练支出增加</w:t>
      </w:r>
      <w:r>
        <w:rPr>
          <w:rFonts w:hint="eastAsia" w:ascii="仿宋_GB2312" w:hAnsi="宋体" w:eastAsia="仿宋_GB2312" w:cs="Courier New"/>
          <w:sz w:val="32"/>
          <w:szCs w:val="32"/>
          <w:highlight w:val="none"/>
        </w:rPr>
        <w:t>。</w:t>
      </w:r>
    </w:p>
    <w:p>
      <w:pPr>
        <w:numPr>
          <w:ilvl w:val="0"/>
          <w:numId w:val="4"/>
        </w:numPr>
        <w:adjustRightInd w:val="0"/>
        <w:snapToGrid w:val="0"/>
        <w:spacing w:line="360" w:lineRule="auto"/>
        <w:ind w:firstLine="643" w:firstLineChars="200"/>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文化旅游体育与传媒支出</w:t>
      </w:r>
      <w:r>
        <w:rPr>
          <w:rFonts w:hint="eastAsia" w:ascii="仿宋_GB2312" w:hAnsi="仿宋_GB2312" w:eastAsia="仿宋_GB2312" w:cs="仿宋_GB2312"/>
          <w:b/>
          <w:bCs/>
          <w:sz w:val="32"/>
          <w:szCs w:val="32"/>
          <w:highlight w:val="none"/>
        </w:rPr>
        <w:t>（类）体育（款）体育场馆(项)</w:t>
      </w: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sz w:val="32"/>
          <w:szCs w:val="32"/>
          <w:highlight w:val="none"/>
          <w:lang w:val="en-US"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134.68</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112.95</w:t>
      </w:r>
      <w:r>
        <w:rPr>
          <w:rFonts w:hint="eastAsia" w:ascii="仿宋_GB2312" w:hAnsi="仿宋_GB2312" w:eastAsia="仿宋_GB2312" w:cs="仿宋_GB2312"/>
          <w:sz w:val="32"/>
          <w:szCs w:val="32"/>
          <w:highlight w:val="none"/>
        </w:rPr>
        <w:t>万元，完成年初预算的</w:t>
      </w:r>
      <w:r>
        <w:rPr>
          <w:rFonts w:hint="eastAsia" w:ascii="仿宋_GB2312" w:hAnsi="仿宋_GB2312" w:eastAsia="仿宋_GB2312" w:cs="仿宋_GB2312"/>
          <w:sz w:val="32"/>
          <w:szCs w:val="32"/>
          <w:highlight w:val="none"/>
          <w:lang w:val="en-US" w:eastAsia="zh-CN"/>
        </w:rPr>
        <w:t>83.87</w:t>
      </w:r>
      <w:r>
        <w:rPr>
          <w:rFonts w:hint="eastAsia" w:ascii="仿宋_GB2312" w:hAnsi="仿宋_GB2312" w:eastAsia="仿宋_GB2312" w:cs="仿宋_GB2312"/>
          <w:sz w:val="32"/>
          <w:szCs w:val="32"/>
          <w:highlight w:val="none"/>
        </w:rPr>
        <w:t>%。决算数与年初预算数存在差异的主要原因是</w:t>
      </w:r>
      <w:r>
        <w:rPr>
          <w:rFonts w:hint="eastAsia" w:ascii="仿宋_GB2312" w:hAnsi="仿宋_GB2312" w:eastAsia="仿宋_GB2312" w:cs="仿宋_GB2312"/>
          <w:color w:val="auto"/>
          <w:sz w:val="32"/>
          <w:szCs w:val="32"/>
          <w:highlight w:val="none"/>
          <w:lang w:val="en-US" w:eastAsia="zh-CN"/>
        </w:rPr>
        <w:t>疫情情况比赛活动减少</w:t>
      </w:r>
      <w:r>
        <w:rPr>
          <w:rFonts w:hint="eastAsia" w:ascii="仿宋_GB2312" w:hAnsi="仿宋_GB2312" w:eastAsia="仿宋_GB2312" w:cs="仿宋_GB2312"/>
          <w:sz w:val="32"/>
          <w:szCs w:val="32"/>
          <w:highlight w:val="none"/>
          <w:lang w:val="en-US" w:eastAsia="zh-CN"/>
        </w:rPr>
        <w:t>。</w:t>
      </w:r>
    </w:p>
    <w:p>
      <w:pPr>
        <w:numPr>
          <w:ilvl w:val="0"/>
          <w:numId w:val="4"/>
        </w:numPr>
        <w:adjustRightInd w:val="0"/>
        <w:snapToGrid w:val="0"/>
        <w:spacing w:line="360" w:lineRule="auto"/>
        <w:ind w:firstLine="643" w:firstLineChars="200"/>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文化旅游体育与传媒支出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eastAsia="zh-CN"/>
        </w:rPr>
        <w:t>广播电视</w:t>
      </w:r>
      <w:r>
        <w:rPr>
          <w:rFonts w:hint="eastAsia" w:ascii="仿宋_GB2312" w:hAnsi="仿宋_GB2312" w:eastAsia="仿宋_GB2312" w:cs="仿宋_GB2312"/>
          <w:b/>
          <w:bCs/>
          <w:sz w:val="32"/>
          <w:szCs w:val="32"/>
          <w:highlight w:val="none"/>
        </w:rPr>
        <w:t>（款）广播电视事务(项)</w:t>
      </w: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sz w:val="32"/>
          <w:szCs w:val="32"/>
          <w:highlight w:val="none"/>
          <w:lang w:val="en-US"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8.97</w:t>
      </w:r>
      <w:r>
        <w:rPr>
          <w:rFonts w:hint="eastAsia" w:ascii="仿宋_GB2312" w:hAnsi="仿宋_GB2312" w:eastAsia="仿宋_GB2312" w:cs="仿宋_GB2312"/>
          <w:sz w:val="32"/>
          <w:szCs w:val="32"/>
          <w:highlight w:val="none"/>
        </w:rPr>
        <w:t>万元。决算数与年初预算数存在差异的主要原因是</w:t>
      </w:r>
      <w:r>
        <w:rPr>
          <w:rFonts w:hint="eastAsia" w:ascii="仿宋_GB2312" w:hAnsi="仿宋_GB2312" w:eastAsia="仿宋_GB2312" w:cs="仿宋_GB2312"/>
          <w:color w:val="auto"/>
          <w:sz w:val="32"/>
          <w:szCs w:val="32"/>
          <w:highlight w:val="none"/>
          <w:lang w:val="en-US" w:eastAsia="zh-CN"/>
        </w:rPr>
        <w:t>本年增加广播电视事务支出</w:t>
      </w:r>
      <w:r>
        <w:rPr>
          <w:rFonts w:hint="eastAsia" w:ascii="仿宋_GB2312" w:hAnsi="仿宋_GB2312" w:eastAsia="仿宋_GB2312" w:cs="仿宋_GB2312"/>
          <w:sz w:val="32"/>
          <w:szCs w:val="32"/>
          <w:highlight w:val="none"/>
          <w:lang w:val="en-US" w:eastAsia="zh-CN"/>
        </w:rPr>
        <w:t>。</w:t>
      </w:r>
    </w:p>
    <w:p>
      <w:pPr>
        <w:numPr>
          <w:ilvl w:val="0"/>
          <w:numId w:val="4"/>
        </w:numPr>
        <w:adjustRightInd w:val="0"/>
        <w:snapToGrid w:val="0"/>
        <w:spacing w:line="360" w:lineRule="auto"/>
        <w:ind w:firstLine="643"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社会保障和</w:t>
      </w:r>
      <w:r>
        <w:rPr>
          <w:rFonts w:hint="eastAsia" w:ascii="仿宋_GB2312" w:hAnsi="仿宋_GB2312" w:eastAsia="仿宋_GB2312" w:cs="仿宋_GB2312"/>
          <w:b/>
          <w:bCs/>
          <w:sz w:val="32"/>
          <w:szCs w:val="32"/>
          <w:highlight w:val="none"/>
          <w:lang w:val="en-US" w:eastAsia="zh-CN"/>
        </w:rPr>
        <w:t>就业支出</w:t>
      </w:r>
      <w:r>
        <w:rPr>
          <w:rFonts w:hint="eastAsia" w:ascii="仿宋_GB2312" w:hAnsi="仿宋_GB2312" w:eastAsia="仿宋_GB2312" w:cs="仿宋_GB2312"/>
          <w:b/>
          <w:bCs/>
          <w:sz w:val="32"/>
          <w:szCs w:val="32"/>
          <w:highlight w:val="none"/>
          <w:lang w:eastAsia="zh-CN"/>
        </w:rPr>
        <w:t>（类）</w:t>
      </w:r>
      <w:r>
        <w:rPr>
          <w:rFonts w:hint="eastAsia" w:ascii="仿宋_GB2312" w:hAnsi="仿宋_GB2312" w:eastAsia="仿宋_GB2312" w:cs="仿宋_GB2312"/>
          <w:b/>
          <w:bCs/>
          <w:color w:val="auto"/>
          <w:sz w:val="32"/>
          <w:szCs w:val="32"/>
          <w:highlight w:val="none"/>
          <w:lang w:val="en-US" w:eastAsia="zh-CN"/>
        </w:rPr>
        <w:t>行政事业单位养老支出</w:t>
      </w:r>
      <w:r>
        <w:rPr>
          <w:rFonts w:hint="eastAsia" w:ascii="仿宋_GB2312" w:hAnsi="仿宋_GB2312" w:eastAsia="仿宋_GB2312" w:cs="仿宋_GB2312"/>
          <w:b/>
          <w:bCs/>
          <w:sz w:val="32"/>
          <w:szCs w:val="32"/>
          <w:highlight w:val="none"/>
          <w:lang w:eastAsia="zh-CN"/>
        </w:rPr>
        <w:t>（款）</w:t>
      </w:r>
      <w:r>
        <w:rPr>
          <w:rFonts w:hint="eastAsia" w:ascii="仿宋_GB2312" w:hAnsi="仿宋_GB2312" w:eastAsia="仿宋_GB2312" w:cs="仿宋_GB2312"/>
          <w:b/>
          <w:bCs/>
          <w:sz w:val="32"/>
          <w:szCs w:val="32"/>
          <w:highlight w:val="none"/>
          <w:lang w:val="en-US" w:eastAsia="zh-CN"/>
        </w:rPr>
        <w:t>行政单位离退休（项）。</w:t>
      </w:r>
      <w:r>
        <w:rPr>
          <w:rFonts w:hint="eastAsia" w:ascii="仿宋_GB2312" w:hAnsi="宋体" w:eastAsia="仿宋_GB2312" w:cs="Courier New"/>
          <w:sz w:val="32"/>
          <w:szCs w:val="32"/>
          <w:highlight w:val="none"/>
        </w:rPr>
        <w:t>年初预算为</w:t>
      </w:r>
      <w:r>
        <w:rPr>
          <w:rFonts w:hint="eastAsia" w:ascii="仿宋_GB2312" w:hAnsi="宋体" w:eastAsia="仿宋_GB2312" w:cs="Courier New"/>
          <w:sz w:val="32"/>
          <w:szCs w:val="32"/>
          <w:highlight w:val="none"/>
          <w:lang w:val="en-US" w:eastAsia="zh-CN"/>
        </w:rPr>
        <w:t>71.17</w:t>
      </w:r>
      <w:r>
        <w:rPr>
          <w:rFonts w:hint="eastAsia" w:ascii="仿宋_GB2312" w:hAnsi="宋体" w:eastAsia="仿宋_GB2312" w:cs="Courier New"/>
          <w:sz w:val="32"/>
          <w:szCs w:val="32"/>
          <w:highlight w:val="none"/>
        </w:rPr>
        <w:t>万元，支出决算为</w:t>
      </w:r>
      <w:r>
        <w:rPr>
          <w:rFonts w:hint="eastAsia" w:ascii="仿宋_GB2312" w:hAnsi="宋体" w:eastAsia="仿宋_GB2312" w:cs="Courier New"/>
          <w:sz w:val="32"/>
          <w:szCs w:val="32"/>
          <w:highlight w:val="none"/>
          <w:lang w:val="en-US" w:eastAsia="zh-CN"/>
        </w:rPr>
        <w:t>72.53</w:t>
      </w:r>
      <w:r>
        <w:rPr>
          <w:rFonts w:hint="eastAsia" w:ascii="仿宋_GB2312" w:hAnsi="宋体" w:eastAsia="仿宋_GB2312" w:cs="Courier New"/>
          <w:sz w:val="32"/>
          <w:szCs w:val="32"/>
          <w:highlight w:val="none"/>
        </w:rPr>
        <w:t>万元，完成年初预算的</w:t>
      </w:r>
      <w:r>
        <w:rPr>
          <w:rFonts w:hint="eastAsia" w:ascii="仿宋_GB2312" w:hAnsi="宋体" w:eastAsia="仿宋_GB2312" w:cs="Courier New"/>
          <w:sz w:val="32"/>
          <w:szCs w:val="32"/>
          <w:highlight w:val="none"/>
          <w:lang w:val="en-US" w:eastAsia="zh-CN"/>
        </w:rPr>
        <w:t>101.91</w:t>
      </w:r>
      <w:r>
        <w:rPr>
          <w:rFonts w:hint="eastAsia" w:ascii="仿宋_GB2312" w:hAnsi="宋体" w:eastAsia="仿宋_GB2312" w:cs="Courier New"/>
          <w:sz w:val="32"/>
          <w:szCs w:val="32"/>
          <w:highlight w:val="none"/>
        </w:rPr>
        <w:t>%。</w:t>
      </w:r>
      <w:r>
        <w:rPr>
          <w:rFonts w:hint="eastAsia" w:ascii="仿宋_GB2312" w:hAnsi="仿宋_GB2312" w:eastAsia="仿宋_GB2312" w:cs="仿宋_GB2312"/>
          <w:sz w:val="32"/>
          <w:szCs w:val="32"/>
          <w:highlight w:val="none"/>
        </w:rPr>
        <w:t>决算数与年初预算数存在差异的主要原因是</w:t>
      </w:r>
      <w:r>
        <w:rPr>
          <w:rFonts w:hint="eastAsia" w:ascii="仿宋_GB2312" w:hAnsi="仿宋_GB2312" w:eastAsia="仿宋_GB2312" w:cs="仿宋_GB2312"/>
          <w:sz w:val="32"/>
          <w:szCs w:val="32"/>
          <w:highlight w:val="none"/>
          <w:lang w:val="en-US" w:eastAsia="zh-CN"/>
        </w:rPr>
        <w:t>退休人员工资增长</w:t>
      </w:r>
      <w:r>
        <w:rPr>
          <w:rFonts w:hint="eastAsia" w:ascii="仿宋_GB2312" w:hAnsi="宋体" w:eastAsia="仿宋_GB2312" w:cs="Courier New"/>
          <w:sz w:val="32"/>
          <w:szCs w:val="32"/>
          <w:highlight w:val="none"/>
        </w:rPr>
        <w:t>。</w:t>
      </w:r>
    </w:p>
    <w:p>
      <w:pPr>
        <w:numPr>
          <w:ilvl w:val="0"/>
          <w:numId w:val="4"/>
        </w:numPr>
        <w:adjustRightInd w:val="0"/>
        <w:snapToGrid w:val="0"/>
        <w:spacing w:line="360" w:lineRule="auto"/>
        <w:ind w:firstLine="643"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社会保障和就业支出（类）行政事业单位养老支出（款）事业单位离退休（项）。</w:t>
      </w:r>
      <w:r>
        <w:rPr>
          <w:rFonts w:hint="eastAsia" w:ascii="仿宋_GB2312" w:hAnsi="仿宋_GB2312" w:eastAsia="仿宋_GB2312" w:cs="仿宋_GB2312"/>
          <w:color w:val="auto"/>
          <w:sz w:val="32"/>
          <w:szCs w:val="32"/>
          <w:highlight w:val="none"/>
          <w:lang w:val="en-US" w:eastAsia="zh-CN"/>
        </w:rPr>
        <w:t>年初预算为113.14万元，支出决算为36.19万元，完成年初预算的31.99%。决算数与年初预算数存在差异的主要原因是有去世人员。</w:t>
      </w:r>
    </w:p>
    <w:p>
      <w:pPr>
        <w:numPr>
          <w:ilvl w:val="0"/>
          <w:numId w:val="4"/>
        </w:numPr>
        <w:adjustRightInd w:val="0"/>
        <w:snapToGrid w:val="0"/>
        <w:spacing w:line="360" w:lineRule="auto"/>
        <w:ind w:firstLine="643"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社会保障和就业支出（类）行政事业单位养老支出（款）机关事业单位基本养老保险缴费支出（项）。</w:t>
      </w:r>
      <w:r>
        <w:rPr>
          <w:rFonts w:hint="eastAsia" w:ascii="仿宋_GB2312" w:hAnsi="仿宋_GB2312" w:eastAsia="仿宋_GB2312" w:cs="仿宋_GB2312"/>
          <w:color w:val="auto"/>
          <w:sz w:val="32"/>
          <w:szCs w:val="32"/>
          <w:highlight w:val="none"/>
          <w:lang w:val="en-US" w:eastAsia="zh-CN"/>
        </w:rPr>
        <w:t>年初预算为102.71万元，支出决算为41.68万元，完成年初预算的40.58%。决算数与年初预算数存在差异的主要原因是有去世人员。</w:t>
      </w:r>
    </w:p>
    <w:p>
      <w:pPr>
        <w:numPr>
          <w:ilvl w:val="0"/>
          <w:numId w:val="4"/>
        </w:numPr>
        <w:adjustRightInd w:val="0"/>
        <w:snapToGrid w:val="0"/>
        <w:spacing w:line="360" w:lineRule="auto"/>
        <w:ind w:firstLine="643"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社会保障和就业支出（类）行政事业单位养老支出（款）机关事业单位职业年金缴费支出（项）。</w:t>
      </w:r>
      <w:r>
        <w:rPr>
          <w:rFonts w:hint="eastAsia" w:ascii="仿宋_GB2312" w:hAnsi="仿宋_GB2312" w:eastAsia="仿宋_GB2312" w:cs="仿宋_GB2312"/>
          <w:color w:val="auto"/>
          <w:sz w:val="32"/>
          <w:szCs w:val="32"/>
          <w:highlight w:val="none"/>
          <w:lang w:val="en-US" w:eastAsia="zh-CN"/>
        </w:rPr>
        <w:t>年初预算为8.36万元，支出决算为7.70万元，完成年初预算的92.11%。决算数与年初预算数存在差异的主要原因是有去世人员。</w:t>
      </w:r>
    </w:p>
    <w:p>
      <w:pPr>
        <w:numPr>
          <w:ilvl w:val="0"/>
          <w:numId w:val="4"/>
        </w:numPr>
        <w:adjustRightInd w:val="0"/>
        <w:snapToGrid w:val="0"/>
        <w:spacing w:line="360" w:lineRule="auto"/>
        <w:ind w:firstLine="643"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社会保障和就业支出（类）抚恤（款）死亡抚恤（项）。</w:t>
      </w:r>
      <w:r>
        <w:rPr>
          <w:rFonts w:hint="eastAsia" w:ascii="仿宋_GB2312" w:hAnsi="仿宋_GB2312" w:eastAsia="仿宋_GB2312" w:cs="仿宋_GB2312"/>
          <w:color w:val="auto"/>
          <w:sz w:val="32"/>
          <w:szCs w:val="32"/>
          <w:highlight w:val="none"/>
          <w:lang w:val="en-US" w:eastAsia="zh-CN"/>
        </w:rPr>
        <w:t>年初预算为0.00万元</w:t>
      </w:r>
      <w:r>
        <w:rPr>
          <w:rFonts w:hint="eastAsia" w:ascii="仿宋_GB2312" w:hAnsi="仿宋_GB2312" w:eastAsia="仿宋_GB2312" w:cs="仿宋_GB2312"/>
          <w:b w:val="0"/>
          <w:bCs w:val="0"/>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支出决算为21.59万元。决算数与年初预算数存在差异的主要原因是有去世人员，</w:t>
      </w:r>
      <w:r>
        <w:rPr>
          <w:rFonts w:hint="eastAsia" w:ascii="仿宋_GB2312" w:hAnsi="仿宋_GB2312" w:eastAsia="仿宋_GB2312" w:cs="仿宋_GB2312"/>
          <w:b w:val="0"/>
          <w:bCs w:val="0"/>
          <w:color w:val="auto"/>
          <w:sz w:val="32"/>
          <w:szCs w:val="32"/>
          <w:highlight w:val="none"/>
          <w:lang w:val="en-US" w:eastAsia="zh-CN"/>
        </w:rPr>
        <w:t>根据政策计算报经人设部门和财政部门批复后发放</w:t>
      </w:r>
      <w:r>
        <w:rPr>
          <w:rFonts w:hint="eastAsia" w:ascii="仿宋_GB2312" w:hAnsi="仿宋_GB2312" w:eastAsia="仿宋_GB2312" w:cs="仿宋_GB2312"/>
          <w:color w:val="auto"/>
          <w:sz w:val="32"/>
          <w:szCs w:val="32"/>
          <w:highlight w:val="none"/>
          <w:lang w:val="en-US" w:eastAsia="zh-CN"/>
        </w:rPr>
        <w:t>。</w:t>
      </w:r>
    </w:p>
    <w:p>
      <w:pPr>
        <w:numPr>
          <w:ilvl w:val="0"/>
          <w:numId w:val="4"/>
        </w:numPr>
        <w:adjustRightInd w:val="0"/>
        <w:snapToGrid w:val="0"/>
        <w:spacing w:line="360" w:lineRule="auto"/>
        <w:ind w:firstLine="643"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卫生健康支出（类）行政事业单位医疗（款）行政单位医疗（项）。</w:t>
      </w:r>
      <w:r>
        <w:rPr>
          <w:rFonts w:hint="eastAsia" w:ascii="仿宋_GB2312" w:hAnsi="仿宋_GB2312" w:eastAsia="仿宋_GB2312" w:cs="仿宋_GB2312"/>
          <w:color w:val="auto"/>
          <w:sz w:val="32"/>
          <w:szCs w:val="32"/>
          <w:highlight w:val="none"/>
          <w:lang w:val="en-US" w:eastAsia="zh-CN"/>
        </w:rPr>
        <w:t>年初预算为7.50万元，支出决算为6.68万元，完成年初预算的89.07%。决算数与年初预算数存在差异的主要原因是新增退休人员。</w:t>
      </w:r>
    </w:p>
    <w:p>
      <w:pPr>
        <w:numPr>
          <w:ilvl w:val="0"/>
          <w:numId w:val="4"/>
        </w:numPr>
        <w:adjustRightInd w:val="0"/>
        <w:snapToGrid w:val="0"/>
        <w:spacing w:line="360" w:lineRule="auto"/>
        <w:ind w:firstLine="643"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卫生健康支出（类）行政事业单位医疗（款）事业单位医疗（项）。</w:t>
      </w:r>
      <w:r>
        <w:rPr>
          <w:rFonts w:hint="eastAsia" w:ascii="仿宋_GB2312" w:hAnsi="仿宋_GB2312" w:eastAsia="仿宋_GB2312" w:cs="仿宋_GB2312"/>
          <w:color w:val="auto"/>
          <w:sz w:val="32"/>
          <w:szCs w:val="32"/>
          <w:highlight w:val="none"/>
          <w:lang w:val="en-US" w:eastAsia="zh-CN"/>
        </w:rPr>
        <w:t>年初预算为39.78万元，支出决算为8.31万元，完成年初预算的20.89%。决算数与年初预算数存在差异的主要原因是人员退休。</w:t>
      </w:r>
    </w:p>
    <w:p>
      <w:pPr>
        <w:numPr>
          <w:ilvl w:val="0"/>
          <w:numId w:val="4"/>
        </w:numPr>
        <w:adjustRightInd w:val="0"/>
        <w:snapToGrid w:val="0"/>
        <w:spacing w:line="360" w:lineRule="auto"/>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color w:val="auto"/>
          <w:sz w:val="32"/>
          <w:szCs w:val="32"/>
          <w:highlight w:val="none"/>
          <w:lang w:val="en-US" w:eastAsia="zh-CN"/>
        </w:rPr>
        <w:t>卫生健康支出（类）行政事业单位医疗（款）公务员医疗补助（项）。</w:t>
      </w:r>
      <w:r>
        <w:rPr>
          <w:rFonts w:hint="eastAsia" w:ascii="仿宋_GB2312" w:hAnsi="仿宋_GB2312" w:eastAsia="仿宋_GB2312" w:cs="仿宋_GB2312"/>
          <w:color w:val="auto"/>
          <w:sz w:val="32"/>
          <w:szCs w:val="32"/>
          <w:highlight w:val="none"/>
          <w:lang w:val="en-US" w:eastAsia="zh-CN"/>
        </w:rPr>
        <w:t>年初预算为7.15万元，支出决算为6.58万元，完成年初预算的92.03%。决算数与年初预算数存在差异的主要原因是人员退休。</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年度一般公共预算财政拨款基本支出</w:t>
      </w:r>
      <w:r>
        <w:rPr>
          <w:rFonts w:hint="eastAsia" w:ascii="仿宋_GB2312" w:hAnsi="仿宋_GB2312" w:eastAsia="仿宋_GB2312" w:cs="仿宋_GB2312"/>
          <w:sz w:val="32"/>
          <w:szCs w:val="32"/>
          <w:highlight w:val="none"/>
          <w:lang w:val="en-US" w:eastAsia="zh-CN"/>
        </w:rPr>
        <w:t>2008.12</w:t>
      </w:r>
      <w:r>
        <w:rPr>
          <w:rFonts w:hint="eastAsia" w:ascii="仿宋_GB2312" w:hAnsi="仿宋_GB2312" w:eastAsia="仿宋_GB2312" w:cs="仿宋_GB2312"/>
          <w:sz w:val="32"/>
          <w:szCs w:val="32"/>
          <w:highlight w:val="none"/>
        </w:rPr>
        <w:t>万元。其中：人员经费</w:t>
      </w:r>
      <w:r>
        <w:rPr>
          <w:rFonts w:hint="eastAsia" w:ascii="仿宋_GB2312" w:hAnsi="仿宋_GB2312" w:eastAsia="仿宋_GB2312" w:cs="仿宋_GB2312"/>
          <w:sz w:val="32"/>
          <w:szCs w:val="32"/>
          <w:highlight w:val="none"/>
          <w:lang w:val="en-US" w:eastAsia="zh-CN"/>
        </w:rPr>
        <w:t>1759.16</w:t>
      </w:r>
      <w:r>
        <w:rPr>
          <w:rFonts w:hint="eastAsia" w:ascii="仿宋_GB2312" w:hAnsi="仿宋_GB2312" w:eastAsia="仿宋_GB2312" w:cs="仿宋_GB2312"/>
          <w:sz w:val="32"/>
          <w:szCs w:val="32"/>
          <w:highlight w:val="none"/>
        </w:rPr>
        <w:t>万元，主要包括：基本工资、津贴补贴、</w:t>
      </w:r>
      <w:r>
        <w:rPr>
          <w:rFonts w:hint="eastAsia" w:ascii="仿宋_GB2312" w:hAnsi="仿宋_GB2312" w:eastAsia="仿宋_GB2312" w:cs="仿宋_GB2312"/>
          <w:sz w:val="32"/>
          <w:szCs w:val="32"/>
          <w:highlight w:val="none"/>
          <w:lang w:eastAsia="zh-CN"/>
        </w:rPr>
        <w:t>奖金</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绩效工资、</w:t>
      </w:r>
      <w:r>
        <w:rPr>
          <w:rFonts w:hint="eastAsia" w:ascii="仿宋_GB2312" w:hAnsi="仿宋_GB2312" w:eastAsia="仿宋_GB2312" w:cs="仿宋_GB2312"/>
          <w:sz w:val="32"/>
          <w:szCs w:val="32"/>
          <w:highlight w:val="none"/>
        </w:rPr>
        <w:t>机关事业单位基本养老保险缴费、职业年金缴费</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职工基本医疗保险缴费</w:t>
      </w:r>
      <w:r>
        <w:rPr>
          <w:rFonts w:hint="eastAsia" w:ascii="仿宋_GB2312" w:hAnsi="仿宋_GB2312" w:eastAsia="仿宋_GB2312" w:cs="仿宋_GB2312"/>
          <w:sz w:val="32"/>
          <w:szCs w:val="32"/>
          <w:highlight w:val="none"/>
          <w:lang w:eastAsia="zh-CN"/>
        </w:rPr>
        <w:t>、公务员医疗补助缴费、</w:t>
      </w:r>
      <w:r>
        <w:rPr>
          <w:rFonts w:hint="eastAsia" w:ascii="仿宋_GB2312" w:hAnsi="仿宋_GB2312" w:eastAsia="仿宋_GB2312" w:cs="仿宋_GB2312"/>
          <w:sz w:val="32"/>
          <w:szCs w:val="32"/>
          <w:highlight w:val="none"/>
        </w:rPr>
        <w:t>其他社会保障缴费、住房公积金、其他工资福利支出、退休费、抚恤金、生活补助、代缴社会保险费</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其他对个人和家庭的补助支出；公用经费</w:t>
      </w:r>
      <w:r>
        <w:rPr>
          <w:rFonts w:hint="eastAsia" w:ascii="仿宋_GB2312" w:hAnsi="仿宋_GB2312" w:eastAsia="仿宋_GB2312" w:cs="仿宋_GB2312"/>
          <w:sz w:val="32"/>
          <w:szCs w:val="32"/>
          <w:highlight w:val="none"/>
          <w:lang w:val="en-US" w:eastAsia="zh-CN"/>
        </w:rPr>
        <w:t>248.96</w:t>
      </w:r>
      <w:r>
        <w:rPr>
          <w:rFonts w:hint="eastAsia" w:ascii="仿宋_GB2312" w:hAnsi="仿宋_GB2312" w:eastAsia="仿宋_GB2312" w:cs="仿宋_GB2312"/>
          <w:sz w:val="32"/>
          <w:szCs w:val="32"/>
          <w:highlight w:val="none"/>
        </w:rPr>
        <w:t>万元，主要包括：办公费、印刷费、</w:t>
      </w:r>
      <w:r>
        <w:rPr>
          <w:rFonts w:hint="eastAsia" w:ascii="仿宋_GB2312" w:hAnsi="仿宋_GB2312" w:eastAsia="仿宋_GB2312" w:cs="仿宋_GB2312"/>
          <w:sz w:val="32"/>
          <w:szCs w:val="32"/>
          <w:highlight w:val="none"/>
          <w:lang w:eastAsia="zh-CN"/>
        </w:rPr>
        <w:t>咨询费、手续费、</w:t>
      </w:r>
      <w:r>
        <w:rPr>
          <w:rFonts w:hint="eastAsia" w:ascii="仿宋_GB2312" w:hAnsi="仿宋_GB2312" w:eastAsia="仿宋_GB2312" w:cs="仿宋_GB2312"/>
          <w:sz w:val="32"/>
          <w:szCs w:val="32"/>
          <w:highlight w:val="none"/>
        </w:rPr>
        <w:t>水费、电费、邮电费、</w:t>
      </w:r>
      <w:r>
        <w:rPr>
          <w:rFonts w:hint="eastAsia" w:ascii="仿宋_GB2312" w:hAnsi="仿宋_GB2312" w:eastAsia="仿宋_GB2312" w:cs="仿宋_GB2312"/>
          <w:sz w:val="32"/>
          <w:szCs w:val="32"/>
          <w:highlight w:val="none"/>
          <w:lang w:eastAsia="zh-CN"/>
        </w:rPr>
        <w:t>物业管理费、</w:t>
      </w:r>
      <w:r>
        <w:rPr>
          <w:rFonts w:hint="eastAsia" w:ascii="仿宋_GB2312" w:hAnsi="仿宋_GB2312" w:eastAsia="仿宋_GB2312" w:cs="仿宋_GB2312"/>
          <w:sz w:val="32"/>
          <w:szCs w:val="32"/>
          <w:highlight w:val="none"/>
        </w:rPr>
        <w:t>差旅费、维修（护）费</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租赁费、会议费、</w:t>
      </w:r>
      <w:r>
        <w:rPr>
          <w:rFonts w:hint="eastAsia" w:ascii="仿宋_GB2312" w:hAnsi="仿宋_GB2312" w:eastAsia="仿宋_GB2312" w:cs="仿宋_GB2312"/>
          <w:sz w:val="32"/>
          <w:szCs w:val="32"/>
          <w:highlight w:val="none"/>
          <w:lang w:eastAsia="zh-CN"/>
        </w:rPr>
        <w:t>培训费、</w:t>
      </w:r>
      <w:r>
        <w:rPr>
          <w:rFonts w:hint="eastAsia" w:ascii="仿宋_GB2312" w:hAnsi="仿宋_GB2312" w:eastAsia="仿宋_GB2312" w:cs="仿宋_GB2312"/>
          <w:sz w:val="32"/>
          <w:szCs w:val="32"/>
          <w:highlight w:val="none"/>
        </w:rPr>
        <w:t>公务接待费、</w:t>
      </w:r>
      <w:r>
        <w:rPr>
          <w:rFonts w:hint="eastAsia" w:ascii="仿宋_GB2312" w:hAnsi="仿宋_GB2312" w:eastAsia="仿宋_GB2312" w:cs="仿宋_GB2312"/>
          <w:sz w:val="32"/>
          <w:szCs w:val="32"/>
          <w:highlight w:val="none"/>
          <w:lang w:eastAsia="zh-CN"/>
        </w:rPr>
        <w:t>劳务费、</w:t>
      </w:r>
      <w:r>
        <w:rPr>
          <w:rFonts w:hint="eastAsia" w:ascii="仿宋_GB2312" w:hAnsi="仿宋_GB2312" w:eastAsia="仿宋_GB2312" w:cs="仿宋_GB2312"/>
          <w:sz w:val="32"/>
          <w:szCs w:val="32"/>
          <w:highlight w:val="none"/>
        </w:rPr>
        <w:t>委托业务费、工会经费、福利费、公务用车运行维护费</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其他交通费用、税金及附加费用、其他商品和服务支出</w:t>
      </w:r>
      <w:r>
        <w:rPr>
          <w:rFonts w:hint="eastAsia" w:ascii="仿宋_GB2312" w:hAnsi="仿宋_GB2312" w:eastAsia="仿宋_GB2312" w:cs="仿宋_GB2312"/>
          <w:sz w:val="32"/>
          <w:szCs w:val="32"/>
          <w:highlight w:val="none"/>
          <w:lang w:eastAsia="zh-CN"/>
        </w:rPr>
        <w:t>、办公设备购置。</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cs="仿宋_GB2312"/>
          <w:sz w:val="32"/>
          <w:szCs w:val="32"/>
          <w:highlight w:val="none"/>
          <w:lang w:val="en-US" w:eastAsia="zh-CN"/>
        </w:rPr>
        <w:t>4.26</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1.82</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42.72</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年度“三公”经费支出决算数与预算数存在差异的主要原因是</w:t>
      </w:r>
      <w:r>
        <w:rPr>
          <w:rFonts w:hint="eastAsia" w:ascii="仿宋_GB2312" w:hAnsi="仿宋_GB2312" w:eastAsia="仿宋_GB2312" w:cs="仿宋_GB2312"/>
          <w:color w:val="auto"/>
          <w:sz w:val="32"/>
          <w:szCs w:val="32"/>
          <w:highlight w:val="none"/>
          <w:lang w:val="en-US" w:eastAsia="zh-CN"/>
        </w:rPr>
        <w:t>响应政府号召过紧日子，压缩各项支出</w:t>
      </w:r>
      <w:r>
        <w:rPr>
          <w:rFonts w:hint="eastAsia" w:ascii="仿宋_GB2312" w:hAnsi="仿宋_GB2312" w:eastAsia="仿宋_GB2312" w:cs="仿宋_GB2312"/>
          <w:sz w:val="32"/>
          <w:szCs w:val="32"/>
          <w:highlight w:val="none"/>
        </w:rPr>
        <w:t>。</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年度“三公”经费财政拨款支出决算中，因公出国（境）费支出决算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%；公务用车购置及运行费支出决算</w:t>
      </w:r>
      <w:r>
        <w:rPr>
          <w:rFonts w:hint="eastAsia" w:ascii="仿宋_GB2312" w:hAnsi="仿宋_GB2312" w:eastAsia="仿宋_GB2312" w:cs="仿宋_GB2312"/>
          <w:sz w:val="32"/>
          <w:szCs w:val="32"/>
          <w:highlight w:val="none"/>
          <w:lang w:val="en-US" w:eastAsia="zh-CN"/>
        </w:rPr>
        <w:t>1.68</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45.53</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92.31</w:t>
      </w:r>
      <w:r>
        <w:rPr>
          <w:rFonts w:hint="eastAsia" w:ascii="仿宋_GB2312" w:hAnsi="仿宋_GB2312" w:eastAsia="仿宋_GB2312" w:cs="仿宋_GB2312"/>
          <w:sz w:val="32"/>
          <w:szCs w:val="32"/>
          <w:highlight w:val="none"/>
        </w:rPr>
        <w:t>%；公务接待费支出决算</w:t>
      </w:r>
      <w:r>
        <w:rPr>
          <w:rFonts w:hint="eastAsia" w:ascii="仿宋_GB2312" w:hAnsi="仿宋_GB2312" w:eastAsia="仿宋_GB2312" w:cs="仿宋_GB2312"/>
          <w:sz w:val="32"/>
          <w:szCs w:val="32"/>
          <w:highlight w:val="none"/>
          <w:lang w:val="en-US" w:eastAsia="zh-CN"/>
        </w:rPr>
        <w:t>0.14</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24.14</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7.69</w:t>
      </w:r>
      <w:r>
        <w:rPr>
          <w:rFonts w:hint="eastAsia" w:ascii="仿宋_GB2312" w:hAnsi="仿宋_GB2312" w:eastAsia="仿宋_GB2312" w:cs="仿宋_GB2312"/>
          <w:sz w:val="32"/>
          <w:szCs w:val="32"/>
          <w:highlight w:val="none"/>
        </w:rPr>
        <w:t>%。具体情况如下：</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1.</w:t>
      </w:r>
      <w:r>
        <w:rPr>
          <w:rFonts w:hint="eastAsia" w:ascii="仿宋_GB2312" w:hAnsi="仿宋_GB2312" w:eastAsia="仿宋_GB2312"/>
          <w:b/>
          <w:sz w:val="32"/>
          <w:szCs w:val="24"/>
          <w:lang w:val="en-US"/>
        </w:rPr>
        <w:t>因公出国（境）费</w:t>
      </w:r>
      <w:r>
        <w:rPr>
          <w:rFonts w:hint="eastAsia" w:ascii="仿宋_GB2312" w:hAnsi="仿宋_GB2312" w:eastAsia="仿宋_GB2312"/>
          <w:sz w:val="32"/>
          <w:szCs w:val="24"/>
          <w:lang w:val="en-US"/>
        </w:rPr>
        <w:t>预算为0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万元，支出决算为0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万元。决算数与预算数不存在差异</w:t>
      </w:r>
      <w:r>
        <w:rPr>
          <w:rFonts w:hint="eastAsia" w:ascii="仿宋_GB2312" w:hAnsi="仿宋_GB2312" w:eastAsia="仿宋_GB2312" w:cs="仿宋_GB2312"/>
          <w:sz w:val="32"/>
          <w:szCs w:val="32"/>
          <w:highlight w:val="none"/>
        </w:rPr>
        <w:t>。</w:t>
      </w:r>
      <w:r>
        <w:rPr>
          <w:rFonts w:hint="eastAsia" w:ascii="仿宋_GB2312" w:hAnsi="仿宋_GB2312" w:eastAsia="仿宋_GB2312"/>
          <w:sz w:val="32"/>
          <w:szCs w:val="24"/>
          <w:lang w:val="en-US"/>
        </w:rPr>
        <w:t>因公出国（境）团组数0个，因公出国（境）人次数0人。</w:t>
      </w:r>
    </w:p>
    <w:p>
      <w:pPr>
        <w:widowControl/>
        <w:numPr>
          <w:ilvl w:val="0"/>
          <w:numId w:val="0"/>
        </w:numPr>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2.</w:t>
      </w:r>
      <w:r>
        <w:rPr>
          <w:rFonts w:hint="eastAsia" w:ascii="仿宋_GB2312" w:hAnsi="仿宋_GB2312" w:eastAsia="仿宋_GB2312" w:cs="仿宋_GB2312"/>
          <w:b/>
          <w:bCs/>
          <w:sz w:val="32"/>
          <w:szCs w:val="32"/>
          <w:highlight w:val="none"/>
        </w:rPr>
        <w:t>公务用车购置及运行费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3.69</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1.68</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45.53</w:t>
      </w:r>
      <w:r>
        <w:rPr>
          <w:rFonts w:hint="eastAsia" w:ascii="仿宋_GB2312" w:hAnsi="仿宋_GB2312" w:eastAsia="仿宋_GB2312" w:cs="仿宋_GB2312"/>
          <w:sz w:val="32"/>
          <w:szCs w:val="32"/>
          <w:highlight w:val="none"/>
        </w:rPr>
        <w:t>%。决算数与预算数存在差异的主要原因是</w:t>
      </w:r>
      <w:r>
        <w:rPr>
          <w:rFonts w:hint="eastAsia" w:ascii="仿宋_GB2312" w:hAnsi="仿宋_GB2312" w:eastAsia="仿宋_GB2312" w:cs="仿宋_GB2312"/>
          <w:color w:val="auto"/>
          <w:sz w:val="32"/>
          <w:szCs w:val="32"/>
          <w:highlight w:val="none"/>
          <w:lang w:val="en-US" w:eastAsia="zh-CN"/>
        </w:rPr>
        <w:t>疫情情况严重，外出活动减少</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万元，购置车辆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w:t>
      </w:r>
      <w:r>
        <w:rPr>
          <w:rFonts w:hint="eastAsia" w:ascii="仿宋_GB2312" w:hAnsi="仿宋_GB2312" w:eastAsia="仿宋_GB2312" w:cs="仿宋_GB2312"/>
          <w:sz w:val="32"/>
          <w:szCs w:val="32"/>
          <w:highlight w:val="none"/>
          <w:lang w:eastAsia="zh-CN"/>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cs="仿宋_GB2312"/>
          <w:sz w:val="32"/>
          <w:szCs w:val="32"/>
          <w:highlight w:val="none"/>
          <w:lang w:val="en-US" w:eastAsia="zh-CN"/>
        </w:rPr>
        <w:t>1.68</w:t>
      </w:r>
      <w:r>
        <w:rPr>
          <w:rFonts w:hint="eastAsia" w:ascii="仿宋_GB2312" w:hAnsi="仿宋_GB2312" w:eastAsia="仿宋_GB2312" w:cs="仿宋_GB2312"/>
          <w:sz w:val="32"/>
          <w:szCs w:val="32"/>
          <w:highlight w:val="none"/>
        </w:rPr>
        <w:t>万元。主要用于</w:t>
      </w:r>
      <w:r>
        <w:rPr>
          <w:rFonts w:hint="eastAsia" w:ascii="仿宋_GB2312" w:hAnsi="仿宋_GB2312" w:eastAsia="仿宋_GB2312" w:cs="仿宋_GB2312"/>
          <w:sz w:val="32"/>
          <w:szCs w:val="32"/>
          <w:highlight w:val="none"/>
          <w:lang w:eastAsia="zh-CN"/>
        </w:rPr>
        <w:t>公务用车运行支出</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年期末，单位开支财政拨款的公务用车保有量为</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lang w:eastAsia="zh-CN"/>
        </w:rPr>
        <w:t>辆</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0.58</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0.14</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24.14</w:t>
      </w:r>
      <w:r>
        <w:rPr>
          <w:rFonts w:hint="eastAsia" w:ascii="仿宋_GB2312" w:hAnsi="仿宋_GB2312" w:eastAsia="仿宋_GB2312" w:cs="仿宋_GB2312"/>
          <w:sz w:val="32"/>
          <w:szCs w:val="32"/>
          <w:highlight w:val="none"/>
        </w:rPr>
        <w:t>%。决算数与预算数存在差异的主要原因是</w:t>
      </w:r>
      <w:r>
        <w:rPr>
          <w:rFonts w:hint="eastAsia" w:ascii="仿宋_GB2312" w:hAnsi="仿宋_GB2312" w:eastAsia="仿宋_GB2312" w:cs="仿宋_GB2312"/>
          <w:color w:val="auto"/>
          <w:sz w:val="32"/>
          <w:szCs w:val="32"/>
          <w:highlight w:val="none"/>
          <w:lang w:val="en-US" w:eastAsia="zh-CN"/>
        </w:rPr>
        <w:t>本年度节约各项费用开支</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年共接待国（境）外来访团组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个、来访外宾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lang w:val="en-US" w:eastAsia="zh-CN"/>
        </w:rPr>
        <w:t>0.14</w:t>
      </w:r>
      <w:r>
        <w:rPr>
          <w:rFonts w:hint="eastAsia" w:ascii="仿宋_GB2312" w:hAnsi="仿宋_GB2312" w:eastAsia="仿宋_GB2312" w:cs="仿宋_GB2312"/>
          <w:sz w:val="32"/>
          <w:szCs w:val="32"/>
          <w:highlight w:val="none"/>
        </w:rPr>
        <w:t>万元。主要用于公务接待支出。</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年共接待国内来访团组</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个、来宾</w:t>
      </w:r>
      <w:r>
        <w:rPr>
          <w:rFonts w:hint="eastAsia" w:ascii="仿宋_GB2312" w:hAnsi="仿宋_GB2312" w:eastAsia="仿宋_GB2312" w:cs="仿宋_GB2312"/>
          <w:sz w:val="32"/>
          <w:szCs w:val="32"/>
          <w:highlight w:val="none"/>
          <w:lang w:val="en-US" w:eastAsia="zh-CN"/>
        </w:rPr>
        <w:t>15</w:t>
      </w:r>
      <w:r>
        <w:rPr>
          <w:rFonts w:hint="eastAsia" w:ascii="仿宋_GB2312" w:hAnsi="仿宋_GB2312" w:eastAsia="仿宋_GB2312" w:cs="仿宋_GB2312"/>
          <w:sz w:val="32"/>
          <w:szCs w:val="32"/>
          <w:highlight w:val="none"/>
        </w:rPr>
        <w:t>人次（不包括陪同人员）。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年度政府性基金预算财政拨款支出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1879.10</w:t>
      </w:r>
      <w:r>
        <w:rPr>
          <w:rFonts w:hint="eastAsia" w:ascii="仿宋_GB2312" w:hAnsi="仿宋_GB2312" w:eastAsia="仿宋_GB2312" w:cs="仿宋_GB2312"/>
          <w:sz w:val="32"/>
          <w:szCs w:val="32"/>
          <w:highlight w:val="none"/>
        </w:rPr>
        <w:t>万元。主要用于体育事业的彩票公益金支出，</w:t>
      </w:r>
      <w:r>
        <w:rPr>
          <w:rFonts w:hint="eastAsia" w:ascii="仿宋_GB2312" w:hAnsi="仿宋_GB2312" w:eastAsia="仿宋_GB2312" w:cs="仿宋_GB2312"/>
          <w:sz w:val="32"/>
          <w:szCs w:val="32"/>
          <w:highlight w:val="none"/>
          <w:lang w:eastAsia="zh-CN"/>
        </w:rPr>
        <w:t>不存在项目年末结转和结余资金数额较大</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年度机关运行经费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217.23</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248.96</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114.61</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业务需要，物价上涨</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年度政府采购支出总额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万元，其中：政府采购货物支出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万元、政府采购工程支出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万元、政府采购服务支出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万元。授予中小企业合同金额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万元，其中：授予小微企业合同金额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w:t>
      </w:r>
      <w:r>
        <w:rPr>
          <w:rFonts w:hint="eastAsia" w:ascii="仿宋_GB2312" w:hAnsi="仿宋_GB2312" w:eastAsia="仿宋_GB2312" w:cs="仿宋_GB2312"/>
          <w:sz w:val="32"/>
          <w:szCs w:val="32"/>
          <w:highlight w:val="none"/>
          <w:lang w:val="en-US" w:eastAsia="zh-CN"/>
        </w:rPr>
        <w:t>部门</w:t>
      </w:r>
      <w:r>
        <w:rPr>
          <w:rFonts w:hint="eastAsia" w:ascii="仿宋_GB2312" w:hAnsi="仿宋_GB2312" w:eastAsia="仿宋_GB2312" w:cs="仿宋_GB2312"/>
          <w:sz w:val="32"/>
          <w:szCs w:val="32"/>
          <w:highlight w:val="none"/>
        </w:rPr>
        <w:t>共有车辆</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辆；单位价值50万元以上通用设备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台（套），单位价值100万元以上专用设备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我部门按照《中共许昌市委 许昌市人民政府关于全面实施预算绩效管理的实施意见》（许发〔2021〕13号）文件要求，对本部门整体支出和项目支出开展全过程预算绩效管理。许昌市体育局2021年已全面开展绩效管理工作，根据财政局绩效科通知及要求，向本部门人员宣传绩效工作的重要性并组织本部门所有人员参与绩效培训，认真学习相关文件及课程。</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（二）部门整体和项目绩效自评结果。</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0" w:firstLineChars="3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部门对本部门整体绩效目标和项目支出绩效目标进行了自评。一是部门整体绩效自评情况我部门2021年积极开展部门整体绩效自评工作，整体绩效执行率7.5分，产出指标得分46.5分，满意度指标得分8.5分，效益指标得分27.5分，自评得分90分。二是项目绩效自评情况。我部门共有2个项目批复了绩效目标，项目金额100.50万元。其中：</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0" w:firstLineChars="3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许昌市体育局（本级）1个，项目金额41.50万元；</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0" w:firstLineChars="3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许昌市体育运动学校1个，项目金额59.00万元。</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0" w:firstLineChars="3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90分。其中：2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0" w:firstLineChars="3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许昌市财政局和我部门共选取我部门0个项目开展了部门重点绩效评价：0个项目等次为“优”、0个项目等次为“良”、0个项目等次为“中”、0个项目等次为“差”。</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2021年度我部门没有开展重点绩效评价的项目。</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rPr>
          <w:rFonts w:hint="eastAsia" w:ascii="黑体" w:hAnsi="宋体" w:eastAsia="黑体" w:cs="宋体"/>
          <w:kern w:val="0"/>
          <w:sz w:val="28"/>
          <w:szCs w:val="28"/>
          <w:highlight w:val="none"/>
        </w:rPr>
      </w:pPr>
    </w:p>
    <w:p>
      <w:pPr>
        <w:widowControl/>
        <w:jc w:val="center"/>
        <w:rPr>
          <w:rFonts w:hint="eastAsia" w:ascii="黑体" w:hAnsi="宋体" w:eastAsia="黑体" w:cs="宋体"/>
          <w:kern w:val="0"/>
          <w:sz w:val="48"/>
          <w:szCs w:val="4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80094C"/>
    <w:multiLevelType w:val="singleLevel"/>
    <w:tmpl w:val="8C80094C"/>
    <w:lvl w:ilvl="0" w:tentative="0">
      <w:start w:val="1"/>
      <w:numFmt w:val="chineseCounting"/>
      <w:suff w:val="nothing"/>
      <w:lvlText w:val="%1、"/>
      <w:lvlJc w:val="left"/>
      <w:rPr>
        <w:rFonts w:hint="eastAsia"/>
      </w:rPr>
    </w:lvl>
  </w:abstractNum>
  <w:abstractNum w:abstractNumId="1">
    <w:nsid w:val="CCBB17A1"/>
    <w:multiLevelType w:val="singleLevel"/>
    <w:tmpl w:val="CCBB17A1"/>
    <w:lvl w:ilvl="0" w:tentative="0">
      <w:start w:val="1"/>
      <w:numFmt w:val="decimal"/>
      <w:suff w:val="nothing"/>
      <w:lvlText w:val="%1、"/>
      <w:lvlJc w:val="left"/>
    </w:lvl>
  </w:abstractNum>
  <w:abstractNum w:abstractNumId="2">
    <w:nsid w:val="5971BE17"/>
    <w:multiLevelType w:val="singleLevel"/>
    <w:tmpl w:val="5971BE17"/>
    <w:lvl w:ilvl="0" w:tentative="0">
      <w:start w:val="1"/>
      <w:numFmt w:val="chineseCounting"/>
      <w:suff w:val="nothing"/>
      <w:lvlText w:val="%1、"/>
      <w:lvlJc w:val="left"/>
    </w:lvl>
  </w:abstractNum>
  <w:abstractNum w:abstractNumId="3">
    <w:nsid w:val="5971DD00"/>
    <w:multiLevelType w:val="singleLevel"/>
    <w:tmpl w:val="5971DD00"/>
    <w:lvl w:ilvl="0" w:tentative="0">
      <w:start w:val="1"/>
      <w:numFmt w:val="decimal"/>
      <w:suff w:val="nothing"/>
      <w:lvlText w:val="%1．"/>
      <w:lvlJc w:val="left"/>
      <w:pPr>
        <w:ind w:left="0" w:firstLine="40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0YTY1OWQ1YzcwYjRiMWM4Yjk5Zjg0M2FkYzgzZDQifQ=="/>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2A75A0"/>
    <w:rsid w:val="01322275"/>
    <w:rsid w:val="01DC6F05"/>
    <w:rsid w:val="021E3C70"/>
    <w:rsid w:val="02A3489A"/>
    <w:rsid w:val="02CA138D"/>
    <w:rsid w:val="033646FC"/>
    <w:rsid w:val="038E441F"/>
    <w:rsid w:val="03C75F80"/>
    <w:rsid w:val="0478364D"/>
    <w:rsid w:val="053D4C0D"/>
    <w:rsid w:val="0557532E"/>
    <w:rsid w:val="0799329C"/>
    <w:rsid w:val="08397436"/>
    <w:rsid w:val="086F16A7"/>
    <w:rsid w:val="08A673EC"/>
    <w:rsid w:val="0A0F7225"/>
    <w:rsid w:val="0A2B7D82"/>
    <w:rsid w:val="0A6D18E6"/>
    <w:rsid w:val="0ACD704B"/>
    <w:rsid w:val="0AD92484"/>
    <w:rsid w:val="0ADC40E9"/>
    <w:rsid w:val="0AE607F4"/>
    <w:rsid w:val="0B386127"/>
    <w:rsid w:val="0B451598"/>
    <w:rsid w:val="0BA7390A"/>
    <w:rsid w:val="0BEC73F4"/>
    <w:rsid w:val="0C392698"/>
    <w:rsid w:val="0C615083"/>
    <w:rsid w:val="0FF52A19"/>
    <w:rsid w:val="1082606E"/>
    <w:rsid w:val="10BD36F6"/>
    <w:rsid w:val="11BF0649"/>
    <w:rsid w:val="123E3E08"/>
    <w:rsid w:val="133212F4"/>
    <w:rsid w:val="1392370A"/>
    <w:rsid w:val="13BF17F4"/>
    <w:rsid w:val="13D22E22"/>
    <w:rsid w:val="161C2DFF"/>
    <w:rsid w:val="16373578"/>
    <w:rsid w:val="16D3336B"/>
    <w:rsid w:val="17200028"/>
    <w:rsid w:val="17806C36"/>
    <w:rsid w:val="17A74F62"/>
    <w:rsid w:val="182D7B55"/>
    <w:rsid w:val="18A47774"/>
    <w:rsid w:val="18AC3B84"/>
    <w:rsid w:val="18E60550"/>
    <w:rsid w:val="1A8D28EB"/>
    <w:rsid w:val="1A9F2D78"/>
    <w:rsid w:val="1B2E6FD8"/>
    <w:rsid w:val="1B877D21"/>
    <w:rsid w:val="1C4319A9"/>
    <w:rsid w:val="1E402465"/>
    <w:rsid w:val="1E443B4B"/>
    <w:rsid w:val="1E994F4A"/>
    <w:rsid w:val="1E9D22DA"/>
    <w:rsid w:val="1EAF0224"/>
    <w:rsid w:val="1F2230A4"/>
    <w:rsid w:val="20210932"/>
    <w:rsid w:val="202448E0"/>
    <w:rsid w:val="20F614FE"/>
    <w:rsid w:val="21302EEA"/>
    <w:rsid w:val="22376FB5"/>
    <w:rsid w:val="230C0974"/>
    <w:rsid w:val="23CC456F"/>
    <w:rsid w:val="23E152D7"/>
    <w:rsid w:val="23EE2489"/>
    <w:rsid w:val="243C7335"/>
    <w:rsid w:val="24747FE9"/>
    <w:rsid w:val="255D43C8"/>
    <w:rsid w:val="25E70581"/>
    <w:rsid w:val="262D62B2"/>
    <w:rsid w:val="26714EF8"/>
    <w:rsid w:val="26766D83"/>
    <w:rsid w:val="26876BDD"/>
    <w:rsid w:val="2714632A"/>
    <w:rsid w:val="27541E73"/>
    <w:rsid w:val="27B0539E"/>
    <w:rsid w:val="29365CF8"/>
    <w:rsid w:val="299469B3"/>
    <w:rsid w:val="2A805789"/>
    <w:rsid w:val="2ADC0D75"/>
    <w:rsid w:val="2B4A0E52"/>
    <w:rsid w:val="2BB07F7F"/>
    <w:rsid w:val="2C975890"/>
    <w:rsid w:val="2CEA2773"/>
    <w:rsid w:val="2DEF21BB"/>
    <w:rsid w:val="2E4A2F05"/>
    <w:rsid w:val="2ECC1061"/>
    <w:rsid w:val="2FA476AD"/>
    <w:rsid w:val="303F7540"/>
    <w:rsid w:val="30904544"/>
    <w:rsid w:val="31DD00BF"/>
    <w:rsid w:val="3293174C"/>
    <w:rsid w:val="329D39BE"/>
    <w:rsid w:val="32BB38D4"/>
    <w:rsid w:val="32C00ABC"/>
    <w:rsid w:val="32C9376D"/>
    <w:rsid w:val="3304474F"/>
    <w:rsid w:val="33780472"/>
    <w:rsid w:val="33AF0905"/>
    <w:rsid w:val="355932F4"/>
    <w:rsid w:val="35611882"/>
    <w:rsid w:val="36746FC3"/>
    <w:rsid w:val="368763AE"/>
    <w:rsid w:val="36A35D14"/>
    <w:rsid w:val="3707733F"/>
    <w:rsid w:val="395D59E7"/>
    <w:rsid w:val="39A93932"/>
    <w:rsid w:val="3A915562"/>
    <w:rsid w:val="3B8D4765"/>
    <w:rsid w:val="3C000DBA"/>
    <w:rsid w:val="3CA204A9"/>
    <w:rsid w:val="3CC17E2E"/>
    <w:rsid w:val="3CFE4941"/>
    <w:rsid w:val="3D800FFD"/>
    <w:rsid w:val="3DC045D3"/>
    <w:rsid w:val="3E504FFB"/>
    <w:rsid w:val="3E615CD0"/>
    <w:rsid w:val="3E9C47F6"/>
    <w:rsid w:val="3F8B0112"/>
    <w:rsid w:val="3FAB3095"/>
    <w:rsid w:val="3FE45947"/>
    <w:rsid w:val="41242965"/>
    <w:rsid w:val="42E973DF"/>
    <w:rsid w:val="435671EA"/>
    <w:rsid w:val="440809E9"/>
    <w:rsid w:val="442407A6"/>
    <w:rsid w:val="44805EA1"/>
    <w:rsid w:val="45710696"/>
    <w:rsid w:val="45E22608"/>
    <w:rsid w:val="46142B1B"/>
    <w:rsid w:val="46C74E5C"/>
    <w:rsid w:val="47E60DD0"/>
    <w:rsid w:val="48735039"/>
    <w:rsid w:val="48DB2842"/>
    <w:rsid w:val="492C684B"/>
    <w:rsid w:val="49500594"/>
    <w:rsid w:val="496C6AC8"/>
    <w:rsid w:val="49E7604E"/>
    <w:rsid w:val="4BF67CDD"/>
    <w:rsid w:val="4CE86CC0"/>
    <w:rsid w:val="4D173441"/>
    <w:rsid w:val="4D603DD6"/>
    <w:rsid w:val="4EBF010F"/>
    <w:rsid w:val="4F471EB0"/>
    <w:rsid w:val="51331326"/>
    <w:rsid w:val="51740A7F"/>
    <w:rsid w:val="51A5541E"/>
    <w:rsid w:val="51C96242"/>
    <w:rsid w:val="530F7D17"/>
    <w:rsid w:val="53906AE1"/>
    <w:rsid w:val="53C02A11"/>
    <w:rsid w:val="53F745BB"/>
    <w:rsid w:val="54F46F60"/>
    <w:rsid w:val="55A37BEA"/>
    <w:rsid w:val="56362CD2"/>
    <w:rsid w:val="5784687B"/>
    <w:rsid w:val="57846959"/>
    <w:rsid w:val="578E6A87"/>
    <w:rsid w:val="5AC2203A"/>
    <w:rsid w:val="5AEE48B0"/>
    <w:rsid w:val="5BC05947"/>
    <w:rsid w:val="5CBB3334"/>
    <w:rsid w:val="5D115FAF"/>
    <w:rsid w:val="6058760A"/>
    <w:rsid w:val="60A95B4B"/>
    <w:rsid w:val="610512E1"/>
    <w:rsid w:val="62811722"/>
    <w:rsid w:val="62E75A72"/>
    <w:rsid w:val="64571880"/>
    <w:rsid w:val="649125B6"/>
    <w:rsid w:val="64E7776E"/>
    <w:rsid w:val="652F4C1A"/>
    <w:rsid w:val="65393A14"/>
    <w:rsid w:val="666D37F1"/>
    <w:rsid w:val="67087D8F"/>
    <w:rsid w:val="671F687E"/>
    <w:rsid w:val="67F415F8"/>
    <w:rsid w:val="682640D1"/>
    <w:rsid w:val="684B73E5"/>
    <w:rsid w:val="69466C17"/>
    <w:rsid w:val="6A047A2A"/>
    <w:rsid w:val="6EFB7548"/>
    <w:rsid w:val="6F3831C3"/>
    <w:rsid w:val="6F8B71C1"/>
    <w:rsid w:val="701167BB"/>
    <w:rsid w:val="70753482"/>
    <w:rsid w:val="707B522A"/>
    <w:rsid w:val="714A4CD9"/>
    <w:rsid w:val="71751E41"/>
    <w:rsid w:val="73194D05"/>
    <w:rsid w:val="73A83B0E"/>
    <w:rsid w:val="744D3EF9"/>
    <w:rsid w:val="74794411"/>
    <w:rsid w:val="75867C40"/>
    <w:rsid w:val="75B10B26"/>
    <w:rsid w:val="76432199"/>
    <w:rsid w:val="76463517"/>
    <w:rsid w:val="76F44829"/>
    <w:rsid w:val="77A267C0"/>
    <w:rsid w:val="78457EAD"/>
    <w:rsid w:val="78882278"/>
    <w:rsid w:val="789BA885"/>
    <w:rsid w:val="78A903CC"/>
    <w:rsid w:val="78B118A6"/>
    <w:rsid w:val="79135044"/>
    <w:rsid w:val="7A7D0F99"/>
    <w:rsid w:val="7BE378EA"/>
    <w:rsid w:val="7D695B9D"/>
    <w:rsid w:val="7E2F50B2"/>
    <w:rsid w:val="7E4A0E7C"/>
    <w:rsid w:val="7EFD449D"/>
    <w:rsid w:val="EBF7642E"/>
    <w:rsid w:val="F2DF2A36"/>
    <w:rsid w:val="F368851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批注框文本 Char"/>
    <w:link w:val="2"/>
    <w:semiHidden/>
    <w:qFormat/>
    <w:uiPriority w:val="99"/>
    <w:rPr>
      <w:kern w:val="2"/>
      <w:sz w:val="18"/>
      <w:szCs w:val="18"/>
    </w:rPr>
  </w:style>
  <w:style w:type="character" w:customStyle="1" w:styleId="11">
    <w:name w:val="页脚 Char"/>
    <w:link w:val="3"/>
    <w:qFormat/>
    <w:uiPriority w:val="99"/>
    <w:rPr>
      <w:kern w:val="2"/>
      <w:sz w:val="18"/>
      <w:szCs w:val="18"/>
    </w:rPr>
  </w:style>
  <w:style w:type="character" w:customStyle="1" w:styleId="12">
    <w:name w:val="页眉 Char"/>
    <w:link w:val="4"/>
    <w:qFormat/>
    <w:uiPriority w:val="99"/>
    <w:rPr>
      <w:kern w:val="2"/>
      <w:sz w:val="18"/>
      <w:szCs w:val="18"/>
    </w:rPr>
  </w:style>
  <w:style w:type="character" w:customStyle="1" w:styleId="13">
    <w:name w:val="font01"/>
    <w:qFormat/>
    <w:uiPriority w:val="0"/>
    <w:rPr>
      <w:rFonts w:hint="eastAsia" w:ascii="宋体" w:hAnsi="宋体" w:eastAsia="宋体" w:cs="宋体"/>
      <w:color w:val="000000"/>
      <w:sz w:val="22"/>
      <w:szCs w:val="22"/>
      <w:u w:val="none"/>
    </w:rPr>
  </w:style>
  <w:style w:type="character" w:customStyle="1" w:styleId="14">
    <w:name w:val="font21"/>
    <w:qFormat/>
    <w:uiPriority w:val="0"/>
    <w:rPr>
      <w:rFonts w:hint="eastAsia" w:ascii="宋体" w:hAnsi="宋体" w:eastAsia="宋体" w:cs="宋体"/>
      <w:color w:val="000000"/>
      <w:sz w:val="22"/>
      <w:szCs w:val="22"/>
      <w:u w:val="none"/>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11"/>
    <w:qFormat/>
    <w:uiPriority w:val="0"/>
    <w:rPr>
      <w:rFonts w:hint="eastAsia" w:ascii="宋体" w:hAnsi="宋体" w:eastAsia="宋体" w:cs="宋体"/>
      <w:color w:val="000000"/>
      <w:sz w:val="20"/>
      <w:szCs w:val="20"/>
      <w:u w:val="none"/>
    </w:rPr>
  </w:style>
  <w:style w:type="character" w:customStyle="1" w:styleId="17">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34</Pages>
  <Words>9735</Words>
  <Characters>12761</Characters>
  <Lines>60</Lines>
  <Paragraphs>16</Paragraphs>
  <TotalTime>57</TotalTime>
  <ScaleCrop>false</ScaleCrop>
  <LinksUpToDate>false</LinksUpToDate>
  <CharactersWithSpaces>13047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2007-11-29T19:41:00Z</dcterms:created>
  <dc:creator>管理者</dc:creator>
  <cp:lastModifiedBy>Administrator</cp:lastModifiedBy>
  <cp:lastPrinted>2018-07-25T02:50:00Z</cp:lastPrinted>
  <dcterms:modified xsi:type="dcterms:W3CDTF">2023-05-10T08:13:23Z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8E20C0BF5C11480CA361FD514E787CC0_13</vt:lpwstr>
  </property>
</Properties>
</file>