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许昌市人民政府办公室部门决算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许昌市人民政府办公室概况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2021年度部门决算表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ascii="黑体" w:hAnsi="黑体" w:eastAsia="黑体" w:cs="黑体"/>
          <w:sz w:val="32"/>
          <w:szCs w:val="32"/>
        </w:rPr>
        <w:t>部门</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pStyle w:val="2"/>
        <w:rPr>
          <w:rFonts w:ascii="黑体" w:hAnsi="黑体" w:eastAsia="黑体" w:cs="黑体"/>
          <w:sz w:val="48"/>
          <w:szCs w:val="48"/>
        </w:rPr>
      </w:pPr>
    </w:p>
    <w:p>
      <w:pPr>
        <w:widowControl/>
        <w:jc w:val="both"/>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许昌市人民政府办公室概况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pStyle w:val="2"/>
      </w:pPr>
    </w:p>
    <w:p>
      <w:pPr>
        <w:widowControl/>
        <w:ind w:firstLine="640" w:firstLineChars="200"/>
        <w:jc w:val="left"/>
        <w:outlineLvl w:val="1"/>
        <w:rPr>
          <w:rFonts w:ascii="黑体" w:hAnsi="黑体" w:eastAsia="黑体" w:cs="黑体"/>
          <w:kern w:val="0"/>
          <w:sz w:val="32"/>
          <w:szCs w:val="32"/>
        </w:rPr>
      </w:pPr>
    </w:p>
    <w:p>
      <w:pPr>
        <w:pStyle w:val="2"/>
        <w:rPr>
          <w:rFonts w:ascii="黑体" w:hAnsi="黑体" w:eastAsia="黑体" w:cs="黑体"/>
          <w:kern w:val="0"/>
          <w:sz w:val="32"/>
          <w:szCs w:val="32"/>
        </w:rPr>
      </w:pPr>
    </w:p>
    <w:p>
      <w:pPr>
        <w:rPr>
          <w:rFonts w:ascii="黑体" w:hAnsi="黑体" w:eastAsia="黑体" w:cs="黑体"/>
          <w:kern w:val="0"/>
          <w:sz w:val="32"/>
          <w:szCs w:val="32"/>
        </w:rPr>
      </w:pPr>
    </w:p>
    <w:p>
      <w:pPr>
        <w:pStyle w:val="2"/>
        <w:rPr>
          <w:rFonts w:ascii="黑体" w:hAnsi="黑体" w:eastAsia="黑体" w:cs="黑体"/>
          <w:kern w:val="0"/>
          <w:sz w:val="32"/>
          <w:szCs w:val="32"/>
        </w:rPr>
      </w:pPr>
    </w:p>
    <w:p/>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autoSpaceDE w:val="0"/>
        <w:autoSpaceDN w:val="0"/>
        <w:adjustRightInd w:val="0"/>
        <w:snapToGrid w:val="0"/>
        <w:spacing w:line="600" w:lineRule="exact"/>
        <w:ind w:firstLine="640" w:firstLineChars="200"/>
        <w:rPr>
          <w:rFonts w:eastAsia="仿宋_GB2312"/>
          <w:color w:val="000000"/>
          <w:sz w:val="32"/>
          <w:szCs w:val="24"/>
        </w:rPr>
      </w:pPr>
      <w:r>
        <w:rPr>
          <w:rFonts w:eastAsia="仿宋_GB2312"/>
          <w:color w:val="000000"/>
          <w:sz w:val="32"/>
          <w:szCs w:val="24"/>
        </w:rPr>
        <w:t>许昌市人民政府办公室是协助市政府领导同志处理市政府日常工作的机构。</w:t>
      </w:r>
    </w:p>
    <w:p>
      <w:pPr>
        <w:autoSpaceDE w:val="0"/>
        <w:autoSpaceDN w:val="0"/>
        <w:adjustRightInd w:val="0"/>
        <w:snapToGrid w:val="0"/>
        <w:spacing w:line="600" w:lineRule="exact"/>
        <w:ind w:firstLine="640" w:firstLineChars="200"/>
        <w:rPr>
          <w:rFonts w:eastAsia="仿宋_GB2312"/>
          <w:color w:val="000000"/>
          <w:sz w:val="32"/>
          <w:szCs w:val="24"/>
        </w:rPr>
      </w:pPr>
      <w:r>
        <w:rPr>
          <w:rFonts w:eastAsia="仿宋_GB2312"/>
          <w:color w:val="000000"/>
          <w:sz w:val="32"/>
          <w:szCs w:val="24"/>
        </w:rPr>
        <w:t>（一）围绕市政府中心工作和市政府领导同志指示，组织专题调查研究，及时反映情况，提出建议。</w:t>
      </w:r>
    </w:p>
    <w:p>
      <w:pPr>
        <w:autoSpaceDE w:val="0"/>
        <w:autoSpaceDN w:val="0"/>
        <w:adjustRightInd w:val="0"/>
        <w:snapToGrid w:val="0"/>
        <w:spacing w:line="600" w:lineRule="exact"/>
        <w:ind w:firstLine="640" w:firstLineChars="200"/>
        <w:rPr>
          <w:rFonts w:eastAsia="仿宋_GB2312"/>
          <w:color w:val="000000"/>
          <w:sz w:val="32"/>
          <w:szCs w:val="24"/>
        </w:rPr>
      </w:pPr>
      <w:r>
        <w:rPr>
          <w:rFonts w:eastAsia="仿宋_GB2312"/>
          <w:color w:val="000000"/>
          <w:sz w:val="32"/>
          <w:szCs w:val="24"/>
        </w:rPr>
        <w:t>（二）承办申请市政府裁决的行政复议案件，指导、监督全市的行政复议和行政应诉工作；受市政府委托，代理市政府行政诉讼和民事诉讼；承办市政府决定受理的行政赔偿案件。</w:t>
      </w:r>
    </w:p>
    <w:p>
      <w:pPr>
        <w:autoSpaceDE w:val="0"/>
        <w:autoSpaceDN w:val="0"/>
        <w:adjustRightInd w:val="0"/>
        <w:snapToGrid w:val="0"/>
        <w:spacing w:line="600" w:lineRule="exact"/>
        <w:ind w:firstLine="640" w:firstLineChars="200"/>
        <w:rPr>
          <w:rFonts w:eastAsia="仿宋_GB2312"/>
          <w:color w:val="000000"/>
          <w:sz w:val="32"/>
          <w:szCs w:val="24"/>
        </w:rPr>
      </w:pPr>
      <w:r>
        <w:rPr>
          <w:rFonts w:eastAsia="仿宋_GB2312"/>
          <w:color w:val="000000"/>
          <w:sz w:val="32"/>
          <w:szCs w:val="24"/>
        </w:rPr>
        <w:t>（三）负责协助市政府党组落实全面从严治党主体责任工作。</w:t>
      </w:r>
    </w:p>
    <w:p>
      <w:pPr>
        <w:autoSpaceDE w:val="0"/>
        <w:autoSpaceDN w:val="0"/>
        <w:adjustRightInd w:val="0"/>
        <w:snapToGrid w:val="0"/>
        <w:spacing w:line="600" w:lineRule="exact"/>
        <w:ind w:firstLine="640" w:firstLineChars="200"/>
        <w:rPr>
          <w:rFonts w:eastAsia="仿宋_GB2312"/>
          <w:color w:val="000000"/>
          <w:sz w:val="32"/>
          <w:szCs w:val="24"/>
        </w:rPr>
      </w:pPr>
      <w:r>
        <w:rPr>
          <w:rFonts w:eastAsia="仿宋_GB2312"/>
          <w:color w:val="000000"/>
          <w:sz w:val="32"/>
          <w:szCs w:val="24"/>
        </w:rPr>
        <w:t>（四）负责市政府会议的准备工作，协助市政府领导同志组织实施会议决定事项。</w:t>
      </w:r>
    </w:p>
    <w:p>
      <w:pPr>
        <w:autoSpaceDE w:val="0"/>
        <w:autoSpaceDN w:val="0"/>
        <w:adjustRightInd w:val="0"/>
        <w:snapToGrid w:val="0"/>
        <w:spacing w:line="600" w:lineRule="exact"/>
        <w:ind w:firstLine="640" w:firstLineChars="200"/>
        <w:rPr>
          <w:rFonts w:eastAsia="仿宋_GB2312"/>
          <w:color w:val="000000"/>
          <w:sz w:val="32"/>
          <w:szCs w:val="24"/>
        </w:rPr>
      </w:pPr>
      <w:r>
        <w:rPr>
          <w:rFonts w:eastAsia="仿宋_GB2312"/>
          <w:color w:val="000000"/>
          <w:sz w:val="32"/>
          <w:szCs w:val="24"/>
        </w:rPr>
        <w:t>（五）组织起草或审核以市政府、市政府办公室名义印发的公文。</w:t>
      </w:r>
    </w:p>
    <w:p>
      <w:pPr>
        <w:autoSpaceDE w:val="0"/>
        <w:autoSpaceDN w:val="0"/>
        <w:adjustRightInd w:val="0"/>
        <w:snapToGrid w:val="0"/>
        <w:spacing w:line="600" w:lineRule="exact"/>
        <w:ind w:firstLine="640" w:firstLineChars="200"/>
        <w:rPr>
          <w:rFonts w:eastAsia="仿宋_GB2312"/>
          <w:color w:val="000000"/>
          <w:sz w:val="32"/>
          <w:szCs w:val="24"/>
        </w:rPr>
      </w:pPr>
      <w:r>
        <w:rPr>
          <w:rFonts w:eastAsia="仿宋_GB2312"/>
          <w:color w:val="000000"/>
          <w:sz w:val="32"/>
          <w:szCs w:val="24"/>
        </w:rPr>
        <w:t>（六）负责对市政府各部门和各县（市、区）政府请示市政府的事项进行审核，提出拟办意见，报市政府领导同志审批。</w:t>
      </w:r>
    </w:p>
    <w:p>
      <w:pPr>
        <w:autoSpaceDE w:val="0"/>
        <w:autoSpaceDN w:val="0"/>
        <w:adjustRightInd w:val="0"/>
        <w:snapToGrid w:val="0"/>
        <w:spacing w:line="600" w:lineRule="exact"/>
        <w:ind w:firstLine="640" w:firstLineChars="200"/>
        <w:rPr>
          <w:rFonts w:eastAsia="仿宋_GB2312"/>
          <w:color w:val="000000"/>
          <w:sz w:val="32"/>
          <w:szCs w:val="24"/>
        </w:rPr>
      </w:pPr>
      <w:r>
        <w:rPr>
          <w:rFonts w:eastAsia="仿宋_GB2312"/>
          <w:color w:val="000000"/>
          <w:sz w:val="32"/>
          <w:szCs w:val="24"/>
        </w:rPr>
        <w:t>（七）协助市政府领导同志组织处理需由市政府直接处理的重要问题、突发事件。</w:t>
      </w:r>
    </w:p>
    <w:p>
      <w:pPr>
        <w:autoSpaceDE w:val="0"/>
        <w:autoSpaceDN w:val="0"/>
        <w:adjustRightInd w:val="0"/>
        <w:snapToGrid w:val="0"/>
        <w:spacing w:line="600" w:lineRule="exact"/>
        <w:ind w:firstLine="640" w:firstLineChars="200"/>
        <w:rPr>
          <w:rFonts w:eastAsia="仿宋_GB2312"/>
          <w:color w:val="000000"/>
          <w:sz w:val="32"/>
          <w:szCs w:val="24"/>
        </w:rPr>
      </w:pPr>
      <w:r>
        <w:rPr>
          <w:rFonts w:eastAsia="仿宋_GB2312"/>
          <w:color w:val="000000"/>
          <w:sz w:val="32"/>
          <w:szCs w:val="24"/>
        </w:rPr>
        <w:t>（八）负责市政府及其办公室公文收发、运转、印制、机要、保密工作，指导全市政府系统的文秘工作。</w:t>
      </w:r>
    </w:p>
    <w:p>
      <w:pPr>
        <w:autoSpaceDE w:val="0"/>
        <w:autoSpaceDN w:val="0"/>
        <w:adjustRightInd w:val="0"/>
        <w:snapToGrid w:val="0"/>
        <w:spacing w:line="600" w:lineRule="exact"/>
        <w:ind w:firstLine="640" w:firstLineChars="200"/>
        <w:rPr>
          <w:rFonts w:eastAsia="仿宋_GB2312"/>
          <w:color w:val="000000"/>
          <w:sz w:val="32"/>
          <w:szCs w:val="24"/>
        </w:rPr>
      </w:pPr>
      <w:r>
        <w:rPr>
          <w:rFonts w:eastAsia="仿宋_GB2312"/>
          <w:color w:val="000000"/>
          <w:sz w:val="32"/>
          <w:szCs w:val="24"/>
        </w:rPr>
        <w:t>（九）负责市级地方志书、综合年鉴出版审批等有关工作。</w:t>
      </w:r>
    </w:p>
    <w:p>
      <w:pPr>
        <w:autoSpaceDE w:val="0"/>
        <w:autoSpaceDN w:val="0"/>
        <w:adjustRightInd w:val="0"/>
        <w:snapToGrid w:val="0"/>
        <w:spacing w:line="600" w:lineRule="exact"/>
        <w:ind w:firstLine="640" w:firstLineChars="200"/>
        <w:rPr>
          <w:rFonts w:eastAsia="仿宋_GB2312"/>
          <w:color w:val="000000"/>
          <w:sz w:val="32"/>
          <w:szCs w:val="24"/>
        </w:rPr>
      </w:pPr>
      <w:r>
        <w:rPr>
          <w:rFonts w:eastAsia="仿宋_GB2312"/>
          <w:color w:val="000000"/>
          <w:sz w:val="32"/>
          <w:szCs w:val="24"/>
        </w:rPr>
        <w:t>（十）负责全市政务信息的采编和分析，指导协调全市政府系统信息工作。</w:t>
      </w:r>
    </w:p>
    <w:p>
      <w:pPr>
        <w:autoSpaceDE w:val="0"/>
        <w:autoSpaceDN w:val="0"/>
        <w:adjustRightInd w:val="0"/>
        <w:snapToGrid w:val="0"/>
        <w:spacing w:line="600" w:lineRule="exact"/>
        <w:ind w:firstLine="640" w:firstLineChars="200"/>
        <w:rPr>
          <w:rFonts w:eastAsia="仿宋_GB2312"/>
          <w:color w:val="000000"/>
          <w:sz w:val="32"/>
          <w:szCs w:val="24"/>
        </w:rPr>
      </w:pPr>
      <w:r>
        <w:rPr>
          <w:rFonts w:eastAsia="仿宋_GB2312"/>
          <w:color w:val="000000"/>
          <w:sz w:val="32"/>
          <w:szCs w:val="24"/>
        </w:rPr>
        <w:t>（十一）负责市政府政务公开、信息公开、网站管理、政策解读、舆情应对等工作；指导监督全市政务公开工作。</w:t>
      </w:r>
    </w:p>
    <w:p>
      <w:pPr>
        <w:autoSpaceDE w:val="0"/>
        <w:autoSpaceDN w:val="0"/>
        <w:adjustRightInd w:val="0"/>
        <w:snapToGrid w:val="0"/>
        <w:spacing w:line="600" w:lineRule="exact"/>
        <w:ind w:firstLine="640" w:firstLineChars="200"/>
        <w:rPr>
          <w:rFonts w:eastAsia="仿宋_GB2312"/>
          <w:color w:val="000000"/>
          <w:sz w:val="32"/>
          <w:szCs w:val="24"/>
        </w:rPr>
      </w:pPr>
      <w:r>
        <w:rPr>
          <w:rFonts w:eastAsia="仿宋_GB2312"/>
          <w:color w:val="000000"/>
          <w:sz w:val="32"/>
          <w:szCs w:val="24"/>
        </w:rPr>
        <w:t>（十二）负责市政府机关政务信息化系统的规划、建设、技术与安全保障。</w:t>
      </w:r>
    </w:p>
    <w:p>
      <w:pPr>
        <w:autoSpaceDE w:val="0"/>
        <w:autoSpaceDN w:val="0"/>
        <w:adjustRightInd w:val="0"/>
        <w:snapToGrid w:val="0"/>
        <w:spacing w:line="600" w:lineRule="exact"/>
        <w:ind w:firstLine="640" w:firstLineChars="200"/>
        <w:rPr>
          <w:rFonts w:eastAsia="仿宋_GB2312"/>
          <w:color w:val="000000"/>
          <w:sz w:val="32"/>
          <w:szCs w:val="24"/>
        </w:rPr>
      </w:pPr>
      <w:r>
        <w:rPr>
          <w:rFonts w:eastAsia="仿宋_GB2312"/>
          <w:color w:val="000000"/>
          <w:sz w:val="32"/>
          <w:szCs w:val="24"/>
        </w:rPr>
        <w:t>（十三）负责市政府值班工作，指导各县（市、区）政府值班工作。</w:t>
      </w:r>
    </w:p>
    <w:p>
      <w:pPr>
        <w:autoSpaceDE w:val="0"/>
        <w:autoSpaceDN w:val="0"/>
        <w:adjustRightInd w:val="0"/>
        <w:snapToGrid w:val="0"/>
        <w:spacing w:line="600" w:lineRule="exact"/>
        <w:ind w:firstLine="640" w:firstLineChars="200"/>
        <w:rPr>
          <w:rFonts w:eastAsia="仿宋_GB2312"/>
          <w:color w:val="000000"/>
          <w:sz w:val="32"/>
          <w:szCs w:val="24"/>
        </w:rPr>
      </w:pPr>
      <w:r>
        <w:rPr>
          <w:rFonts w:eastAsia="仿宋_GB2312"/>
          <w:color w:val="000000"/>
          <w:sz w:val="32"/>
          <w:szCs w:val="24"/>
        </w:rPr>
        <w:t>（十四）负责市政府郑许一体化发展工作。</w:t>
      </w:r>
    </w:p>
    <w:p>
      <w:pPr>
        <w:autoSpaceDE w:val="0"/>
        <w:autoSpaceDN w:val="0"/>
        <w:adjustRightInd w:val="0"/>
        <w:snapToGrid w:val="0"/>
        <w:spacing w:line="600" w:lineRule="exact"/>
        <w:ind w:firstLine="640" w:firstLineChars="200"/>
        <w:rPr>
          <w:rFonts w:eastAsia="仿宋_GB2312"/>
          <w:color w:val="000000"/>
          <w:sz w:val="32"/>
          <w:szCs w:val="24"/>
        </w:rPr>
      </w:pPr>
      <w:r>
        <w:rPr>
          <w:rFonts w:eastAsia="仿宋_GB2312"/>
          <w:color w:val="000000"/>
          <w:sz w:val="32"/>
          <w:szCs w:val="24"/>
        </w:rPr>
        <w:t>（十五）负责机关的行政事务和安全保卫工作。</w:t>
      </w:r>
    </w:p>
    <w:p>
      <w:pPr>
        <w:autoSpaceDE w:val="0"/>
        <w:autoSpaceDN w:val="0"/>
        <w:adjustRightInd w:val="0"/>
        <w:snapToGrid w:val="0"/>
        <w:spacing w:line="600" w:lineRule="exact"/>
        <w:ind w:firstLine="640" w:firstLineChars="200"/>
        <w:rPr>
          <w:highlight w:val="none"/>
        </w:rPr>
      </w:pPr>
      <w:r>
        <w:rPr>
          <w:rFonts w:eastAsia="仿宋_GB2312"/>
          <w:color w:val="000000"/>
          <w:sz w:val="32"/>
          <w:szCs w:val="24"/>
        </w:rPr>
        <w:t>（十六）完成市委、</w:t>
      </w:r>
      <w:r>
        <w:rPr>
          <w:rFonts w:eastAsia="仿宋_GB2312"/>
          <w:color w:val="000000"/>
          <w:sz w:val="32"/>
          <w:szCs w:val="24"/>
          <w:highlight w:val="none"/>
        </w:rPr>
        <w:t>市政府交办的其他任务。</w:t>
      </w:r>
    </w:p>
    <w:p>
      <w:pPr>
        <w:widowControl/>
        <w:ind w:firstLine="640" w:firstLineChars="200"/>
        <w:jc w:val="left"/>
        <w:outlineLvl w:val="1"/>
        <w:rPr>
          <w:rFonts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olor w:val="000000"/>
          <w:sz w:val="32"/>
          <w:highlight w:val="none"/>
          <w:lang w:eastAsia="zh-CN"/>
        </w:rPr>
      </w:pPr>
      <w:r>
        <w:rPr>
          <w:rFonts w:hint="eastAsia" w:ascii="仿宋_GB2312" w:hAnsi="仿宋_GB2312" w:eastAsia="仿宋_GB2312" w:cs="仿宋_GB2312"/>
          <w:kern w:val="0"/>
          <w:sz w:val="32"/>
          <w:szCs w:val="32"/>
          <w:highlight w:val="none"/>
        </w:rPr>
        <w:t>许昌市人民政府办公室内设机构2</w:t>
      </w:r>
      <w:r>
        <w:rPr>
          <w:rFonts w:hint="default" w:ascii="仿宋_GB2312" w:hAnsi="仿宋_GB2312" w:eastAsia="仿宋_GB2312" w:cs="仿宋_GB2312"/>
          <w:kern w:val="0"/>
          <w:sz w:val="32"/>
          <w:szCs w:val="32"/>
          <w:highlight w:val="none"/>
          <w:lang w:val="en"/>
        </w:rPr>
        <w:t>1</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olor w:val="000000"/>
          <w:sz w:val="32"/>
          <w:highlight w:val="none"/>
        </w:rPr>
        <w:t>经济发展研究科、社会事业研究科、政策法规科（郑许一体化发展科）、综合科、秘书科（保密办公室）、市政府总值班室、信息科、政务公开办公室（网络管理科）、一科、二科、三科、四科、五科、六科、七科、八科（主体责任办公室）、行政复议应诉科、人事科、行政科、</w:t>
      </w:r>
      <w:r>
        <w:rPr>
          <w:rFonts w:hint="eastAsia" w:ascii="仿宋_GB2312" w:hAnsi="仿宋_GB2312" w:eastAsia="仿宋_GB2312" w:cs="仿宋_GB2312"/>
          <w:kern w:val="0"/>
          <w:sz w:val="32"/>
          <w:szCs w:val="32"/>
          <w:highlight w:val="none"/>
        </w:rPr>
        <w:t>机关党委</w:t>
      </w:r>
      <w:r>
        <w:rPr>
          <w:rFonts w:hint="eastAsia" w:ascii="仿宋_GB2312" w:hAnsi="仿宋_GB2312" w:eastAsia="仿宋_GB2312" w:cs="仿宋_GB2312"/>
          <w:kern w:val="0"/>
          <w:sz w:val="32"/>
          <w:szCs w:val="32"/>
          <w:highlight w:val="none"/>
          <w:lang w:eastAsia="zh-CN"/>
        </w:rPr>
        <w:t>、</w:t>
      </w:r>
      <w:r>
        <w:rPr>
          <w:rFonts w:eastAsia="仿宋_GB2312"/>
          <w:color w:val="000000"/>
          <w:sz w:val="32"/>
          <w:highlight w:val="none"/>
        </w:rPr>
        <w:t>离退休干部工作科</w:t>
      </w:r>
      <w:r>
        <w:rPr>
          <w:rFonts w:hint="eastAsia" w:eastAsia="仿宋_GB2312"/>
          <w:color w:val="000000"/>
          <w:sz w:val="32"/>
          <w:highlight w:val="none"/>
          <w:lang w:eastAsia="zh-CN"/>
        </w:rPr>
        <w:t>。另设有</w:t>
      </w:r>
      <w:r>
        <w:rPr>
          <w:rFonts w:hint="eastAsia" w:ascii="仿宋_GB2312" w:hAnsi="仿宋_GB2312" w:eastAsia="仿宋_GB2312"/>
          <w:color w:val="000000"/>
          <w:sz w:val="32"/>
          <w:highlight w:val="none"/>
        </w:rPr>
        <w:t>市政府办公室服务保障中心、</w:t>
      </w:r>
      <w:r>
        <w:rPr>
          <w:rFonts w:hint="eastAsia" w:ascii="仿宋_GB2312" w:hAnsi="仿宋_GB2312" w:eastAsia="仿宋_GB2312"/>
          <w:color w:val="000000"/>
          <w:sz w:val="32"/>
          <w:highlight w:val="none"/>
          <w:lang w:eastAsia="zh-CN"/>
        </w:rPr>
        <w:t>市政府</w:t>
      </w:r>
      <w:r>
        <w:rPr>
          <w:rFonts w:hint="eastAsia" w:ascii="仿宋_GB2312" w:hAnsi="仿宋_GB2312" w:eastAsia="仿宋_GB2312"/>
          <w:color w:val="000000"/>
          <w:sz w:val="32"/>
          <w:highlight w:val="none"/>
        </w:rPr>
        <w:t>电子政务服务中心、</w:t>
      </w:r>
      <w:r>
        <w:rPr>
          <w:rFonts w:hint="eastAsia" w:ascii="仿宋_GB2312" w:hAnsi="仿宋_GB2312" w:eastAsia="仿宋_GB2312"/>
          <w:color w:val="000000"/>
          <w:sz w:val="32"/>
          <w:highlight w:val="none"/>
          <w:lang w:eastAsia="zh-CN"/>
        </w:rPr>
        <w:t>市</w:t>
      </w:r>
      <w:r>
        <w:rPr>
          <w:rFonts w:hint="eastAsia" w:ascii="仿宋_GB2312" w:hAnsi="仿宋_GB2312" w:eastAsia="仿宋_GB2312"/>
          <w:color w:val="000000"/>
          <w:sz w:val="32"/>
          <w:highlight w:val="none"/>
        </w:rPr>
        <w:t>12345政务服务热线中心、</w:t>
      </w:r>
      <w:r>
        <w:rPr>
          <w:rFonts w:hint="eastAsia" w:ascii="仿宋_GB2312" w:hAnsi="仿宋_GB2312" w:eastAsia="仿宋_GB2312"/>
          <w:color w:val="000000"/>
          <w:sz w:val="32"/>
          <w:highlight w:val="none"/>
          <w:lang w:eastAsia="zh-CN"/>
        </w:rPr>
        <w:t>市</w:t>
      </w:r>
      <w:r>
        <w:rPr>
          <w:rFonts w:hint="eastAsia" w:ascii="仿宋_GB2312" w:hAnsi="仿宋_GB2312" w:eastAsia="仿宋_GB2312"/>
          <w:color w:val="000000"/>
          <w:sz w:val="32"/>
          <w:highlight w:val="none"/>
        </w:rPr>
        <w:t>行政复议受理接待中心</w:t>
      </w:r>
      <w:r>
        <w:rPr>
          <w:rFonts w:hint="eastAsia" w:ascii="仿宋_GB2312" w:hAnsi="仿宋_GB2312" w:eastAsia="仿宋_GB2312"/>
          <w:color w:val="000000"/>
          <w:sz w:val="32"/>
          <w:highlight w:val="none"/>
          <w:lang w:val="en-US" w:eastAsia="zh-CN"/>
        </w:rPr>
        <w:t>4</w:t>
      </w:r>
      <w:r>
        <w:rPr>
          <w:rFonts w:hint="eastAsia" w:ascii="仿宋_GB2312" w:hAnsi="仿宋_GB2312" w:eastAsia="仿宋_GB2312"/>
          <w:color w:val="000000"/>
          <w:sz w:val="32"/>
          <w:highlight w:val="none"/>
          <w:lang w:eastAsia="zh-CN"/>
        </w:rPr>
        <w:t>个正科级事业单位，未独立编制预决算。</w:t>
      </w:r>
    </w:p>
    <w:p>
      <w:pPr>
        <w:widowControl/>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从决算单位构成看，许昌市人民政府办公室部门决算包括：本级决算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widowControl/>
        <w:spacing w:line="360" w:lineRule="auto"/>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纳入本部门2021年度部门决算编制范围的单位共1个，具体是：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lang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许昌市人民政府办公</w:t>
      </w:r>
      <w:r>
        <w:rPr>
          <w:rFonts w:hint="eastAsia" w:ascii="仿宋_GB2312" w:hAnsi="仿宋_GB2312" w:eastAsia="仿宋_GB2312" w:cs="仿宋_GB2312"/>
          <w:kern w:val="0"/>
          <w:sz w:val="32"/>
          <w:szCs w:val="32"/>
          <w:highlight w:val="none"/>
          <w:lang w:eastAsia="zh-CN"/>
        </w:rPr>
        <w:t>室（核算包括</w:t>
      </w:r>
      <w:r>
        <w:rPr>
          <w:rFonts w:hint="eastAsia" w:ascii="仿宋_GB2312" w:hAnsi="仿宋_GB2312" w:eastAsia="仿宋_GB2312" w:cs="仿宋_GB2312"/>
          <w:color w:val="000000"/>
          <w:sz w:val="32"/>
          <w:szCs w:val="32"/>
          <w:highlight w:val="none"/>
        </w:rPr>
        <w:t>市政府办公室服务保障中心、</w:t>
      </w:r>
      <w:r>
        <w:rPr>
          <w:rFonts w:hint="eastAsia" w:ascii="仿宋_GB2312" w:hAnsi="仿宋_GB2312" w:eastAsia="仿宋_GB2312" w:cs="仿宋_GB2312"/>
          <w:color w:val="000000"/>
          <w:sz w:val="32"/>
          <w:szCs w:val="32"/>
          <w:highlight w:val="none"/>
          <w:lang w:eastAsia="zh-CN"/>
        </w:rPr>
        <w:t>市政府</w:t>
      </w:r>
      <w:r>
        <w:rPr>
          <w:rFonts w:hint="eastAsia" w:ascii="仿宋_GB2312" w:hAnsi="仿宋_GB2312" w:eastAsia="仿宋_GB2312" w:cs="仿宋_GB2312"/>
          <w:color w:val="000000"/>
          <w:sz w:val="32"/>
          <w:szCs w:val="32"/>
          <w:highlight w:val="none"/>
        </w:rPr>
        <w:t>电子政务服务中心、</w:t>
      </w:r>
      <w:r>
        <w:rPr>
          <w:rFonts w:hint="eastAsia" w:ascii="仿宋_GB2312" w:hAnsi="仿宋_GB2312" w:eastAsia="仿宋_GB2312" w:cs="仿宋_GB2312"/>
          <w:color w:val="000000"/>
          <w:sz w:val="32"/>
          <w:szCs w:val="32"/>
          <w:highlight w:val="none"/>
          <w:lang w:eastAsia="zh-CN"/>
        </w:rPr>
        <w:t>市</w:t>
      </w:r>
      <w:r>
        <w:rPr>
          <w:rFonts w:hint="eastAsia" w:ascii="仿宋_GB2312" w:hAnsi="仿宋_GB2312" w:eastAsia="仿宋_GB2312" w:cs="仿宋_GB2312"/>
          <w:color w:val="000000"/>
          <w:sz w:val="32"/>
          <w:szCs w:val="32"/>
          <w:highlight w:val="none"/>
        </w:rPr>
        <w:t>12345政务服务热线中心、</w:t>
      </w:r>
      <w:r>
        <w:rPr>
          <w:rFonts w:hint="eastAsia" w:ascii="仿宋_GB2312" w:hAnsi="仿宋_GB2312" w:eastAsia="仿宋_GB2312" w:cs="仿宋_GB2312"/>
          <w:color w:val="000000"/>
          <w:sz w:val="32"/>
          <w:szCs w:val="32"/>
          <w:highlight w:val="none"/>
          <w:lang w:eastAsia="zh-CN"/>
        </w:rPr>
        <w:t>市</w:t>
      </w:r>
      <w:r>
        <w:rPr>
          <w:rFonts w:hint="eastAsia" w:ascii="仿宋_GB2312" w:hAnsi="仿宋_GB2312" w:eastAsia="仿宋_GB2312" w:cs="仿宋_GB2312"/>
          <w:color w:val="000000"/>
          <w:sz w:val="32"/>
          <w:szCs w:val="32"/>
          <w:highlight w:val="none"/>
        </w:rPr>
        <w:t>行政复议受理接待中心</w:t>
      </w:r>
      <w:r>
        <w:rPr>
          <w:rFonts w:hint="eastAsia" w:ascii="仿宋_GB2312" w:hAnsi="仿宋_GB2312" w:eastAsia="仿宋_GB2312" w:cs="仿宋_GB2312"/>
          <w:color w:val="000000"/>
          <w:sz w:val="32"/>
          <w:szCs w:val="32"/>
          <w:highlight w:val="none"/>
          <w:lang w:eastAsia="zh-CN"/>
        </w:rPr>
        <w:t>的预算资金</w:t>
      </w:r>
      <w:r>
        <w:rPr>
          <w:rFonts w:hint="eastAsia" w:ascii="仿宋_GB2312" w:hAnsi="仿宋_GB2312" w:eastAsia="仿宋_GB2312" w:cs="仿宋_GB2312"/>
          <w:kern w:val="0"/>
          <w:sz w:val="32"/>
          <w:szCs w:val="32"/>
          <w:highlight w:val="none"/>
          <w:lang w:eastAsia="zh-CN"/>
        </w:rPr>
        <w:t>）。</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r>
        <w:rPr>
          <w:rFonts w:hint="eastAsia" w:ascii="黑体" w:hAnsi="黑体" w:eastAsia="黑体" w:cs="黑体"/>
          <w:sz w:val="48"/>
          <w:szCs w:val="48"/>
        </w:rPr>
        <w:t>第二部分  2021年度部门决算表</w:t>
      </w:r>
    </w:p>
    <w:tbl>
      <w:tblPr>
        <w:tblStyle w:val="6"/>
        <w:tblW w:w="14070" w:type="dxa"/>
        <w:tblInd w:w="93" w:type="dxa"/>
        <w:tblLayout w:type="autofit"/>
        <w:tblCellMar>
          <w:top w:w="0" w:type="dxa"/>
          <w:left w:w="108" w:type="dxa"/>
          <w:bottom w:w="0" w:type="dxa"/>
          <w:right w:w="108" w:type="dxa"/>
        </w:tblCellMar>
      </w:tblPr>
      <w:tblGrid>
        <w:gridCol w:w="4989"/>
        <w:gridCol w:w="876"/>
        <w:gridCol w:w="1317"/>
        <w:gridCol w:w="4695"/>
        <w:gridCol w:w="876"/>
        <w:gridCol w:w="1317"/>
      </w:tblGrid>
      <w:tr>
        <w:tblPrEx>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收入支出决算总表</w:t>
            </w:r>
          </w:p>
        </w:tc>
      </w:tr>
      <w:tr>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公开01表</w:t>
            </w:r>
          </w:p>
        </w:tc>
      </w:tr>
      <w:tr>
        <w:tblPrEx>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部门：许昌市人民政府办公室</w:t>
            </w: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支出</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2,286.92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2,194.51</w:t>
            </w: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四、上级补助收入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五、事业收入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六、经营收入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七、附属单位上缴收入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八、其他收入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449.13</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80.21</w:t>
            </w: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color w:val="000000"/>
                <w:kern w:val="0"/>
                <w:sz w:val="22"/>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2,286.92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color w:val="000000"/>
                <w:kern w:val="0"/>
                <w:sz w:val="22"/>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2,723.85</w:t>
            </w: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使用非财政拨款结余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结余分配</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436.93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color w:val="000000"/>
                <w:kern w:val="0"/>
                <w:sz w:val="22"/>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2,723.85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color w:val="000000"/>
                <w:kern w:val="0"/>
                <w:sz w:val="22"/>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2,723.85</w:t>
            </w:r>
          </w:p>
        </w:tc>
      </w:tr>
      <w:tr>
        <w:trPr>
          <w:trHeight w:val="308" w:hRule="atLeast"/>
        </w:trPr>
        <w:tc>
          <w:tcPr>
            <w:tcW w:w="0" w:type="auto"/>
            <w:gridSpan w:val="6"/>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注：本表反映部门本年度的总收支和年末结转结余情况。本表金额转换为万元时，因四舍五入可能存在尾差。</w:t>
            </w:r>
          </w:p>
        </w:tc>
      </w:tr>
    </w:tbl>
    <w:p/>
    <w:p>
      <w:pPr>
        <w:pStyle w:val="2"/>
      </w:pPr>
    </w:p>
    <w:p>
      <w:pPr>
        <w:pStyle w:val="2"/>
      </w:pPr>
    </w:p>
    <w:p/>
    <w:p>
      <w:pPr>
        <w:pStyle w:val="2"/>
      </w:pPr>
    </w:p>
    <w:p/>
    <w:p>
      <w:pPr>
        <w:pStyle w:val="2"/>
      </w:pPr>
    </w:p>
    <w:p/>
    <w:p>
      <w:pPr>
        <w:pStyle w:val="2"/>
      </w:pPr>
    </w:p>
    <w:tbl>
      <w:tblPr>
        <w:tblStyle w:val="6"/>
        <w:tblW w:w="13530" w:type="dxa"/>
        <w:tblInd w:w="93" w:type="dxa"/>
        <w:tblLayout w:type="autofit"/>
        <w:tblCellMar>
          <w:top w:w="0" w:type="dxa"/>
          <w:left w:w="108" w:type="dxa"/>
          <w:bottom w:w="0" w:type="dxa"/>
          <w:right w:w="108" w:type="dxa"/>
        </w:tblCellMar>
      </w:tblPr>
      <w:tblGrid>
        <w:gridCol w:w="329"/>
        <w:gridCol w:w="329"/>
        <w:gridCol w:w="329"/>
        <w:gridCol w:w="4865"/>
        <w:gridCol w:w="1362"/>
        <w:gridCol w:w="1362"/>
        <w:gridCol w:w="1024"/>
        <w:gridCol w:w="1024"/>
        <w:gridCol w:w="1024"/>
        <w:gridCol w:w="1024"/>
        <w:gridCol w:w="1026"/>
      </w:tblGrid>
      <w:tr>
        <w:trPr>
          <w:trHeight w:val="390" w:hRule="atLeast"/>
        </w:trPr>
        <w:tc>
          <w:tcPr>
            <w:tcW w:w="13530" w:type="dxa"/>
            <w:gridSpan w:val="11"/>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收入决算表</w:t>
            </w:r>
          </w:p>
        </w:tc>
      </w:tr>
      <w:tr>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公开02表</w:t>
            </w:r>
          </w:p>
        </w:tc>
      </w:tr>
      <w:tr>
        <w:trPr>
          <w:trHeight w:val="255" w:hRule="atLeast"/>
        </w:trPr>
        <w:tc>
          <w:tcPr>
            <w:tcW w:w="0" w:type="auto"/>
            <w:gridSpan w:val="7"/>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部门：许昌市人民政府办公室</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23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23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123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123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123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123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23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其他收入</w:t>
            </w:r>
          </w:p>
        </w:tc>
      </w:tr>
      <w:tr>
        <w:trPr>
          <w:trHeight w:val="312" w:hRule="atLeast"/>
        </w:trPr>
        <w:tc>
          <w:tcPr>
            <w:tcW w:w="99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23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23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23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23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23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23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23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r>
      <w:tr>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2,286.92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2,286.92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1,836.14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1,836.14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政府办公厅（室）及相关机构事务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1,828.26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1,828.26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1,611.39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1,611.39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一般行政管理事务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216.87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216.87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415.68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415.68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296.37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296.37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255.16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255.16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41.21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112.29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112.29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2080801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死亡抚恤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112.29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112.29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20820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临时救助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7.02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7.02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2082001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临时救助支出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7.02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7.02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35.09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35.09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35.09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35.09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12.46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12.46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3.87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3.87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18.76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18.76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11"/>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注：本表反映部门本年度取得的各项收入情况。本表金额转换为万元时，因四舍五入可能存在尾差。</w:t>
            </w:r>
          </w:p>
        </w:tc>
      </w:tr>
      <w:tr>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r>
    </w:tbl>
    <w:p/>
    <w:p>
      <w:pPr>
        <w:pStyle w:val="2"/>
      </w:pPr>
    </w:p>
    <w:p/>
    <w:p>
      <w:pPr>
        <w:pStyle w:val="2"/>
      </w:pPr>
    </w:p>
    <w:p/>
    <w:p>
      <w:pPr>
        <w:pStyle w:val="2"/>
      </w:pPr>
    </w:p>
    <w:p/>
    <w:p>
      <w:pPr>
        <w:pStyle w:val="2"/>
      </w:pPr>
    </w:p>
    <w:p/>
    <w:p/>
    <w:p>
      <w:pPr>
        <w:pStyle w:val="2"/>
      </w:pPr>
    </w:p>
    <w:p/>
    <w:p>
      <w:pPr>
        <w:pStyle w:val="2"/>
      </w:pPr>
    </w:p>
    <w:p/>
    <w:p>
      <w:pPr>
        <w:pStyle w:val="2"/>
      </w:pPr>
    </w:p>
    <w:p>
      <w:pPr>
        <w:pStyle w:val="2"/>
      </w:pPr>
    </w:p>
    <w:tbl>
      <w:tblPr>
        <w:tblStyle w:val="6"/>
        <w:tblW w:w="13560" w:type="dxa"/>
        <w:tblInd w:w="93" w:type="dxa"/>
        <w:tblLayout w:type="autofit"/>
        <w:tblCellMar>
          <w:top w:w="0" w:type="dxa"/>
          <w:left w:w="108" w:type="dxa"/>
          <w:bottom w:w="0" w:type="dxa"/>
          <w:right w:w="108" w:type="dxa"/>
        </w:tblCellMar>
      </w:tblPr>
      <w:tblGrid>
        <w:gridCol w:w="329"/>
        <w:gridCol w:w="329"/>
        <w:gridCol w:w="329"/>
        <w:gridCol w:w="4880"/>
        <w:gridCol w:w="1496"/>
        <w:gridCol w:w="1496"/>
        <w:gridCol w:w="1395"/>
        <w:gridCol w:w="1157"/>
        <w:gridCol w:w="1157"/>
        <w:gridCol w:w="1157"/>
      </w:tblGrid>
      <w:tr>
        <w:tblPrEx>
          <w:tblCellMar>
            <w:top w:w="0" w:type="dxa"/>
            <w:left w:w="108" w:type="dxa"/>
            <w:bottom w:w="0" w:type="dxa"/>
            <w:right w:w="108" w:type="dxa"/>
          </w:tblCellMar>
        </w:tblPrEx>
        <w:trPr>
          <w:trHeight w:val="390" w:hRule="atLeast"/>
        </w:trPr>
        <w:tc>
          <w:tcPr>
            <w:tcW w:w="13560" w:type="dxa"/>
            <w:gridSpan w:val="1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公开03表</w:t>
            </w:r>
          </w:p>
        </w:tc>
      </w:tr>
      <w:tr>
        <w:tblPrEx>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部门：许昌市人民政府办公室</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44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本年支出合计</w:t>
            </w:r>
          </w:p>
        </w:tc>
        <w:tc>
          <w:tcPr>
            <w:tcW w:w="144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44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144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上缴上级支出</w:t>
            </w:r>
          </w:p>
        </w:tc>
        <w:tc>
          <w:tcPr>
            <w:tcW w:w="144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经营支出</w:t>
            </w:r>
          </w:p>
        </w:tc>
        <w:tc>
          <w:tcPr>
            <w:tcW w:w="144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44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44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44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44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44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440"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2,723.85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2,490.46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233.39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2,194.51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1,968.14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226.37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政府办公厅（室）及相关机构事务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2,176.63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1,950.26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226.37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1,644.19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1,644.19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一般行政管理事务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532.44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306.07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226.37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2019999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449.13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442.11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7.02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329.82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329.82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255.16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255.16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74.66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112.29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112.29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2080801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死亡抚恤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112.29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112.29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20820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临时救助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7.02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7.02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2082001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临时救助支出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7.02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7.02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80.21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80.21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80.21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80.21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15.46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15.46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60.61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60.61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545" w:type="dxa"/>
        <w:tblInd w:w="93" w:type="dxa"/>
        <w:tblLayout w:type="autofit"/>
        <w:tblCellMar>
          <w:top w:w="0" w:type="dxa"/>
          <w:left w:w="108" w:type="dxa"/>
          <w:bottom w:w="0" w:type="dxa"/>
          <w:right w:w="108" w:type="dxa"/>
        </w:tblCellMar>
      </w:tblPr>
      <w:tblGrid>
        <w:gridCol w:w="3362"/>
        <w:gridCol w:w="550"/>
        <w:gridCol w:w="1129"/>
        <w:gridCol w:w="3843"/>
        <w:gridCol w:w="550"/>
        <w:gridCol w:w="1078"/>
        <w:gridCol w:w="1211"/>
        <w:gridCol w:w="911"/>
        <w:gridCol w:w="911"/>
      </w:tblGrid>
      <w:tr>
        <w:trPr>
          <w:trHeight w:val="390" w:hRule="atLeast"/>
        </w:trPr>
        <w:tc>
          <w:tcPr>
            <w:tcW w:w="13545"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财政拨款收入支出决算总表</w:t>
            </w:r>
          </w:p>
        </w:tc>
      </w:tr>
      <w:tr>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公开04表</w:t>
            </w:r>
          </w:p>
        </w:tc>
      </w:tr>
      <w:tr>
        <w:trPr>
          <w:trHeight w:val="255" w:hRule="atLeast"/>
        </w:trPr>
        <w:tc>
          <w:tcPr>
            <w:tcW w:w="0" w:type="auto"/>
            <w:gridSpan w:val="4"/>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部门：许昌市人民政府办公室</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     出</w:t>
            </w:r>
          </w:p>
        </w:tc>
      </w:tr>
      <w:tr>
        <w:trPr>
          <w:trHeight w:val="312" w:hRule="atLeast"/>
        </w:trPr>
        <w:tc>
          <w:tcPr>
            <w:tcW w:w="294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7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08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346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7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23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一般公共预算财政拨款</w:t>
            </w:r>
          </w:p>
        </w:tc>
        <w:tc>
          <w:tcPr>
            <w:tcW w:w="123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政府性基金预算财政拨款</w:t>
            </w:r>
          </w:p>
        </w:tc>
        <w:tc>
          <w:tcPr>
            <w:tcW w:w="123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国有资本经营预算财政拨款</w:t>
            </w:r>
          </w:p>
        </w:tc>
      </w:tr>
      <w:tr>
        <w:trPr>
          <w:trHeight w:val="615" w:hRule="atLeast"/>
        </w:trPr>
        <w:tc>
          <w:tcPr>
            <w:tcW w:w="2940"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57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08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346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57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3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2,286.92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2,194.51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2,194.51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449.13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449.13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80.21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80.21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0"/>
                <w:szCs w:val="20"/>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color w:val="000000"/>
                <w:kern w:val="0"/>
                <w:sz w:val="22"/>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2,286.92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color w:val="000000"/>
                <w:kern w:val="0"/>
                <w:sz w:val="22"/>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2,723.85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2,723.85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436.93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436.93</w:t>
            </w: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color w:val="000000"/>
                <w:kern w:val="0"/>
                <w:sz w:val="22"/>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2,723.85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color w:val="000000"/>
                <w:kern w:val="0"/>
                <w:sz w:val="22"/>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2,723.85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2,723.85</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585" w:hRule="atLeast"/>
        </w:trPr>
        <w:tc>
          <w:tcPr>
            <w:tcW w:w="13545" w:type="dxa"/>
            <w:gridSpan w:val="9"/>
            <w:tcBorders>
              <w:top w:val="nil"/>
              <w:left w:val="nil"/>
              <w:bottom w:val="nil"/>
              <w:right w:val="nil"/>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410" w:type="dxa"/>
        <w:tblInd w:w="93" w:type="dxa"/>
        <w:tblLayout w:type="autofit"/>
        <w:tblCellMar>
          <w:top w:w="0" w:type="dxa"/>
          <w:left w:w="108" w:type="dxa"/>
          <w:bottom w:w="0" w:type="dxa"/>
          <w:right w:w="108" w:type="dxa"/>
        </w:tblCellMar>
      </w:tblPr>
      <w:tblGrid>
        <w:gridCol w:w="329"/>
        <w:gridCol w:w="329"/>
        <w:gridCol w:w="329"/>
        <w:gridCol w:w="5269"/>
        <w:gridCol w:w="2455"/>
        <w:gridCol w:w="2455"/>
        <w:gridCol w:w="2343"/>
      </w:tblGrid>
      <w:tr>
        <w:tblPrEx>
          <w:tblCellMar>
            <w:top w:w="0" w:type="dxa"/>
            <w:left w:w="108" w:type="dxa"/>
            <w:bottom w:w="0" w:type="dxa"/>
            <w:right w:w="108" w:type="dxa"/>
          </w:tblCellMar>
        </w:tblPrEx>
        <w:trPr>
          <w:trHeight w:val="390" w:hRule="atLeast"/>
        </w:trPr>
        <w:tc>
          <w:tcPr>
            <w:tcW w:w="13410" w:type="dxa"/>
            <w:gridSpan w:val="7"/>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公开05表</w:t>
            </w:r>
          </w:p>
        </w:tc>
      </w:tr>
      <w:tr>
        <w:tblPrEx>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部门：许昌市人民政府办公室</w:t>
            </w:r>
          </w:p>
        </w:tc>
        <w:tc>
          <w:tcPr>
            <w:tcW w:w="0" w:type="auto"/>
            <w:gridSpan w:val="2"/>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8100"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270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270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70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70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70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70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70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70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70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2,723.85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2,490.46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233.39</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2,194.51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1,968.14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226.37</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政府办公厅（室）及相关机构事务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2,176.63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1,950.26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226.37</w:t>
            </w: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行政运行</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1,644.19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1,644.19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2010302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一般行政管理事务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532.44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306.07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226.37</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7.88</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2019999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10.00</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449.13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442.11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7.02</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329.82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329.82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255.16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255.16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74.66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112.29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112.29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2080801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死亡抚恤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112.29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112.29</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20820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临时救助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7.02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7.02</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2082001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临时救助支出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7.02</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7.02</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80.21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80.21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80.21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80.21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行政单位医疗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15.46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15.46</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4.13</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60.61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60.61</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81" w:type="dxa"/>
        <w:tblInd w:w="93" w:type="dxa"/>
        <w:tblLayout w:type="fixed"/>
        <w:tblCellMar>
          <w:top w:w="0" w:type="dxa"/>
          <w:left w:w="108" w:type="dxa"/>
          <w:bottom w:w="0" w:type="dxa"/>
          <w:right w:w="108" w:type="dxa"/>
        </w:tblCellMar>
      </w:tblPr>
      <w:tblGrid>
        <w:gridCol w:w="776"/>
        <w:gridCol w:w="2117"/>
        <w:gridCol w:w="1230"/>
        <w:gridCol w:w="826"/>
        <w:gridCol w:w="2263"/>
        <w:gridCol w:w="955"/>
        <w:gridCol w:w="832"/>
        <w:gridCol w:w="4159"/>
        <w:gridCol w:w="923"/>
      </w:tblGrid>
      <w:tr>
        <w:trPr>
          <w:trHeight w:val="390" w:hRule="atLeast"/>
        </w:trPr>
        <w:tc>
          <w:tcPr>
            <w:tcW w:w="14081"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highlight w:val="none"/>
              </w:rPr>
              <w:t>一般公共预算财政拨款基本支出决算明细表</w:t>
            </w:r>
          </w:p>
        </w:tc>
      </w:tr>
      <w:tr>
        <w:trPr>
          <w:trHeight w:val="255" w:hRule="atLeast"/>
        </w:trPr>
        <w:tc>
          <w:tcPr>
            <w:tcW w:w="776" w:type="dxa"/>
            <w:tcBorders>
              <w:top w:val="nil"/>
              <w:left w:val="nil"/>
              <w:bottom w:val="nil"/>
              <w:right w:val="nil"/>
            </w:tcBorders>
            <w:noWrap/>
            <w:vAlign w:val="bottom"/>
          </w:tcPr>
          <w:p>
            <w:pPr>
              <w:rPr>
                <w:rFonts w:ascii="Arial" w:hAnsi="Arial" w:cs="Arial"/>
                <w:color w:val="000000"/>
                <w:sz w:val="20"/>
                <w:szCs w:val="20"/>
              </w:rPr>
            </w:pPr>
          </w:p>
        </w:tc>
        <w:tc>
          <w:tcPr>
            <w:tcW w:w="2117" w:type="dxa"/>
            <w:tcBorders>
              <w:top w:val="nil"/>
              <w:left w:val="nil"/>
              <w:bottom w:val="nil"/>
              <w:right w:val="nil"/>
            </w:tcBorders>
            <w:noWrap/>
            <w:vAlign w:val="bottom"/>
          </w:tcPr>
          <w:p>
            <w:pPr>
              <w:rPr>
                <w:rFonts w:ascii="Arial" w:hAnsi="Arial" w:cs="Arial"/>
                <w:color w:val="000000"/>
                <w:sz w:val="20"/>
                <w:szCs w:val="20"/>
              </w:rPr>
            </w:pPr>
          </w:p>
        </w:tc>
        <w:tc>
          <w:tcPr>
            <w:tcW w:w="1230" w:type="dxa"/>
            <w:tcBorders>
              <w:top w:val="nil"/>
              <w:left w:val="nil"/>
              <w:bottom w:val="nil"/>
              <w:right w:val="nil"/>
            </w:tcBorders>
            <w:noWrap/>
            <w:vAlign w:val="bottom"/>
          </w:tcPr>
          <w:p>
            <w:pPr>
              <w:rPr>
                <w:rFonts w:ascii="Arial" w:hAnsi="Arial" w:cs="Arial"/>
                <w:color w:val="000000"/>
                <w:sz w:val="20"/>
                <w:szCs w:val="20"/>
              </w:rPr>
            </w:pPr>
          </w:p>
        </w:tc>
        <w:tc>
          <w:tcPr>
            <w:tcW w:w="826" w:type="dxa"/>
            <w:tcBorders>
              <w:top w:val="nil"/>
              <w:left w:val="nil"/>
              <w:bottom w:val="nil"/>
              <w:right w:val="nil"/>
            </w:tcBorders>
            <w:noWrap/>
            <w:vAlign w:val="bottom"/>
          </w:tcPr>
          <w:p>
            <w:pPr>
              <w:rPr>
                <w:rFonts w:ascii="Arial" w:hAnsi="Arial" w:cs="Arial"/>
                <w:color w:val="000000"/>
                <w:sz w:val="20"/>
                <w:szCs w:val="20"/>
              </w:rPr>
            </w:pPr>
          </w:p>
        </w:tc>
        <w:tc>
          <w:tcPr>
            <w:tcW w:w="2263" w:type="dxa"/>
            <w:tcBorders>
              <w:top w:val="nil"/>
              <w:left w:val="nil"/>
              <w:bottom w:val="nil"/>
              <w:right w:val="nil"/>
            </w:tcBorders>
            <w:noWrap/>
            <w:vAlign w:val="bottom"/>
          </w:tcPr>
          <w:p>
            <w:pPr>
              <w:rPr>
                <w:rFonts w:ascii="Arial" w:hAnsi="Arial" w:cs="Arial"/>
                <w:color w:val="000000"/>
                <w:sz w:val="20"/>
                <w:szCs w:val="20"/>
              </w:rPr>
            </w:pPr>
          </w:p>
        </w:tc>
        <w:tc>
          <w:tcPr>
            <w:tcW w:w="955" w:type="dxa"/>
            <w:tcBorders>
              <w:top w:val="nil"/>
              <w:left w:val="nil"/>
              <w:bottom w:val="nil"/>
              <w:right w:val="nil"/>
            </w:tcBorders>
            <w:noWrap/>
            <w:vAlign w:val="bottom"/>
          </w:tcPr>
          <w:p>
            <w:pPr>
              <w:rPr>
                <w:rFonts w:ascii="Arial" w:hAnsi="Arial" w:cs="Arial"/>
                <w:color w:val="000000"/>
                <w:sz w:val="20"/>
                <w:szCs w:val="20"/>
              </w:rPr>
            </w:pPr>
          </w:p>
        </w:tc>
        <w:tc>
          <w:tcPr>
            <w:tcW w:w="832" w:type="dxa"/>
            <w:tcBorders>
              <w:top w:val="nil"/>
              <w:left w:val="nil"/>
              <w:bottom w:val="nil"/>
              <w:right w:val="nil"/>
            </w:tcBorders>
            <w:noWrap/>
            <w:vAlign w:val="bottom"/>
          </w:tcPr>
          <w:p>
            <w:pPr>
              <w:rPr>
                <w:rFonts w:ascii="Arial" w:hAnsi="Arial" w:cs="Arial"/>
                <w:color w:val="000000"/>
                <w:sz w:val="20"/>
                <w:szCs w:val="20"/>
              </w:rPr>
            </w:pPr>
          </w:p>
        </w:tc>
        <w:tc>
          <w:tcPr>
            <w:tcW w:w="5082"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公开06表</w:t>
            </w:r>
          </w:p>
        </w:tc>
      </w:tr>
      <w:tr>
        <w:trPr>
          <w:trHeight w:val="255" w:hRule="atLeast"/>
        </w:trPr>
        <w:tc>
          <w:tcPr>
            <w:tcW w:w="7212" w:type="dxa"/>
            <w:gridSpan w:val="5"/>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部门：许昌市人民政府办公室</w:t>
            </w:r>
          </w:p>
        </w:tc>
        <w:tc>
          <w:tcPr>
            <w:tcW w:w="955" w:type="dxa"/>
            <w:tcBorders>
              <w:top w:val="nil"/>
              <w:left w:val="nil"/>
              <w:bottom w:val="nil"/>
              <w:right w:val="nil"/>
            </w:tcBorders>
            <w:noWrap/>
            <w:vAlign w:val="bottom"/>
          </w:tcPr>
          <w:p>
            <w:pPr>
              <w:rPr>
                <w:rFonts w:ascii="Arial" w:hAnsi="Arial" w:cs="Arial"/>
                <w:color w:val="000000"/>
                <w:sz w:val="20"/>
                <w:szCs w:val="20"/>
              </w:rPr>
            </w:pPr>
          </w:p>
        </w:tc>
        <w:tc>
          <w:tcPr>
            <w:tcW w:w="832" w:type="dxa"/>
            <w:tcBorders>
              <w:top w:val="nil"/>
              <w:left w:val="nil"/>
              <w:bottom w:val="nil"/>
              <w:right w:val="nil"/>
            </w:tcBorders>
            <w:noWrap/>
            <w:vAlign w:val="bottom"/>
          </w:tcPr>
          <w:p>
            <w:pPr>
              <w:rPr>
                <w:rFonts w:ascii="Arial" w:hAnsi="Arial" w:cs="Arial"/>
                <w:color w:val="000000"/>
                <w:sz w:val="20"/>
                <w:szCs w:val="20"/>
              </w:rPr>
            </w:pPr>
          </w:p>
        </w:tc>
        <w:tc>
          <w:tcPr>
            <w:tcW w:w="5082"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rPr>
          <w:trHeight w:val="308" w:hRule="atLeast"/>
        </w:trPr>
        <w:tc>
          <w:tcPr>
            <w:tcW w:w="4123"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w:t>
            </w:r>
          </w:p>
        </w:tc>
        <w:tc>
          <w:tcPr>
            <w:tcW w:w="9958"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w:t>
            </w:r>
          </w:p>
        </w:tc>
      </w:tr>
      <w:tr>
        <w:trPr>
          <w:trHeight w:val="312" w:hRule="atLeast"/>
        </w:trPr>
        <w:tc>
          <w:tcPr>
            <w:tcW w:w="77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117"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230"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826"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2263"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95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832"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4159"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923"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rPr>
          <w:trHeight w:val="312" w:hRule="atLeast"/>
        </w:trPr>
        <w:tc>
          <w:tcPr>
            <w:tcW w:w="776"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2117"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230"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826"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2263"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95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832"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4159"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923"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rPr>
          <w:trHeight w:val="489"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工资福利支出</w:t>
            </w:r>
          </w:p>
        </w:tc>
        <w:tc>
          <w:tcPr>
            <w:tcW w:w="12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1,661.62</w:t>
            </w: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商品和服务支出</w:t>
            </w:r>
          </w:p>
        </w:tc>
        <w:tc>
          <w:tcPr>
            <w:tcW w:w="9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396.14</w:t>
            </w: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债务利息及费用支出</w:t>
            </w: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636"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30101</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基本工资</w:t>
            </w:r>
          </w:p>
        </w:tc>
        <w:tc>
          <w:tcPr>
            <w:tcW w:w="12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368.81</w:t>
            </w: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30201</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办公费</w:t>
            </w:r>
          </w:p>
        </w:tc>
        <w:tc>
          <w:tcPr>
            <w:tcW w:w="9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69.87</w:t>
            </w: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30701</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国内债务付息</w:t>
            </w: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30102</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津贴补贴</w:t>
            </w:r>
          </w:p>
        </w:tc>
        <w:tc>
          <w:tcPr>
            <w:tcW w:w="12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737.53</w:t>
            </w: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30202</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印刷费</w:t>
            </w:r>
          </w:p>
        </w:tc>
        <w:tc>
          <w:tcPr>
            <w:tcW w:w="9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5.30</w:t>
            </w: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30702</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国外债务付息</w:t>
            </w: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30103</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奖金</w:t>
            </w:r>
          </w:p>
        </w:tc>
        <w:tc>
          <w:tcPr>
            <w:tcW w:w="12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248.80</w:t>
            </w: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30203</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咨询费</w:t>
            </w:r>
          </w:p>
        </w:tc>
        <w:tc>
          <w:tcPr>
            <w:tcW w:w="9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资本性支出</w:t>
            </w:r>
          </w:p>
        </w:tc>
        <w:tc>
          <w:tcPr>
            <w:tcW w:w="92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20.22</w:t>
            </w: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30106</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伙食补助费</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30204</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手续费</w:t>
            </w:r>
          </w:p>
        </w:tc>
        <w:tc>
          <w:tcPr>
            <w:tcW w:w="9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31001</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房屋建筑物购建</w:t>
            </w: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30107</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绩效工资</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30205</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水费</w:t>
            </w:r>
          </w:p>
        </w:tc>
        <w:tc>
          <w:tcPr>
            <w:tcW w:w="9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0.04</w:t>
            </w: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31002</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办公设备购置</w:t>
            </w:r>
          </w:p>
        </w:tc>
        <w:tc>
          <w:tcPr>
            <w:tcW w:w="92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18.62</w:t>
            </w: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30108</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w:t>
            </w:r>
          </w:p>
        </w:tc>
        <w:tc>
          <w:tcPr>
            <w:tcW w:w="12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98.12</w:t>
            </w: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30206</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电费</w:t>
            </w:r>
          </w:p>
        </w:tc>
        <w:tc>
          <w:tcPr>
            <w:tcW w:w="9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31003</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专用设备购置</w:t>
            </w: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30109</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职业年金缴费</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30207</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邮电费</w:t>
            </w:r>
          </w:p>
        </w:tc>
        <w:tc>
          <w:tcPr>
            <w:tcW w:w="9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11.14</w:t>
            </w: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31005</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基础设施建设</w:t>
            </w: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30110</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职工基本医疗保险缴费</w:t>
            </w:r>
          </w:p>
        </w:tc>
        <w:tc>
          <w:tcPr>
            <w:tcW w:w="12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51.47</w:t>
            </w: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30208</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取暖费</w:t>
            </w:r>
          </w:p>
        </w:tc>
        <w:tc>
          <w:tcPr>
            <w:tcW w:w="9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31006</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大型修缮</w:t>
            </w: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30111</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公务员医疗补助缴费</w:t>
            </w:r>
          </w:p>
        </w:tc>
        <w:tc>
          <w:tcPr>
            <w:tcW w:w="12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40.68</w:t>
            </w: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30209</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物业管理费</w:t>
            </w:r>
          </w:p>
        </w:tc>
        <w:tc>
          <w:tcPr>
            <w:tcW w:w="9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31007</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信息网络及软件购置更新</w:t>
            </w: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30112</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其他社会保障缴费</w:t>
            </w:r>
          </w:p>
        </w:tc>
        <w:tc>
          <w:tcPr>
            <w:tcW w:w="12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0.70</w:t>
            </w: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30211</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差旅费</w:t>
            </w:r>
          </w:p>
        </w:tc>
        <w:tc>
          <w:tcPr>
            <w:tcW w:w="9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45.93</w:t>
            </w: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31008</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物资储备</w:t>
            </w: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30113</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住房公积金</w:t>
            </w:r>
          </w:p>
        </w:tc>
        <w:tc>
          <w:tcPr>
            <w:tcW w:w="12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92.79</w:t>
            </w: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30212</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因公出国（境）费用</w:t>
            </w:r>
          </w:p>
        </w:tc>
        <w:tc>
          <w:tcPr>
            <w:tcW w:w="9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31009</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土地补偿</w:t>
            </w: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30114</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30213</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维修（护）费</w:t>
            </w:r>
          </w:p>
        </w:tc>
        <w:tc>
          <w:tcPr>
            <w:tcW w:w="9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10.19</w:t>
            </w: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31010</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安置补助</w:t>
            </w: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30199</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其他工资福利支出</w:t>
            </w:r>
          </w:p>
        </w:tc>
        <w:tc>
          <w:tcPr>
            <w:tcW w:w="12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22.71</w:t>
            </w: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30214</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租赁费</w:t>
            </w:r>
          </w:p>
        </w:tc>
        <w:tc>
          <w:tcPr>
            <w:tcW w:w="9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31011</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地上附着物和青苗补偿</w:t>
            </w: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对个人和家庭的补助</w:t>
            </w:r>
          </w:p>
        </w:tc>
        <w:tc>
          <w:tcPr>
            <w:tcW w:w="12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412.48</w:t>
            </w: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30215</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会议费</w:t>
            </w:r>
          </w:p>
        </w:tc>
        <w:tc>
          <w:tcPr>
            <w:tcW w:w="9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31012</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拆迁补偿</w:t>
            </w: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30301</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离休费</w:t>
            </w:r>
          </w:p>
        </w:tc>
        <w:tc>
          <w:tcPr>
            <w:tcW w:w="12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69.86</w:t>
            </w: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30216</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培训费</w:t>
            </w:r>
          </w:p>
        </w:tc>
        <w:tc>
          <w:tcPr>
            <w:tcW w:w="9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14.64</w:t>
            </w: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31013</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公务用车购置</w:t>
            </w:r>
          </w:p>
        </w:tc>
        <w:tc>
          <w:tcPr>
            <w:tcW w:w="92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1.59</w:t>
            </w: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30302</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退休费</w:t>
            </w:r>
          </w:p>
        </w:tc>
        <w:tc>
          <w:tcPr>
            <w:tcW w:w="12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217.47</w:t>
            </w: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30217</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公务接待费</w:t>
            </w:r>
          </w:p>
        </w:tc>
        <w:tc>
          <w:tcPr>
            <w:tcW w:w="9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0.43</w:t>
            </w: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31019</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其他交通工具购置</w:t>
            </w: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30303</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退职（役）费</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30218</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专用材料费</w:t>
            </w:r>
          </w:p>
        </w:tc>
        <w:tc>
          <w:tcPr>
            <w:tcW w:w="9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31021</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文物和陈列品购置</w:t>
            </w: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30304</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抚恤金</w:t>
            </w:r>
          </w:p>
        </w:tc>
        <w:tc>
          <w:tcPr>
            <w:tcW w:w="12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112.29</w:t>
            </w: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30224</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被装购置费</w:t>
            </w:r>
          </w:p>
        </w:tc>
        <w:tc>
          <w:tcPr>
            <w:tcW w:w="9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31022</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无形资产购置</w:t>
            </w: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30305</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生活补助</w:t>
            </w:r>
          </w:p>
        </w:tc>
        <w:tc>
          <w:tcPr>
            <w:tcW w:w="12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10.13</w:t>
            </w: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30225</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专用燃料费</w:t>
            </w:r>
          </w:p>
        </w:tc>
        <w:tc>
          <w:tcPr>
            <w:tcW w:w="9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31099</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其他资本性支出</w:t>
            </w: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30306</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救济费</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30226</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劳务费</w:t>
            </w:r>
          </w:p>
        </w:tc>
        <w:tc>
          <w:tcPr>
            <w:tcW w:w="9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62.25</w:t>
            </w: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30307</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医疗费补助</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30227</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委托业务费</w:t>
            </w:r>
          </w:p>
        </w:tc>
        <w:tc>
          <w:tcPr>
            <w:tcW w:w="9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37.75</w:t>
            </w: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39906</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赠与</w:t>
            </w: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30308</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助学金</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30228</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工会经费</w:t>
            </w:r>
          </w:p>
        </w:tc>
        <w:tc>
          <w:tcPr>
            <w:tcW w:w="9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7.88</w:t>
            </w: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39907</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国家赔偿费用支出</w:t>
            </w: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30309</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奖励金</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30229</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福利费</w:t>
            </w:r>
          </w:p>
        </w:tc>
        <w:tc>
          <w:tcPr>
            <w:tcW w:w="9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9.32</w:t>
            </w: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39908</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对民间非营利组织和群众性自治组织补贴</w:t>
            </w: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30310</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个人农业生产补贴</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30231</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公务用车运行维护费</w:t>
            </w:r>
          </w:p>
        </w:tc>
        <w:tc>
          <w:tcPr>
            <w:tcW w:w="9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59.25</w:t>
            </w:r>
          </w:p>
        </w:tc>
        <w:tc>
          <w:tcPr>
            <w:tcW w:w="832"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39999</w:t>
            </w:r>
          </w:p>
        </w:tc>
        <w:tc>
          <w:tcPr>
            <w:tcW w:w="4159"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其他支出</w:t>
            </w: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30311</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代缴社会保险费</w:t>
            </w: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30239</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其他交通费用</w:t>
            </w:r>
          </w:p>
        </w:tc>
        <w:tc>
          <w:tcPr>
            <w:tcW w:w="9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60.62</w:t>
            </w:r>
          </w:p>
        </w:tc>
        <w:tc>
          <w:tcPr>
            <w:tcW w:w="832"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4159"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77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30399</w:t>
            </w:r>
          </w:p>
        </w:tc>
        <w:tc>
          <w:tcPr>
            <w:tcW w:w="2117"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其他对个人和家庭的补助</w:t>
            </w:r>
          </w:p>
        </w:tc>
        <w:tc>
          <w:tcPr>
            <w:tcW w:w="12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2.73</w:t>
            </w: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30240</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税金及附加费用</w:t>
            </w:r>
          </w:p>
        </w:tc>
        <w:tc>
          <w:tcPr>
            <w:tcW w:w="955"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32"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4159"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784" w:hRule="atLeast"/>
        </w:trPr>
        <w:tc>
          <w:tcPr>
            <w:tcW w:w="776" w:type="dxa"/>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117"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1230"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826"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30299</w:t>
            </w:r>
          </w:p>
        </w:tc>
        <w:tc>
          <w:tcPr>
            <w:tcW w:w="2263"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其他商品和服务支出</w:t>
            </w:r>
          </w:p>
        </w:tc>
        <w:tc>
          <w:tcPr>
            <w:tcW w:w="9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1.54</w:t>
            </w:r>
          </w:p>
        </w:tc>
        <w:tc>
          <w:tcPr>
            <w:tcW w:w="832"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4159" w:type="dxa"/>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923" w:type="dxa"/>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2893"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人员经费合计</w:t>
            </w:r>
          </w:p>
        </w:tc>
        <w:tc>
          <w:tcPr>
            <w:tcW w:w="123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2,074.10</w:t>
            </w:r>
          </w:p>
        </w:tc>
        <w:tc>
          <w:tcPr>
            <w:tcW w:w="9035" w:type="dxa"/>
            <w:gridSpan w:val="5"/>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公用经费合计</w:t>
            </w:r>
          </w:p>
        </w:tc>
        <w:tc>
          <w:tcPr>
            <w:tcW w:w="923"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416.35</w:t>
            </w:r>
          </w:p>
        </w:tc>
      </w:tr>
      <w:tr>
        <w:trPr>
          <w:trHeight w:val="308" w:hRule="atLeast"/>
        </w:trPr>
        <w:tc>
          <w:tcPr>
            <w:tcW w:w="14081" w:type="dxa"/>
            <w:gridSpan w:val="9"/>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注：本表反映部门本年度一般公共预算财政拨款基本支出明细情况。本表金额转换为万元时，因四舍五入可能存在尾差。</w:t>
            </w:r>
          </w:p>
        </w:tc>
      </w:tr>
    </w:tbl>
    <w:p>
      <w:pPr>
        <w:rPr>
          <w:rFonts w:ascii="仿宋_GB2312" w:hAnsi="仿宋_GB2312" w:eastAsia="仿宋_GB2312" w:cs="仿宋_GB2312"/>
          <w:b/>
          <w:bCs/>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500" w:type="dxa"/>
        <w:tblInd w:w="93" w:type="dxa"/>
        <w:tblLayout w:type="autofit"/>
        <w:tblCellMar>
          <w:top w:w="0" w:type="dxa"/>
          <w:left w:w="108" w:type="dxa"/>
          <w:bottom w:w="0" w:type="dxa"/>
          <w:right w:w="108" w:type="dxa"/>
        </w:tblCellMar>
      </w:tblPr>
      <w:tblGrid>
        <w:gridCol w:w="1125"/>
        <w:gridCol w:w="1125"/>
        <w:gridCol w:w="1125"/>
        <w:gridCol w:w="1125"/>
        <w:gridCol w:w="1125"/>
        <w:gridCol w:w="1125"/>
        <w:gridCol w:w="1125"/>
        <w:gridCol w:w="1125"/>
        <w:gridCol w:w="1125"/>
        <w:gridCol w:w="1125"/>
        <w:gridCol w:w="1125"/>
        <w:gridCol w:w="1125"/>
      </w:tblGrid>
      <w:tr>
        <w:tblPrEx>
          <w:tblCellMar>
            <w:top w:w="0" w:type="dxa"/>
            <w:left w:w="108" w:type="dxa"/>
            <w:bottom w:w="0" w:type="dxa"/>
            <w:right w:w="108" w:type="dxa"/>
          </w:tblCellMar>
        </w:tblPrEx>
        <w:trPr>
          <w:trHeight w:val="540" w:hRule="atLeast"/>
        </w:trPr>
        <w:tc>
          <w:tcPr>
            <w:tcW w:w="13500" w:type="dxa"/>
            <w:gridSpan w:val="12"/>
            <w:tcBorders>
              <w:top w:val="nil"/>
              <w:left w:val="nil"/>
              <w:bottom w:val="nil"/>
              <w:right w:val="nil"/>
            </w:tcBorders>
            <w:noWrap/>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一般公共预算财政拨款“三公”经费支出决算表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3"/>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tblPrEx>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部门：许昌市人民政府办公室</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3"/>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rPr>
          <w:trHeight w:val="308" w:hRule="atLeast"/>
        </w:trPr>
        <w:tc>
          <w:tcPr>
            <w:tcW w:w="675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预算数</w:t>
            </w:r>
          </w:p>
        </w:tc>
        <w:tc>
          <w:tcPr>
            <w:tcW w:w="6750"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308" w:hRule="atLeast"/>
        </w:trPr>
        <w:tc>
          <w:tcPr>
            <w:tcW w:w="1125"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12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3375" w:type="dxa"/>
            <w:gridSpan w:val="3"/>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112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c>
          <w:tcPr>
            <w:tcW w:w="112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12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3375" w:type="dxa"/>
            <w:gridSpan w:val="3"/>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1125"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r>
      <w:tr>
        <w:tblPrEx>
          <w:tblCellMar>
            <w:top w:w="0" w:type="dxa"/>
            <w:left w:w="108" w:type="dxa"/>
            <w:bottom w:w="0" w:type="dxa"/>
            <w:right w:w="108" w:type="dxa"/>
          </w:tblCellMar>
        </w:tblPrEx>
        <w:trPr>
          <w:trHeight w:val="615" w:hRule="atLeast"/>
        </w:trPr>
        <w:tc>
          <w:tcPr>
            <w:tcW w:w="1125"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112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112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2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2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1125"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08" w:hRule="atLeast"/>
        </w:trPr>
        <w:tc>
          <w:tcPr>
            <w:tcW w:w="112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125" w:type="dxa"/>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r>
      <w:tr>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79.24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78.82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19.57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59.25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0.43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79.24</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78.82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19.57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59.25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0.43</w:t>
            </w:r>
          </w:p>
        </w:tc>
      </w:tr>
      <w:tr>
        <w:tblPrEx>
          <w:tblCellMar>
            <w:top w:w="0" w:type="dxa"/>
            <w:left w:w="108" w:type="dxa"/>
            <w:bottom w:w="0" w:type="dxa"/>
            <w:right w:w="108" w:type="dxa"/>
          </w:tblCellMar>
        </w:tblPrEx>
        <w:trPr>
          <w:trHeight w:val="615" w:hRule="atLeast"/>
        </w:trPr>
        <w:tc>
          <w:tcPr>
            <w:tcW w:w="13500" w:type="dxa"/>
            <w:gridSpan w:val="12"/>
            <w:tcBorders>
              <w:top w:val="nil"/>
              <w:left w:val="nil"/>
              <w:bottom w:val="nil"/>
              <w:right w:val="nil"/>
            </w:tcBorders>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 xml:space="preserve"> </w:t>
      </w:r>
    </w:p>
    <w:tbl>
      <w:tblPr>
        <w:tblStyle w:val="6"/>
        <w:tblW w:w="13560" w:type="dxa"/>
        <w:tblInd w:w="93" w:type="dxa"/>
        <w:tblLayout w:type="autofit"/>
        <w:tblCellMar>
          <w:top w:w="0" w:type="dxa"/>
          <w:left w:w="108" w:type="dxa"/>
          <w:bottom w:w="0" w:type="dxa"/>
          <w:right w:w="108" w:type="dxa"/>
        </w:tblCellMar>
      </w:tblPr>
      <w:tblGrid>
        <w:gridCol w:w="365"/>
        <w:gridCol w:w="365"/>
        <w:gridCol w:w="365"/>
        <w:gridCol w:w="1804"/>
        <w:gridCol w:w="1776"/>
        <w:gridCol w:w="1776"/>
        <w:gridCol w:w="1776"/>
        <w:gridCol w:w="1776"/>
        <w:gridCol w:w="1776"/>
        <w:gridCol w:w="1781"/>
      </w:tblGrid>
      <w:tr>
        <w:trPr>
          <w:trHeight w:val="390" w:hRule="atLeast"/>
        </w:trPr>
        <w:tc>
          <w:tcPr>
            <w:tcW w:w="13560" w:type="dxa"/>
            <w:gridSpan w:val="1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政府性基金预算财政拨款收入支出决算表</w:t>
            </w:r>
          </w:p>
        </w:tc>
      </w:tr>
      <w:tr>
        <w:trPr>
          <w:trHeight w:val="255" w:hRule="atLeast"/>
        </w:trPr>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3"/>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公开08表</w:t>
            </w:r>
          </w:p>
        </w:tc>
      </w:tr>
      <w:tr>
        <w:trPr>
          <w:trHeight w:val="255" w:hRule="atLeast"/>
        </w:trPr>
        <w:tc>
          <w:tcPr>
            <w:tcW w:w="0" w:type="auto"/>
            <w:gridSpan w:val="6"/>
            <w:tcBorders>
              <w:top w:val="nil"/>
              <w:left w:val="nil"/>
              <w:bottom w:val="nil"/>
              <w:right w:val="nil"/>
            </w:tcBorders>
            <w:noWrap/>
            <w:vAlign w:val="bottom"/>
          </w:tcPr>
          <w:p>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部门：许昌市人民政府办公室</w:t>
            </w:r>
          </w:p>
        </w:tc>
        <w:tc>
          <w:tcPr>
            <w:tcW w:w="0" w:type="auto"/>
            <w:tcBorders>
              <w:top w:val="nil"/>
              <w:left w:val="nil"/>
              <w:bottom w:val="nil"/>
              <w:right w:val="nil"/>
            </w:tcBorders>
            <w:noWrap/>
            <w:vAlign w:val="bottom"/>
          </w:tcPr>
          <w:p>
            <w:pPr>
              <w:rPr>
                <w:rFonts w:ascii="Arial" w:hAnsi="Arial" w:cs="Arial"/>
                <w:color w:val="000000"/>
                <w:sz w:val="20"/>
                <w:szCs w:val="20"/>
              </w:rPr>
            </w:pPr>
          </w:p>
        </w:tc>
        <w:tc>
          <w:tcPr>
            <w:tcW w:w="0" w:type="auto"/>
            <w:gridSpan w:val="3"/>
            <w:tcBorders>
              <w:top w:val="nil"/>
              <w:left w:val="nil"/>
              <w:bottom w:val="nil"/>
              <w:right w:val="nil"/>
            </w:tcBorders>
            <w:noWrap/>
            <w:vAlign w:val="bottom"/>
          </w:tcPr>
          <w:p>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金额单位：万元</w:t>
            </w:r>
          </w:p>
        </w:tc>
      </w:tr>
      <w:tr>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72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72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5163"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172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rPr>
          <w:trHeight w:val="312" w:hRule="atLeast"/>
        </w:trPr>
        <w:tc>
          <w:tcPr>
            <w:tcW w:w="1221"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72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72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721"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721"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721" w:type="dxa"/>
            <w:vMerge w:val="restart"/>
            <w:tcBorders>
              <w:top w:val="nil"/>
              <w:left w:val="nil"/>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1723"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rPr>
          <w:trHeight w:val="312" w:hRule="atLeast"/>
        </w:trPr>
        <w:tc>
          <w:tcPr>
            <w:tcW w:w="1221"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2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72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721"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721"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721"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723"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rPr>
          <w:trHeight w:val="312" w:hRule="atLeast"/>
        </w:trPr>
        <w:tc>
          <w:tcPr>
            <w:tcW w:w="1221" w:type="dxa"/>
            <w:gridSpan w:val="3"/>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2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721"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c>
          <w:tcPr>
            <w:tcW w:w="1721"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721"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721" w:type="dxa"/>
            <w:vMerge w:val="continue"/>
            <w:tcBorders>
              <w:top w:val="nil"/>
              <w:left w:val="nil"/>
              <w:bottom w:val="single" w:color="000000" w:sz="4" w:space="0"/>
              <w:right w:val="single" w:color="000000" w:sz="4" w:space="0"/>
            </w:tcBorders>
            <w:vAlign w:val="center"/>
          </w:tcPr>
          <w:p>
            <w:pPr>
              <w:jc w:val="center"/>
              <w:rPr>
                <w:rFonts w:ascii="宋体" w:hAnsi="宋体" w:cs="宋体"/>
                <w:color w:val="000000"/>
                <w:sz w:val="22"/>
              </w:rPr>
            </w:pPr>
          </w:p>
        </w:tc>
        <w:tc>
          <w:tcPr>
            <w:tcW w:w="1723" w:type="dxa"/>
            <w:vMerge w:val="continue"/>
            <w:tcBorders>
              <w:top w:val="single" w:color="000000" w:sz="4" w:space="0"/>
              <w:left w:val="nil"/>
              <w:bottom w:val="single" w:color="000000" w:sz="4" w:space="0"/>
              <w:right w:val="single" w:color="000000" w:sz="4" w:space="0"/>
            </w:tcBorders>
            <w:vAlign w:val="center"/>
          </w:tcPr>
          <w:p>
            <w:pPr>
              <w:jc w:val="center"/>
              <w:rPr>
                <w:rFonts w:ascii="宋体" w:hAnsi="宋体" w:cs="宋体"/>
                <w:color w:val="000000"/>
                <w:sz w:val="22"/>
              </w:rPr>
            </w:pPr>
          </w:p>
        </w:tc>
      </w:tr>
      <w:tr>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b/>
                <w:bCs/>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lef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c>
          <w:tcPr>
            <w:tcW w:w="0" w:type="auto"/>
            <w:tcBorders>
              <w:top w:val="nil"/>
              <w:left w:val="nil"/>
              <w:bottom w:val="single" w:color="000000" w:sz="4" w:space="0"/>
              <w:right w:val="single" w:color="000000" w:sz="4" w:space="0"/>
            </w:tcBorders>
            <w:noWrap/>
            <w:vAlign w:val="center"/>
          </w:tcPr>
          <w:p>
            <w:pPr>
              <w:jc w:val="right"/>
              <w:rPr>
                <w:rFonts w:ascii="宋体" w:hAnsi="宋体" w:cs="宋体"/>
                <w:color w:val="000000"/>
                <w:sz w:val="22"/>
              </w:rPr>
            </w:pPr>
          </w:p>
        </w:tc>
      </w:tr>
      <w:tr>
        <w:trPr>
          <w:trHeight w:val="308" w:hRule="atLeast"/>
        </w:trPr>
        <w:tc>
          <w:tcPr>
            <w:tcW w:w="0" w:type="auto"/>
            <w:gridSpan w:val="10"/>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注：本表反映部门本年度政府性基金预算财政拨款收入、支出及结转和结余情况。本表金额转换为万元时，因四舍五入可能存在尾差。</w:t>
            </w:r>
          </w:p>
        </w:tc>
      </w:tr>
    </w:tbl>
    <w:p>
      <w:pPr>
        <w:widowControl/>
        <w:spacing w:line="590" w:lineRule="exact"/>
        <w:jc w:val="left"/>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说明：我部门没有政府性基金收入，也没有使用政府性基金安排的支出，故本表无数据。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年度收、支总计均为2723.85万元。与上年度相比，收、支总计各减少164.53万元，下降5.70%。主要原因是在职人员减少。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年度收入合计2286.92万元，其中：财政拨款收入2286.92万元，占100%；上级补助收入0万元，占0%；事业收入0万元，占0%；经营收入0万元，占0%；附属单位上缴收入0万元，占0%；其他收入0万元，占0%。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年度支出合计2723.85万元，其中：基本支出2490.46万元，占91.43%；项目支出233.39万元，占8.57%；上缴上级支出0万元，占0%；经营支出0万元，占0%；对附属单位补助支出0万元，占0%。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年度财政拨款收、支总计均为2723.85万元。与上年度相比，财政拨款收、支总计各减少164.53万元，下降5.70%。主要原因是在职人员减少。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年度一般公共预算财政拨款支出2723.85万元，占支出合计的100%。与上年度相比，一般公共预算财政拨款支出增加276.15万元，增长11.28%。主要原因是2021年项目支出增加。</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年度一般公共预算财政拨款支出2723.85万元，主要用于以下方面：一般公共服务（类）支出2194.51万元，占80.57%；社会保障和就业（类）支出449.13万元，占16.49%；卫生健康（类）支出80.21万元，占2.94%。</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年度一般公共预算财政拨款支出年初预算为2308.67万元，支出决算为2723.85万元，完成年初预算的117.98%。其中：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 w:hAnsi="仿宋" w:eastAsia="仿宋" w:cs="仿宋"/>
          <w:b/>
          <w:bCs/>
          <w:sz w:val="32"/>
          <w:szCs w:val="32"/>
        </w:rPr>
        <w:t>一般公共服务支出（类）政府办公厅（室）及相关机构事务（款）行政运行（项）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年初预算为1798.14万元，支出决算为1644.19万元，完成年初预算的91.44%。决算数与年初预算数存在差异的主要原因是人员减少，预算经费调减。</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 w:hAnsi="仿宋" w:eastAsia="仿宋" w:cs="仿宋"/>
          <w:b/>
          <w:bCs/>
          <w:sz w:val="32"/>
          <w:szCs w:val="32"/>
        </w:rPr>
        <w:t>一般公共服务支出（类）政府办公厅（室）及相关机构事务（款）一般行政管理事务（项）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年初预算为0万元，支出决算为532.44万元。决算数与年初预算数存在差异的主要原因是</w:t>
      </w:r>
      <w:r>
        <w:rPr>
          <w:rFonts w:hint="eastAsia" w:ascii="仿宋" w:hAnsi="仿宋" w:eastAsia="仿宋" w:cs="仿宋"/>
          <w:sz w:val="32"/>
          <w:szCs w:val="32"/>
        </w:rPr>
        <w:t>年中预算调增及部分支出经费为上年结转资金</w:t>
      </w:r>
      <w:r>
        <w:rPr>
          <w:rFonts w:hint="eastAsia" w:ascii="仿宋_GB2312" w:hAnsi="仿宋_GB2312" w:eastAsia="仿宋_GB2312" w:cs="仿宋_GB2312"/>
          <w:sz w:val="32"/>
          <w:szCs w:val="32"/>
        </w:rPr>
        <w:t>。</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 w:hAnsi="仿宋" w:eastAsia="仿宋" w:cs="仿宋"/>
          <w:b/>
          <w:bCs/>
          <w:sz w:val="32"/>
          <w:szCs w:val="32"/>
        </w:rPr>
        <w:t>一般公共服务支出（类）群众团体事务（款）工会事务（项）。</w:t>
      </w:r>
      <w:r>
        <w:rPr>
          <w:rFonts w:hint="eastAsia" w:ascii="仿宋_GB2312" w:hAnsi="仿宋_GB2312" w:eastAsia="仿宋_GB2312" w:cs="仿宋_GB2312"/>
          <w:sz w:val="32"/>
          <w:szCs w:val="32"/>
        </w:rPr>
        <w:t>年初预算为7.88万元，支出决算为7.88万元，完成年初预算的100%。决算数与年初预算数不存在差异。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 w:hAnsi="仿宋" w:eastAsia="仿宋" w:cs="仿宋"/>
          <w:b/>
          <w:bCs/>
          <w:sz w:val="32"/>
          <w:szCs w:val="32"/>
        </w:rPr>
        <w:t>一般公共服务支出（类）其他一般公共服务支出（款）其他一般公共服务支出（项）</w:t>
      </w:r>
      <w:r>
        <w:rPr>
          <w:rFonts w:hint="eastAsia" w:ascii="仿宋" w:hAnsi="仿宋" w:eastAsia="仿宋" w:cs="仿宋"/>
          <w:sz w:val="32"/>
          <w:szCs w:val="32"/>
        </w:rPr>
        <w:t>。</w:t>
      </w:r>
      <w:r>
        <w:rPr>
          <w:rFonts w:hint="eastAsia" w:ascii="仿宋_GB2312" w:hAnsi="仿宋_GB2312" w:eastAsia="仿宋_GB2312" w:cs="仿宋_GB2312"/>
          <w:sz w:val="32"/>
          <w:szCs w:val="32"/>
        </w:rPr>
        <w:t>年初预算为0万元，支出决算为10万元。决算数与年初预算数存在差异的主要原因是年中调增预算。</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 w:hAnsi="仿宋" w:eastAsia="仿宋" w:cs="仿宋"/>
          <w:b/>
          <w:bCs/>
          <w:sz w:val="32"/>
          <w:szCs w:val="32"/>
        </w:rPr>
        <w:t>社会保障和就业支出（类）行政事业单位养老支出（款）行政单位离退休（项）</w:t>
      </w:r>
      <w:r>
        <w:rPr>
          <w:rFonts w:hint="eastAsia" w:ascii="仿宋" w:hAnsi="仿宋" w:eastAsia="仿宋" w:cs="仿宋"/>
          <w:sz w:val="32"/>
          <w:szCs w:val="32"/>
        </w:rPr>
        <w:t>。</w:t>
      </w:r>
      <w:r>
        <w:rPr>
          <w:rFonts w:hint="eastAsia" w:ascii="仿宋_GB2312" w:hAnsi="仿宋_GB2312" w:eastAsia="仿宋_GB2312" w:cs="仿宋_GB2312"/>
          <w:sz w:val="32"/>
          <w:szCs w:val="32"/>
        </w:rPr>
        <w:t>年初预算为305.97万元，支出决算为255.16万元，完成年初预算的83.39%。决算数与年初预算数存在差异的主要原因是离退休人员减少。</w:t>
      </w:r>
    </w:p>
    <w:p>
      <w:pPr>
        <w:widowControl/>
        <w:spacing w:line="590" w:lineRule="exact"/>
        <w:ind w:firstLine="642" w:firstLineChars="200"/>
        <w:rPr>
          <w:rFonts w:ascii="仿宋_GB2312" w:hAnsi="仿宋_GB2312" w:eastAsia="仿宋_GB2312" w:cs="仿宋_GB2312"/>
          <w:sz w:val="32"/>
          <w:szCs w:val="32"/>
        </w:rPr>
      </w:pPr>
      <w:r>
        <w:rPr>
          <w:rFonts w:hint="eastAsia" w:ascii="仿宋" w:hAnsi="仿宋" w:eastAsia="仿宋" w:cs="仿宋"/>
          <w:b/>
          <w:bCs/>
          <w:sz w:val="32"/>
          <w:szCs w:val="32"/>
        </w:rPr>
        <w:t>6.社会保障和就业支出（类）行政事业单位养老支出（款）机关事业单位基本养老保险缴费支出（项）</w:t>
      </w:r>
      <w:r>
        <w:rPr>
          <w:rFonts w:hint="eastAsia" w:ascii="仿宋" w:hAnsi="仿宋" w:eastAsia="仿宋" w:cs="仿宋"/>
          <w:sz w:val="32"/>
          <w:szCs w:val="32"/>
        </w:rPr>
        <w:t>。</w:t>
      </w:r>
      <w:r>
        <w:rPr>
          <w:rFonts w:hint="eastAsia" w:ascii="仿宋_GB2312" w:hAnsi="仿宋_GB2312" w:eastAsia="仿宋_GB2312" w:cs="仿宋_GB2312"/>
          <w:sz w:val="32"/>
          <w:szCs w:val="32"/>
        </w:rPr>
        <w:t>年初预算为98.41万元，支出决算为74.66万元，完成年初预算的75.87%。决算数与年初预算数存在差异的主要原因是人员减少，预算经费调减。</w:t>
      </w:r>
    </w:p>
    <w:p>
      <w:pPr>
        <w:pStyle w:val="19"/>
        <w:spacing w:after="0"/>
        <w:ind w:firstLine="642" w:firstLineChars="200"/>
        <w:rPr>
          <w:rFonts w:ascii="仿宋_GB2312" w:hAnsi="仿宋_GB2312" w:eastAsia="仿宋_GB2312" w:cs="仿宋_GB2312"/>
          <w:sz w:val="32"/>
          <w:szCs w:val="32"/>
        </w:rPr>
      </w:pPr>
      <w:r>
        <w:rPr>
          <w:rFonts w:hint="eastAsia" w:ascii="仿宋" w:hAnsi="仿宋" w:eastAsia="仿宋" w:cs="仿宋"/>
          <w:b/>
          <w:bCs/>
          <w:sz w:val="32"/>
          <w:szCs w:val="32"/>
        </w:rPr>
        <w:t>7.社会保障和就业支出（类）抚恤（款）死亡抚恤（项）</w:t>
      </w:r>
      <w:r>
        <w:rPr>
          <w:rFonts w:hint="eastAsia" w:ascii="仿宋" w:hAnsi="仿宋" w:eastAsia="仿宋" w:cs="仿宋"/>
          <w:sz w:val="32"/>
          <w:szCs w:val="32"/>
        </w:rPr>
        <w:t>。</w:t>
      </w:r>
      <w:r>
        <w:rPr>
          <w:rFonts w:hint="eastAsia" w:ascii="仿宋_GB2312" w:hAnsi="仿宋_GB2312" w:eastAsia="仿宋_GB2312" w:cs="仿宋_GB2312"/>
          <w:sz w:val="32"/>
          <w:szCs w:val="32"/>
        </w:rPr>
        <w:t>年初预算为0万元，支出决算为112.29万元。决算数与年初预算数存在差异的主要原因是抚恤金为追加经费，</w:t>
      </w:r>
      <w:r>
        <w:rPr>
          <w:rFonts w:hint="eastAsia" w:ascii="仿宋" w:hAnsi="仿宋" w:eastAsia="仿宋" w:cs="仿宋"/>
          <w:sz w:val="32"/>
          <w:szCs w:val="32"/>
        </w:rPr>
        <w:t>年初无预算安排</w:t>
      </w:r>
      <w:r>
        <w:rPr>
          <w:rFonts w:hint="eastAsia" w:ascii="仿宋_GB2312" w:hAnsi="仿宋_GB2312" w:eastAsia="仿宋_GB2312" w:cs="仿宋_GB2312"/>
          <w:sz w:val="32"/>
          <w:szCs w:val="32"/>
        </w:rPr>
        <w:t>。</w:t>
      </w:r>
    </w:p>
    <w:p>
      <w:pPr>
        <w:pStyle w:val="19"/>
        <w:spacing w:after="0"/>
        <w:ind w:firstLine="642" w:firstLineChars="200"/>
        <w:rPr>
          <w:rFonts w:ascii="仿宋_GB2312" w:hAnsi="仿宋_GB2312" w:eastAsia="仿宋_GB2312" w:cs="仿宋_GB2312"/>
          <w:sz w:val="32"/>
          <w:szCs w:val="32"/>
        </w:rPr>
      </w:pPr>
      <w:r>
        <w:rPr>
          <w:rFonts w:hint="eastAsia" w:ascii="仿宋" w:hAnsi="仿宋" w:eastAsia="仿宋" w:cs="仿宋"/>
          <w:b/>
          <w:bCs/>
          <w:sz w:val="32"/>
          <w:szCs w:val="32"/>
        </w:rPr>
        <w:t>8.社会保障和就业支出（类）临时救助（款）临时救助支出（项）</w:t>
      </w:r>
      <w:r>
        <w:rPr>
          <w:rFonts w:hint="eastAsia" w:ascii="仿宋" w:hAnsi="仿宋" w:eastAsia="仿宋" w:cs="仿宋"/>
          <w:sz w:val="32"/>
          <w:szCs w:val="32"/>
        </w:rPr>
        <w:t>。</w:t>
      </w:r>
      <w:r>
        <w:rPr>
          <w:rFonts w:hint="eastAsia" w:ascii="仿宋_GB2312" w:hAnsi="仿宋_GB2312" w:eastAsia="仿宋_GB2312" w:cs="仿宋_GB2312"/>
          <w:sz w:val="32"/>
          <w:szCs w:val="32"/>
        </w:rPr>
        <w:t>年初预算为0万元，支出决算为7.02万元。决算数与年初预算数存在差异的主要原因是</w:t>
      </w:r>
      <w:r>
        <w:rPr>
          <w:rFonts w:hint="eastAsia" w:ascii="仿宋" w:hAnsi="仿宋" w:eastAsia="仿宋" w:cs="仿宋"/>
          <w:sz w:val="32"/>
          <w:szCs w:val="32"/>
        </w:rPr>
        <w:t>临时救助支出为冬春困难群众慰问经费，年初无预算安排</w:t>
      </w:r>
      <w:r>
        <w:rPr>
          <w:rFonts w:hint="eastAsia" w:ascii="仿宋_GB2312" w:hAnsi="仿宋_GB2312" w:eastAsia="仿宋_GB2312" w:cs="仿宋_GB2312"/>
          <w:sz w:val="32"/>
          <w:szCs w:val="32"/>
        </w:rPr>
        <w:t>。</w:t>
      </w:r>
    </w:p>
    <w:p>
      <w:pPr>
        <w:widowControl/>
        <w:spacing w:line="590" w:lineRule="exact"/>
        <w:ind w:firstLine="642" w:firstLineChars="200"/>
        <w:rPr>
          <w:rFonts w:ascii="仿宋_GB2312" w:hAnsi="仿宋_GB2312" w:eastAsia="仿宋_GB2312" w:cs="仿宋_GB2312"/>
          <w:sz w:val="32"/>
          <w:szCs w:val="32"/>
        </w:rPr>
      </w:pPr>
      <w:r>
        <w:rPr>
          <w:rFonts w:hint="eastAsia" w:ascii="仿宋" w:hAnsi="仿宋" w:eastAsia="仿宋" w:cs="仿宋"/>
          <w:b/>
          <w:bCs/>
          <w:sz w:val="32"/>
          <w:szCs w:val="32"/>
        </w:rPr>
        <w:t>9.卫生健康支出（类）行政事业单位医疗（款）行政单位医疗（项）</w:t>
      </w:r>
      <w:r>
        <w:rPr>
          <w:rFonts w:hint="eastAsia" w:ascii="仿宋" w:hAnsi="仿宋" w:eastAsia="仿宋" w:cs="仿宋"/>
          <w:sz w:val="32"/>
          <w:szCs w:val="32"/>
        </w:rPr>
        <w:t>。</w:t>
      </w:r>
      <w:r>
        <w:rPr>
          <w:rFonts w:hint="eastAsia" w:ascii="仿宋_GB2312" w:hAnsi="仿宋_GB2312" w:eastAsia="仿宋_GB2312" w:cs="仿宋_GB2312"/>
          <w:sz w:val="32"/>
          <w:szCs w:val="32"/>
        </w:rPr>
        <w:t>年初预算为35.30万元，支出决算为15.46万元，完成年初预算的43.80%。决算数与年初预算数存在差异的主要原因是人员减少，预算经费调减及部分支出为上年结转经费。</w:t>
      </w:r>
    </w:p>
    <w:p>
      <w:pPr>
        <w:widowControl/>
        <w:spacing w:line="590" w:lineRule="exact"/>
        <w:ind w:firstLine="642" w:firstLineChars="200"/>
        <w:rPr>
          <w:rFonts w:ascii="仿宋_GB2312" w:hAnsi="仿宋_GB2312" w:eastAsia="仿宋_GB2312" w:cs="仿宋_GB2312"/>
          <w:sz w:val="32"/>
          <w:szCs w:val="32"/>
        </w:rPr>
      </w:pPr>
      <w:r>
        <w:rPr>
          <w:rFonts w:hint="eastAsia" w:ascii="仿宋" w:hAnsi="仿宋" w:eastAsia="仿宋" w:cs="仿宋"/>
          <w:b/>
          <w:bCs/>
          <w:sz w:val="32"/>
          <w:szCs w:val="32"/>
        </w:rPr>
        <w:t>10.卫生健康支出（类）行政事业单位医疗（款）事业单位医疗（项）</w:t>
      </w:r>
      <w:r>
        <w:rPr>
          <w:rFonts w:hint="eastAsia" w:ascii="仿宋" w:hAnsi="仿宋" w:eastAsia="仿宋" w:cs="仿宋"/>
          <w:sz w:val="32"/>
          <w:szCs w:val="32"/>
        </w:rPr>
        <w:t>。</w:t>
      </w:r>
      <w:r>
        <w:rPr>
          <w:rFonts w:hint="eastAsia" w:ascii="仿宋_GB2312" w:hAnsi="仿宋_GB2312" w:eastAsia="仿宋_GB2312" w:cs="仿宋_GB2312"/>
          <w:sz w:val="32"/>
          <w:szCs w:val="32"/>
        </w:rPr>
        <w:t>年初预算为15.04万元，支出决算为4.13万元，完成年初预算的27.46%。决算数与年初预算数存在差异的主要原因是人员减少，预算经费调减及部分支出经费为上年结转经费。</w:t>
      </w:r>
    </w:p>
    <w:p>
      <w:pPr>
        <w:widowControl/>
        <w:spacing w:line="590" w:lineRule="exact"/>
        <w:ind w:firstLine="642" w:firstLineChars="200"/>
      </w:pPr>
      <w:r>
        <w:rPr>
          <w:rFonts w:hint="eastAsia" w:ascii="仿宋" w:hAnsi="仿宋" w:eastAsia="仿宋" w:cs="仿宋"/>
          <w:b/>
          <w:bCs/>
          <w:sz w:val="32"/>
          <w:szCs w:val="32"/>
        </w:rPr>
        <w:t>11.卫生健康支出（类）行政事业单位医疗（款）公务员医疗补助（项）</w:t>
      </w:r>
      <w:r>
        <w:rPr>
          <w:rFonts w:hint="eastAsia" w:ascii="仿宋" w:hAnsi="仿宋" w:eastAsia="仿宋" w:cs="仿宋"/>
          <w:sz w:val="32"/>
          <w:szCs w:val="32"/>
        </w:rPr>
        <w:t>。</w:t>
      </w:r>
      <w:r>
        <w:rPr>
          <w:rFonts w:hint="eastAsia" w:ascii="仿宋_GB2312" w:hAnsi="仿宋_GB2312" w:eastAsia="仿宋_GB2312" w:cs="仿宋_GB2312"/>
          <w:sz w:val="32"/>
          <w:szCs w:val="32"/>
        </w:rPr>
        <w:t>年初预算为47.93万元，支出决算为60.61万元，完成年初预算的126.46%。决算数与年初预算数存在差异的主要原因是部分支出经费为上年结转经费。</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outlineLvl w:val="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2021年度一般公共预算财政拨款基本支出2490.46万元。其中：人员经费2074.10万元，主要包括：</w:t>
      </w:r>
      <w:r>
        <w:rPr>
          <w:rFonts w:hint="eastAsia" w:ascii="仿宋_GB2312" w:hAnsi="仿宋_GB2312" w:eastAsia="仿宋_GB2312" w:cs="仿宋_GB2312"/>
          <w:sz w:val="32"/>
          <w:szCs w:val="32"/>
          <w:highlight w:val="none"/>
        </w:rPr>
        <w:t>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eastAsia="zh-CN"/>
        </w:rPr>
        <w:t>职工基本医疗保险缴费、公务员医疗补助缴费、</w:t>
      </w:r>
      <w:r>
        <w:rPr>
          <w:rFonts w:hint="eastAsia" w:ascii="仿宋_GB2312" w:hAnsi="仿宋_GB2312" w:eastAsia="仿宋_GB2312" w:cs="仿宋_GB2312"/>
          <w:sz w:val="32"/>
          <w:szCs w:val="32"/>
          <w:highlight w:val="none"/>
        </w:rPr>
        <w:t>其他社会保障缴费、其他工资福利支出、离休费、退休费、抚恤金、生活补助、住房公积金、其他对个人和家庭的补助支出；公用经费416.35万元，主要包括：办公费、印刷费、</w:t>
      </w:r>
      <w:r>
        <w:rPr>
          <w:rFonts w:hint="eastAsia" w:ascii="仿宋_GB2312" w:hAnsi="仿宋_GB2312" w:eastAsia="仿宋_GB2312" w:cs="仿宋_GB2312"/>
          <w:sz w:val="32"/>
          <w:szCs w:val="32"/>
          <w:highlight w:val="none"/>
          <w:lang w:eastAsia="zh-CN"/>
        </w:rPr>
        <w:t>水费、</w:t>
      </w:r>
      <w:r>
        <w:rPr>
          <w:rFonts w:hint="eastAsia" w:ascii="仿宋_GB2312" w:hAnsi="仿宋_GB2312" w:eastAsia="仿宋_GB2312" w:cs="仿宋_GB2312"/>
          <w:sz w:val="32"/>
          <w:szCs w:val="32"/>
          <w:highlight w:val="none"/>
        </w:rPr>
        <w:t>邮电费、差旅费、维修（护）费、培训费、公务接待费、劳务费、委托业务费、工会经费、福利费、公务用车运行维护费、其他交通费用、其他商品和服务支出、办公设备购置、</w:t>
      </w:r>
      <w:r>
        <w:rPr>
          <w:rFonts w:hint="eastAsia" w:ascii="仿宋_GB2312" w:hAnsi="仿宋_GB2312" w:eastAsia="仿宋_GB2312" w:cs="仿宋_GB2312"/>
          <w:b w:val="0"/>
          <w:bCs w:val="0"/>
          <w:sz w:val="32"/>
          <w:szCs w:val="32"/>
          <w:highlight w:val="none"/>
          <w:lang w:eastAsia="zh-CN"/>
        </w:rPr>
        <w:t>公务用车购置</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年度“三公”经费财政拨款支出预算为79.24万元，支出决算为79.24万元，完成预算的100%。</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万元；公务用车购置及运行费支出决算78.82万元，完成预算的100%，占99.46%；公务接待费支出决算0.43万元，完成预算的100%，占0.54%。具体情况如下：</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b/>
          <w:sz w:val="32"/>
          <w:szCs w:val="24"/>
        </w:rPr>
        <w:t>因公出国（境）费</w:t>
      </w:r>
      <w:r>
        <w:rPr>
          <w:rFonts w:hint="eastAsia" w:ascii="仿宋_GB2312" w:hAnsi="仿宋_GB2312" w:eastAsia="仿宋_GB2312"/>
          <w:sz w:val="32"/>
          <w:szCs w:val="24"/>
        </w:rPr>
        <w:t>预算为0万元，支出决算为0万元。决算数与预算数不存在差异</w:t>
      </w:r>
      <w:r>
        <w:rPr>
          <w:rFonts w:hint="eastAsia" w:ascii="仿宋_GB2312" w:hAnsi="仿宋_GB2312" w:eastAsia="仿宋_GB2312" w:cs="仿宋_GB2312"/>
          <w:sz w:val="32"/>
          <w:szCs w:val="32"/>
        </w:rPr>
        <w:t>。全年</w:t>
      </w:r>
      <w:r>
        <w:rPr>
          <w:rFonts w:hint="eastAsia" w:ascii="仿宋_GB2312" w:hAnsi="仿宋_GB2312" w:eastAsia="仿宋_GB2312"/>
          <w:sz w:val="32"/>
          <w:szCs w:val="24"/>
        </w:rPr>
        <w:t>因公出国（境）团组数0个，因公出国（境）人次数0人。</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预算为19.57万元，支出决算为19.57万元，完成预算的100%。决算数与预算数不存在差异。其中：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为19.57万元，购置车辆1台，为应急保障用车。</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59.25万元。</w:t>
      </w:r>
      <w:r>
        <w:rPr>
          <w:rFonts w:hint="eastAsia" w:ascii="仿宋" w:hAnsi="仿宋" w:eastAsia="仿宋" w:cs="仿宋"/>
          <w:sz w:val="32"/>
          <w:szCs w:val="32"/>
        </w:rPr>
        <w:t>主要用于燃料费、维修费、过路过桥费、保险费等支出</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w:t>
      </w:r>
      <w:r>
        <w:rPr>
          <w:rFonts w:hint="eastAsia" w:ascii="仿宋_GB2312" w:hAnsi="仿宋_GB2312" w:eastAsia="仿宋_GB2312" w:cs="仿宋_GB2312"/>
          <w:b w:val="0"/>
          <w:bCs w:val="0"/>
          <w:sz w:val="32"/>
          <w:szCs w:val="32"/>
          <w:highlight w:val="none"/>
          <w:lang w:eastAsia="zh-CN"/>
        </w:rPr>
        <w:t>部门</w:t>
      </w:r>
      <w:r>
        <w:rPr>
          <w:rFonts w:hint="eastAsia" w:ascii="仿宋_GB2312" w:hAnsi="仿宋_GB2312" w:eastAsia="仿宋_GB2312" w:cs="仿宋_GB2312"/>
          <w:sz w:val="32"/>
          <w:szCs w:val="32"/>
        </w:rPr>
        <w:t>开支财政拨款的公务用车保有量为18辆。</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预算为0.43万元，支出决算为0.43万元，完成预算的100%。决算数与预算数不存在差异。其中：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0万元。2021年共接待国（境）外来访团组0个，来访外宾0人次（不包括陪同人员）。</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0.43万元。</w:t>
      </w:r>
      <w:r>
        <w:rPr>
          <w:rFonts w:hint="eastAsia" w:ascii="仿宋" w:hAnsi="仿宋" w:eastAsia="仿宋" w:cs="仿宋"/>
          <w:sz w:val="32"/>
          <w:szCs w:val="32"/>
        </w:rPr>
        <w:t>主要用于接待上级及兄弟地市考察学习</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年共接待国内来访团组5个、来宾42人次（不包括陪同人员）。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年度政府性基金预算财政拨款支出年初预算为0万元，支出决算为0万元。主要原因：我</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rPr>
        <w:t>2021年度没有政府性基金收入，也没有使用政府性基金安排的支出。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年度机关运行经费年初预算为365.47万元，支出决算为416.35万元，完成年初预算的113.92%。决算数与年初预算数存在差异的主要原因是机关运行费用增加。</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199.50万元，其中：政府采购货物支出199.50万元、政府采购工程支出0万元、政府采购服务支出0万元。授予中小企业合同金额20.12万元，占政府采购支出总额的10.09%，其中：授予小微企业合同金额0万元，占政府采购支出总额的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rPr>
        <w:t>共有车辆18辆，</w:t>
      </w:r>
      <w:bookmarkStart w:id="0" w:name="_GoBack"/>
      <w:bookmarkEnd w:id="0"/>
      <w:r>
        <w:rPr>
          <w:rFonts w:hint="eastAsia" w:ascii="仿宋_GB2312" w:hAnsi="仿宋_GB2312" w:eastAsia="仿宋_GB2312" w:cs="仿宋_GB2312"/>
          <w:sz w:val="32"/>
          <w:szCs w:val="32"/>
        </w:rPr>
        <w:t>其中：省级领导干部用车0辆、主要领导干部用车0辆、机要通信用车8辆、应急保障车8辆、执法执勤用车0辆、特种专业技术用车0辆、离退休干部用车2辆、其他用车0辆；单位价值50万元以上通用设备1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我部门按照《中共许昌市委 许昌市人民政府关于全面实施预算绩效管理的实施意见》（许发〔2021〕13号）文件要求，对本部门整体支出和项目支出开展全过程预算绩效管理。2021年我部门纳入预算绩效管理的支出总额为2723.85万元，其中：基本支出2490.46万元；支出项目5个，支出金额233.39万元。开展项目绩效自评项目5个，自评金额233.39万元。</w:t>
      </w:r>
    </w:p>
    <w:p>
      <w:pPr>
        <w:widowControl/>
        <w:spacing w:line="360" w:lineRule="auto"/>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（二）部门整体和项目绩效自评结果。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w:t>
      </w:r>
      <w:r>
        <w:rPr>
          <w:rFonts w:hint="default" w:ascii="仿宋_GB2312" w:hAnsi="仿宋_GB2312" w:eastAsia="仿宋_GB2312" w:cs="仿宋_GB2312"/>
          <w:sz w:val="32"/>
          <w:szCs w:val="32"/>
          <w:lang w:val="en"/>
        </w:rPr>
        <w:t>2</w:t>
      </w:r>
      <w:r>
        <w:rPr>
          <w:rFonts w:hint="eastAsia" w:ascii="仿宋_GB2312" w:hAnsi="仿宋_GB2312" w:eastAsia="仿宋_GB2312" w:cs="仿宋_GB2312"/>
          <w:sz w:val="32"/>
          <w:szCs w:val="32"/>
        </w:rPr>
        <w:t>〕1号）等文件精神，我部门对本部门整体绩效目标和项目支出绩效目标进行了自评。一是部门整体绩效自评情况2021年本部门紧紧围绕市委市政府的中心工作，较好的完成了各项目标任务，取得了较好的社会效益。二是项目绩效自评情况。我部门共有5个项目批复了绩效目标，项目金额233.39万元。</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96分。其中：5个项目评价等级为“优”、0个项目评价等级为“良”、0个项目评价等级为“中”、0个项目评价等级为“差”。</w:t>
      </w:r>
    </w:p>
    <w:p>
      <w:pPr>
        <w:widowControl/>
        <w:spacing w:line="360" w:lineRule="auto"/>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outlineLvl w:val="2"/>
        <w:rPr>
          <w:rFonts w:ascii="楷体_GB2312" w:hAnsi="楷体_GB2312" w:eastAsia="楷体_GB2312" w:cs="楷体_GB2312"/>
          <w:b/>
          <w:bCs/>
          <w:sz w:val="32"/>
          <w:szCs w:val="32"/>
        </w:rPr>
      </w:pPr>
      <w:r>
        <w:rPr>
          <w:rFonts w:hint="eastAsia" w:ascii="仿宋_GB2312" w:hAnsi="仿宋_GB2312" w:eastAsia="仿宋_GB2312" w:cs="仿宋_GB2312"/>
          <w:sz w:val="32"/>
          <w:szCs w:val="32"/>
        </w:rPr>
        <w:t>2021年度我部门没有开展重点绩效评价的项目。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both"/>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- 29 -</w:t>
                </w:r>
                <w:r>
                  <w:rPr>
                    <w:rFonts w:hint="eastAsia"/>
                    <w:sz w:val="18"/>
                  </w:rPr>
                  <w:fldChar w:fldCharType="end"/>
                </w:r>
              </w:p>
            </w:txbxContent>
          </v:textbox>
        </v:shape>
      </w:pict>
    </w:r>
    <w:r>
      <w:pict>
        <v:shape id="文本框 1027"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- 30 -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05"/>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MTVkM2NmMjhkNmRhMTY5MGExNDhlMzI5NTU1MGRiYmYifQ=="/>
  </w:docVars>
  <w:rsids>
    <w:rsidRoot w:val="000270E8"/>
    <w:rsid w:val="000270E8"/>
    <w:rsid w:val="000335B5"/>
    <w:rsid w:val="00057AFD"/>
    <w:rsid w:val="00076410"/>
    <w:rsid w:val="00081835"/>
    <w:rsid w:val="000904B3"/>
    <w:rsid w:val="000C073B"/>
    <w:rsid w:val="000C1142"/>
    <w:rsid w:val="001003F8"/>
    <w:rsid w:val="00144159"/>
    <w:rsid w:val="001718A8"/>
    <w:rsid w:val="001776A4"/>
    <w:rsid w:val="00182842"/>
    <w:rsid w:val="00184D53"/>
    <w:rsid w:val="001905F2"/>
    <w:rsid w:val="00197592"/>
    <w:rsid w:val="001C32F0"/>
    <w:rsid w:val="001D61B1"/>
    <w:rsid w:val="001F5040"/>
    <w:rsid w:val="002006EB"/>
    <w:rsid w:val="00214AE1"/>
    <w:rsid w:val="00240B5E"/>
    <w:rsid w:val="00260D70"/>
    <w:rsid w:val="00264005"/>
    <w:rsid w:val="00281114"/>
    <w:rsid w:val="00282C7F"/>
    <w:rsid w:val="00287811"/>
    <w:rsid w:val="00292B4B"/>
    <w:rsid w:val="002A6352"/>
    <w:rsid w:val="002B3F94"/>
    <w:rsid w:val="002C171D"/>
    <w:rsid w:val="002E6A86"/>
    <w:rsid w:val="00304D04"/>
    <w:rsid w:val="00305B88"/>
    <w:rsid w:val="00315FEB"/>
    <w:rsid w:val="0040178B"/>
    <w:rsid w:val="0041489C"/>
    <w:rsid w:val="0042585F"/>
    <w:rsid w:val="00445CAC"/>
    <w:rsid w:val="00462FCC"/>
    <w:rsid w:val="00472E19"/>
    <w:rsid w:val="00487869"/>
    <w:rsid w:val="004D5275"/>
    <w:rsid w:val="004F52E5"/>
    <w:rsid w:val="004F63DB"/>
    <w:rsid w:val="00505190"/>
    <w:rsid w:val="00507364"/>
    <w:rsid w:val="00533353"/>
    <w:rsid w:val="0054293F"/>
    <w:rsid w:val="00546F7C"/>
    <w:rsid w:val="005A0C2F"/>
    <w:rsid w:val="005B1AE2"/>
    <w:rsid w:val="005D6D07"/>
    <w:rsid w:val="005E3397"/>
    <w:rsid w:val="005F7D02"/>
    <w:rsid w:val="00607D67"/>
    <w:rsid w:val="006228C4"/>
    <w:rsid w:val="00636C37"/>
    <w:rsid w:val="006512DD"/>
    <w:rsid w:val="00656BEF"/>
    <w:rsid w:val="00656D75"/>
    <w:rsid w:val="00657E86"/>
    <w:rsid w:val="00661709"/>
    <w:rsid w:val="00673EF7"/>
    <w:rsid w:val="006841E9"/>
    <w:rsid w:val="0069449E"/>
    <w:rsid w:val="0069586E"/>
    <w:rsid w:val="006C07F0"/>
    <w:rsid w:val="006C644A"/>
    <w:rsid w:val="006C75C8"/>
    <w:rsid w:val="006C7D84"/>
    <w:rsid w:val="006E2F78"/>
    <w:rsid w:val="007148E8"/>
    <w:rsid w:val="0072221B"/>
    <w:rsid w:val="00733DAA"/>
    <w:rsid w:val="00742BA0"/>
    <w:rsid w:val="00753545"/>
    <w:rsid w:val="00764156"/>
    <w:rsid w:val="007706D7"/>
    <w:rsid w:val="007879ED"/>
    <w:rsid w:val="007A48A3"/>
    <w:rsid w:val="007C029F"/>
    <w:rsid w:val="007C7F49"/>
    <w:rsid w:val="007D2A21"/>
    <w:rsid w:val="007E4462"/>
    <w:rsid w:val="00811507"/>
    <w:rsid w:val="008161EA"/>
    <w:rsid w:val="00833D6E"/>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202D9"/>
    <w:rsid w:val="00A4016C"/>
    <w:rsid w:val="00A42F43"/>
    <w:rsid w:val="00A51982"/>
    <w:rsid w:val="00A57BF7"/>
    <w:rsid w:val="00A71DC1"/>
    <w:rsid w:val="00A83D8A"/>
    <w:rsid w:val="00A857B5"/>
    <w:rsid w:val="00A93E7D"/>
    <w:rsid w:val="00AA260E"/>
    <w:rsid w:val="00AA44CB"/>
    <w:rsid w:val="00AA67CD"/>
    <w:rsid w:val="00AD5C2E"/>
    <w:rsid w:val="00AD6761"/>
    <w:rsid w:val="00AE2FEA"/>
    <w:rsid w:val="00AE600E"/>
    <w:rsid w:val="00B0083B"/>
    <w:rsid w:val="00B040BC"/>
    <w:rsid w:val="00B209B8"/>
    <w:rsid w:val="00B20BBC"/>
    <w:rsid w:val="00B249F3"/>
    <w:rsid w:val="00B477CA"/>
    <w:rsid w:val="00B649BE"/>
    <w:rsid w:val="00B653A5"/>
    <w:rsid w:val="00B710DD"/>
    <w:rsid w:val="00BE5A85"/>
    <w:rsid w:val="00BF4E6A"/>
    <w:rsid w:val="00BF5718"/>
    <w:rsid w:val="00C13474"/>
    <w:rsid w:val="00C1780E"/>
    <w:rsid w:val="00C3106E"/>
    <w:rsid w:val="00C60609"/>
    <w:rsid w:val="00C95CC1"/>
    <w:rsid w:val="00CA3F44"/>
    <w:rsid w:val="00CB03ED"/>
    <w:rsid w:val="00CD72E7"/>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56876"/>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B3585"/>
    <w:rsid w:val="00FC2588"/>
    <w:rsid w:val="00FE7AD9"/>
    <w:rsid w:val="012A6BDB"/>
    <w:rsid w:val="01322275"/>
    <w:rsid w:val="01AE1470"/>
    <w:rsid w:val="01CF7782"/>
    <w:rsid w:val="01DC6F05"/>
    <w:rsid w:val="01FD56B2"/>
    <w:rsid w:val="02151639"/>
    <w:rsid w:val="021F7DC1"/>
    <w:rsid w:val="026825AB"/>
    <w:rsid w:val="0270686F"/>
    <w:rsid w:val="02A3489A"/>
    <w:rsid w:val="02AF6534"/>
    <w:rsid w:val="02B96468"/>
    <w:rsid w:val="02CA138D"/>
    <w:rsid w:val="030F6088"/>
    <w:rsid w:val="033646FC"/>
    <w:rsid w:val="033B78B3"/>
    <w:rsid w:val="039338FF"/>
    <w:rsid w:val="03936CB9"/>
    <w:rsid w:val="03C75F80"/>
    <w:rsid w:val="03DE3160"/>
    <w:rsid w:val="04100A21"/>
    <w:rsid w:val="044A069A"/>
    <w:rsid w:val="0478364D"/>
    <w:rsid w:val="048B5BE2"/>
    <w:rsid w:val="04D01847"/>
    <w:rsid w:val="052878D5"/>
    <w:rsid w:val="053D4C0D"/>
    <w:rsid w:val="05545FD4"/>
    <w:rsid w:val="0557532E"/>
    <w:rsid w:val="05B16108"/>
    <w:rsid w:val="05DB66F5"/>
    <w:rsid w:val="05E51322"/>
    <w:rsid w:val="05EE467B"/>
    <w:rsid w:val="06846A8A"/>
    <w:rsid w:val="071F0864"/>
    <w:rsid w:val="07411297"/>
    <w:rsid w:val="0799329C"/>
    <w:rsid w:val="07B92A66"/>
    <w:rsid w:val="08224695"/>
    <w:rsid w:val="08397436"/>
    <w:rsid w:val="086F16A7"/>
    <w:rsid w:val="08C276F9"/>
    <w:rsid w:val="09037DC1"/>
    <w:rsid w:val="09550C23"/>
    <w:rsid w:val="096A04BC"/>
    <w:rsid w:val="09903C9B"/>
    <w:rsid w:val="09D92F4C"/>
    <w:rsid w:val="09E1372C"/>
    <w:rsid w:val="09F558AC"/>
    <w:rsid w:val="09FE6E56"/>
    <w:rsid w:val="0A0F7225"/>
    <w:rsid w:val="0A2B7D82"/>
    <w:rsid w:val="0A5E68FA"/>
    <w:rsid w:val="0AA646FD"/>
    <w:rsid w:val="0ADC40E9"/>
    <w:rsid w:val="0AE53B72"/>
    <w:rsid w:val="0AE607F4"/>
    <w:rsid w:val="0B386127"/>
    <w:rsid w:val="0B451598"/>
    <w:rsid w:val="0BBF43C3"/>
    <w:rsid w:val="0BCB2D68"/>
    <w:rsid w:val="0BCC5425"/>
    <w:rsid w:val="0BEC73F4"/>
    <w:rsid w:val="0C0D167A"/>
    <w:rsid w:val="0C392698"/>
    <w:rsid w:val="0C74663C"/>
    <w:rsid w:val="0CAE6912"/>
    <w:rsid w:val="0CB41A4E"/>
    <w:rsid w:val="0CEA780D"/>
    <w:rsid w:val="0CF11747"/>
    <w:rsid w:val="0D6A0886"/>
    <w:rsid w:val="0DAF0B93"/>
    <w:rsid w:val="0E7D4BD7"/>
    <w:rsid w:val="0E9953A0"/>
    <w:rsid w:val="0EA33D9F"/>
    <w:rsid w:val="0EE06B2A"/>
    <w:rsid w:val="0F070D66"/>
    <w:rsid w:val="0F8C5898"/>
    <w:rsid w:val="0FCD2962"/>
    <w:rsid w:val="0FEB39D9"/>
    <w:rsid w:val="0FF533DE"/>
    <w:rsid w:val="0FFE450E"/>
    <w:rsid w:val="10063B21"/>
    <w:rsid w:val="1085119F"/>
    <w:rsid w:val="1092654A"/>
    <w:rsid w:val="10961B97"/>
    <w:rsid w:val="10A36CC0"/>
    <w:rsid w:val="10BD36F6"/>
    <w:rsid w:val="10BE10ED"/>
    <w:rsid w:val="10CC55B8"/>
    <w:rsid w:val="1102396C"/>
    <w:rsid w:val="11205904"/>
    <w:rsid w:val="113D2012"/>
    <w:rsid w:val="11423ACC"/>
    <w:rsid w:val="11663B59"/>
    <w:rsid w:val="11924EB2"/>
    <w:rsid w:val="11A7392F"/>
    <w:rsid w:val="11BF0649"/>
    <w:rsid w:val="11FA6155"/>
    <w:rsid w:val="12211AC0"/>
    <w:rsid w:val="123E3E08"/>
    <w:rsid w:val="128A74D9"/>
    <w:rsid w:val="130F5C30"/>
    <w:rsid w:val="133212F4"/>
    <w:rsid w:val="13672EF2"/>
    <w:rsid w:val="137B5074"/>
    <w:rsid w:val="13D22E22"/>
    <w:rsid w:val="144E09DA"/>
    <w:rsid w:val="147716F5"/>
    <w:rsid w:val="149633A7"/>
    <w:rsid w:val="14FB59BF"/>
    <w:rsid w:val="153C0833"/>
    <w:rsid w:val="155B6F0B"/>
    <w:rsid w:val="158D108E"/>
    <w:rsid w:val="16135A37"/>
    <w:rsid w:val="161C2DFF"/>
    <w:rsid w:val="16361726"/>
    <w:rsid w:val="16373578"/>
    <w:rsid w:val="16965166"/>
    <w:rsid w:val="16D3336B"/>
    <w:rsid w:val="170B670F"/>
    <w:rsid w:val="17200028"/>
    <w:rsid w:val="17231CAA"/>
    <w:rsid w:val="176A0384"/>
    <w:rsid w:val="17806C36"/>
    <w:rsid w:val="17A74F62"/>
    <w:rsid w:val="17F772C2"/>
    <w:rsid w:val="181D494B"/>
    <w:rsid w:val="186C142F"/>
    <w:rsid w:val="18A47774"/>
    <w:rsid w:val="18AB63FB"/>
    <w:rsid w:val="18AD780A"/>
    <w:rsid w:val="1909610F"/>
    <w:rsid w:val="19297320"/>
    <w:rsid w:val="19923117"/>
    <w:rsid w:val="19962C07"/>
    <w:rsid w:val="1A5A12AC"/>
    <w:rsid w:val="1A847A05"/>
    <w:rsid w:val="1A8D28EB"/>
    <w:rsid w:val="1A9F2D78"/>
    <w:rsid w:val="1B23671D"/>
    <w:rsid w:val="1B2E6FD8"/>
    <w:rsid w:val="1B481CDF"/>
    <w:rsid w:val="1B877D21"/>
    <w:rsid w:val="1B926605"/>
    <w:rsid w:val="1BD63E20"/>
    <w:rsid w:val="1BDE744F"/>
    <w:rsid w:val="1C4319A9"/>
    <w:rsid w:val="1C6D055C"/>
    <w:rsid w:val="1C9176B6"/>
    <w:rsid w:val="1D061E52"/>
    <w:rsid w:val="1D0843C2"/>
    <w:rsid w:val="1D3D0F86"/>
    <w:rsid w:val="1DD97567"/>
    <w:rsid w:val="1E443B4B"/>
    <w:rsid w:val="1E4A3FC0"/>
    <w:rsid w:val="1E5537F7"/>
    <w:rsid w:val="1E5C3A77"/>
    <w:rsid w:val="1E7828DC"/>
    <w:rsid w:val="1E994F4A"/>
    <w:rsid w:val="1EAF0224"/>
    <w:rsid w:val="1EE47F71"/>
    <w:rsid w:val="1F093E7B"/>
    <w:rsid w:val="1F2230A4"/>
    <w:rsid w:val="1F540221"/>
    <w:rsid w:val="20210932"/>
    <w:rsid w:val="202448E0"/>
    <w:rsid w:val="203B1E13"/>
    <w:rsid w:val="20531852"/>
    <w:rsid w:val="20C34430"/>
    <w:rsid w:val="20F614FE"/>
    <w:rsid w:val="211A2370"/>
    <w:rsid w:val="21302EEA"/>
    <w:rsid w:val="215869F4"/>
    <w:rsid w:val="217C0935"/>
    <w:rsid w:val="21B005DE"/>
    <w:rsid w:val="21C94711"/>
    <w:rsid w:val="222C235B"/>
    <w:rsid w:val="22376FB5"/>
    <w:rsid w:val="230010F2"/>
    <w:rsid w:val="23346956"/>
    <w:rsid w:val="23E152D7"/>
    <w:rsid w:val="23EE2489"/>
    <w:rsid w:val="23FC3FAF"/>
    <w:rsid w:val="248801FB"/>
    <w:rsid w:val="24AC7783"/>
    <w:rsid w:val="24B65F0C"/>
    <w:rsid w:val="2500187D"/>
    <w:rsid w:val="25192928"/>
    <w:rsid w:val="252B1526"/>
    <w:rsid w:val="255D43C8"/>
    <w:rsid w:val="26636B8C"/>
    <w:rsid w:val="26714EF8"/>
    <w:rsid w:val="26876BDD"/>
    <w:rsid w:val="26CF562A"/>
    <w:rsid w:val="2714632A"/>
    <w:rsid w:val="27436856"/>
    <w:rsid w:val="27541E73"/>
    <w:rsid w:val="277E018A"/>
    <w:rsid w:val="278A18D2"/>
    <w:rsid w:val="27B0539E"/>
    <w:rsid w:val="27C1122A"/>
    <w:rsid w:val="27E965F8"/>
    <w:rsid w:val="28757E8C"/>
    <w:rsid w:val="28FA3DC8"/>
    <w:rsid w:val="292673D8"/>
    <w:rsid w:val="29314826"/>
    <w:rsid w:val="29365CF8"/>
    <w:rsid w:val="294A1318"/>
    <w:rsid w:val="296028EA"/>
    <w:rsid w:val="299469B3"/>
    <w:rsid w:val="2A7C7BF7"/>
    <w:rsid w:val="2A805789"/>
    <w:rsid w:val="2AD74E2E"/>
    <w:rsid w:val="2ADC0D75"/>
    <w:rsid w:val="2B42740E"/>
    <w:rsid w:val="2B4A0E52"/>
    <w:rsid w:val="2B8F60F9"/>
    <w:rsid w:val="2BAA7AD2"/>
    <w:rsid w:val="2BCA4992"/>
    <w:rsid w:val="2C1B6F9C"/>
    <w:rsid w:val="2C3F2C8B"/>
    <w:rsid w:val="2C4A0A19"/>
    <w:rsid w:val="2C532F64"/>
    <w:rsid w:val="2C975890"/>
    <w:rsid w:val="2CA64AB8"/>
    <w:rsid w:val="2D17306C"/>
    <w:rsid w:val="2D3E73E6"/>
    <w:rsid w:val="2DB66F7C"/>
    <w:rsid w:val="2DEF21BB"/>
    <w:rsid w:val="2E00469C"/>
    <w:rsid w:val="2E13244A"/>
    <w:rsid w:val="2E1A438E"/>
    <w:rsid w:val="2E4A2F05"/>
    <w:rsid w:val="2E786928"/>
    <w:rsid w:val="2ECC1061"/>
    <w:rsid w:val="2F390C5D"/>
    <w:rsid w:val="2F7075FF"/>
    <w:rsid w:val="2F777500"/>
    <w:rsid w:val="2F7E585C"/>
    <w:rsid w:val="2FA476AD"/>
    <w:rsid w:val="30201025"/>
    <w:rsid w:val="303111DD"/>
    <w:rsid w:val="303F7540"/>
    <w:rsid w:val="306E566E"/>
    <w:rsid w:val="30F009F7"/>
    <w:rsid w:val="310F3C74"/>
    <w:rsid w:val="316B3539"/>
    <w:rsid w:val="31DD00BF"/>
    <w:rsid w:val="31EB07E1"/>
    <w:rsid w:val="32180206"/>
    <w:rsid w:val="323112C7"/>
    <w:rsid w:val="323A4620"/>
    <w:rsid w:val="3293174C"/>
    <w:rsid w:val="32BA12BD"/>
    <w:rsid w:val="32BB38D4"/>
    <w:rsid w:val="32C9376D"/>
    <w:rsid w:val="332E4AF9"/>
    <w:rsid w:val="333C4DBB"/>
    <w:rsid w:val="33757578"/>
    <w:rsid w:val="33780472"/>
    <w:rsid w:val="338F6851"/>
    <w:rsid w:val="33AF0905"/>
    <w:rsid w:val="33F151B2"/>
    <w:rsid w:val="33F23C50"/>
    <w:rsid w:val="341E1D1F"/>
    <w:rsid w:val="34390907"/>
    <w:rsid w:val="348F4919"/>
    <w:rsid w:val="349873DC"/>
    <w:rsid w:val="34BD32E6"/>
    <w:rsid w:val="355932F4"/>
    <w:rsid w:val="35611882"/>
    <w:rsid w:val="358B2CE3"/>
    <w:rsid w:val="35D274D1"/>
    <w:rsid w:val="35E13004"/>
    <w:rsid w:val="35FA5E74"/>
    <w:rsid w:val="36211653"/>
    <w:rsid w:val="36525CB0"/>
    <w:rsid w:val="36746FC3"/>
    <w:rsid w:val="368763AE"/>
    <w:rsid w:val="36C721FA"/>
    <w:rsid w:val="36FB00F6"/>
    <w:rsid w:val="377D2F71"/>
    <w:rsid w:val="379F4F25"/>
    <w:rsid w:val="37A8291B"/>
    <w:rsid w:val="37B26A07"/>
    <w:rsid w:val="37C7191C"/>
    <w:rsid w:val="38D770AB"/>
    <w:rsid w:val="395D59E7"/>
    <w:rsid w:val="39A93932"/>
    <w:rsid w:val="39C66799"/>
    <w:rsid w:val="3A451DB4"/>
    <w:rsid w:val="3A7206CF"/>
    <w:rsid w:val="3A915562"/>
    <w:rsid w:val="3AE179DA"/>
    <w:rsid w:val="3AE710BD"/>
    <w:rsid w:val="3B021A53"/>
    <w:rsid w:val="3B48048C"/>
    <w:rsid w:val="3B8D4765"/>
    <w:rsid w:val="3C000DBA"/>
    <w:rsid w:val="3C025A83"/>
    <w:rsid w:val="3C052654"/>
    <w:rsid w:val="3C1C6B44"/>
    <w:rsid w:val="3C3F697A"/>
    <w:rsid w:val="3D127F47"/>
    <w:rsid w:val="3D3079A5"/>
    <w:rsid w:val="3D680A9E"/>
    <w:rsid w:val="3D9B7F3D"/>
    <w:rsid w:val="3DC045D3"/>
    <w:rsid w:val="3E261EFC"/>
    <w:rsid w:val="3E2A2A75"/>
    <w:rsid w:val="3E504FFB"/>
    <w:rsid w:val="3E615CD0"/>
    <w:rsid w:val="3E9C47F6"/>
    <w:rsid w:val="3EB5502E"/>
    <w:rsid w:val="3EB63280"/>
    <w:rsid w:val="3EB76FF8"/>
    <w:rsid w:val="3EFB648D"/>
    <w:rsid w:val="3F0D4E6A"/>
    <w:rsid w:val="3F3B19D7"/>
    <w:rsid w:val="3F8B0112"/>
    <w:rsid w:val="3F9D7F9C"/>
    <w:rsid w:val="3FA23805"/>
    <w:rsid w:val="3FAB3095"/>
    <w:rsid w:val="3FC53F50"/>
    <w:rsid w:val="3FE45947"/>
    <w:rsid w:val="3FEA0D08"/>
    <w:rsid w:val="40B82BB4"/>
    <w:rsid w:val="40C96B6F"/>
    <w:rsid w:val="41173D7E"/>
    <w:rsid w:val="41195840"/>
    <w:rsid w:val="41242965"/>
    <w:rsid w:val="416074D3"/>
    <w:rsid w:val="41E52DFB"/>
    <w:rsid w:val="41F63994"/>
    <w:rsid w:val="425450BD"/>
    <w:rsid w:val="42C85330"/>
    <w:rsid w:val="42E3216A"/>
    <w:rsid w:val="435671EA"/>
    <w:rsid w:val="438010B0"/>
    <w:rsid w:val="43A062AD"/>
    <w:rsid w:val="440809E9"/>
    <w:rsid w:val="440E3217"/>
    <w:rsid w:val="442407A6"/>
    <w:rsid w:val="444E7029"/>
    <w:rsid w:val="44805EA1"/>
    <w:rsid w:val="4497145E"/>
    <w:rsid w:val="44A56A8B"/>
    <w:rsid w:val="45701FB2"/>
    <w:rsid w:val="45710696"/>
    <w:rsid w:val="45717F01"/>
    <w:rsid w:val="46084CE9"/>
    <w:rsid w:val="46142B1B"/>
    <w:rsid w:val="461D3BE5"/>
    <w:rsid w:val="46843C64"/>
    <w:rsid w:val="46DC75FC"/>
    <w:rsid w:val="47010CEE"/>
    <w:rsid w:val="474A6C5C"/>
    <w:rsid w:val="47790113"/>
    <w:rsid w:val="478C2F7C"/>
    <w:rsid w:val="47E60DD0"/>
    <w:rsid w:val="482E20D9"/>
    <w:rsid w:val="48403BBB"/>
    <w:rsid w:val="486F508E"/>
    <w:rsid w:val="48735039"/>
    <w:rsid w:val="48950423"/>
    <w:rsid w:val="490B41C9"/>
    <w:rsid w:val="49206844"/>
    <w:rsid w:val="492C684B"/>
    <w:rsid w:val="4939352B"/>
    <w:rsid w:val="493C25D4"/>
    <w:rsid w:val="49500594"/>
    <w:rsid w:val="499A554C"/>
    <w:rsid w:val="49B44860"/>
    <w:rsid w:val="49E7604E"/>
    <w:rsid w:val="4A394D65"/>
    <w:rsid w:val="4A6F3202"/>
    <w:rsid w:val="4ABD7744"/>
    <w:rsid w:val="4ADB1FE2"/>
    <w:rsid w:val="4B5A1437"/>
    <w:rsid w:val="4BCD7E5B"/>
    <w:rsid w:val="4BF67CDD"/>
    <w:rsid w:val="4C0050B1"/>
    <w:rsid w:val="4C3E48B5"/>
    <w:rsid w:val="4C5D7084"/>
    <w:rsid w:val="4CF11927"/>
    <w:rsid w:val="4D173441"/>
    <w:rsid w:val="4D603DD6"/>
    <w:rsid w:val="4D662EC8"/>
    <w:rsid w:val="4DD06F5A"/>
    <w:rsid w:val="4DD759DD"/>
    <w:rsid w:val="4DE06BF3"/>
    <w:rsid w:val="4E355844"/>
    <w:rsid w:val="4E616639"/>
    <w:rsid w:val="4E9023FA"/>
    <w:rsid w:val="4EAC01FC"/>
    <w:rsid w:val="4EBF010F"/>
    <w:rsid w:val="4F273CDD"/>
    <w:rsid w:val="4F297DA0"/>
    <w:rsid w:val="4F302BDB"/>
    <w:rsid w:val="4F363A4C"/>
    <w:rsid w:val="4F455F5A"/>
    <w:rsid w:val="4F471EB0"/>
    <w:rsid w:val="4F7F35E3"/>
    <w:rsid w:val="4F822284"/>
    <w:rsid w:val="50057AD7"/>
    <w:rsid w:val="50127194"/>
    <w:rsid w:val="508E35E2"/>
    <w:rsid w:val="50F10148"/>
    <w:rsid w:val="50F87264"/>
    <w:rsid w:val="50F9524E"/>
    <w:rsid w:val="510065DD"/>
    <w:rsid w:val="51331326"/>
    <w:rsid w:val="516E79EA"/>
    <w:rsid w:val="51740A7F"/>
    <w:rsid w:val="51A5541E"/>
    <w:rsid w:val="51A90A23"/>
    <w:rsid w:val="51C4585C"/>
    <w:rsid w:val="51C96242"/>
    <w:rsid w:val="520E360D"/>
    <w:rsid w:val="52B16035"/>
    <w:rsid w:val="52B86EDC"/>
    <w:rsid w:val="5305612D"/>
    <w:rsid w:val="5373704B"/>
    <w:rsid w:val="53851CAE"/>
    <w:rsid w:val="53906AE1"/>
    <w:rsid w:val="539C2597"/>
    <w:rsid w:val="53B60EF4"/>
    <w:rsid w:val="53BF452D"/>
    <w:rsid w:val="54520EFE"/>
    <w:rsid w:val="54837309"/>
    <w:rsid w:val="54D933CD"/>
    <w:rsid w:val="54F46F60"/>
    <w:rsid w:val="55432F3C"/>
    <w:rsid w:val="554A7E27"/>
    <w:rsid w:val="556E4760"/>
    <w:rsid w:val="559748DE"/>
    <w:rsid w:val="55A37BEA"/>
    <w:rsid w:val="55D87B28"/>
    <w:rsid w:val="56362CD2"/>
    <w:rsid w:val="563A0BCB"/>
    <w:rsid w:val="569B57B7"/>
    <w:rsid w:val="56B33A45"/>
    <w:rsid w:val="56F9104F"/>
    <w:rsid w:val="576D275C"/>
    <w:rsid w:val="5784687B"/>
    <w:rsid w:val="57846959"/>
    <w:rsid w:val="578E6A87"/>
    <w:rsid w:val="57947A7F"/>
    <w:rsid w:val="57A85E56"/>
    <w:rsid w:val="57C77E54"/>
    <w:rsid w:val="58276B45"/>
    <w:rsid w:val="583C27EC"/>
    <w:rsid w:val="585316E8"/>
    <w:rsid w:val="589D05C0"/>
    <w:rsid w:val="595B4DDB"/>
    <w:rsid w:val="59A55F73"/>
    <w:rsid w:val="59C57341"/>
    <w:rsid w:val="59C60849"/>
    <w:rsid w:val="59DE15D9"/>
    <w:rsid w:val="59E468DC"/>
    <w:rsid w:val="5A286041"/>
    <w:rsid w:val="5A8A5E0B"/>
    <w:rsid w:val="5AA30F9C"/>
    <w:rsid w:val="5AC2203A"/>
    <w:rsid w:val="5AF2003F"/>
    <w:rsid w:val="5B5437AD"/>
    <w:rsid w:val="5B5A0A47"/>
    <w:rsid w:val="5B8C73EB"/>
    <w:rsid w:val="5BA1635B"/>
    <w:rsid w:val="5BBEB54C"/>
    <w:rsid w:val="5BF07EDE"/>
    <w:rsid w:val="5BFB477B"/>
    <w:rsid w:val="5C3D2493"/>
    <w:rsid w:val="5C967DF5"/>
    <w:rsid w:val="5C983B6D"/>
    <w:rsid w:val="5CBB3334"/>
    <w:rsid w:val="5CDF29EC"/>
    <w:rsid w:val="5D115FAF"/>
    <w:rsid w:val="5D5932FD"/>
    <w:rsid w:val="5D6F2744"/>
    <w:rsid w:val="5D9F0F2C"/>
    <w:rsid w:val="5DDC7DBD"/>
    <w:rsid w:val="5E084D23"/>
    <w:rsid w:val="5E135BA1"/>
    <w:rsid w:val="5EC7698C"/>
    <w:rsid w:val="5EF42F00"/>
    <w:rsid w:val="5F3538F6"/>
    <w:rsid w:val="5F406A61"/>
    <w:rsid w:val="5F5024DD"/>
    <w:rsid w:val="5F6563E4"/>
    <w:rsid w:val="5FA01A76"/>
    <w:rsid w:val="5FA479F8"/>
    <w:rsid w:val="5FB962D5"/>
    <w:rsid w:val="601C72AA"/>
    <w:rsid w:val="6076029B"/>
    <w:rsid w:val="610E2650"/>
    <w:rsid w:val="618648DC"/>
    <w:rsid w:val="61AE5C1B"/>
    <w:rsid w:val="61B00709"/>
    <w:rsid w:val="62724E26"/>
    <w:rsid w:val="62811722"/>
    <w:rsid w:val="62A414BE"/>
    <w:rsid w:val="62B97141"/>
    <w:rsid w:val="62E75A72"/>
    <w:rsid w:val="62EC5F5D"/>
    <w:rsid w:val="637E55AF"/>
    <w:rsid w:val="63E1404C"/>
    <w:rsid w:val="63F42CF6"/>
    <w:rsid w:val="643C74D4"/>
    <w:rsid w:val="64571880"/>
    <w:rsid w:val="649125B6"/>
    <w:rsid w:val="65130235"/>
    <w:rsid w:val="652C7549"/>
    <w:rsid w:val="652F4C1A"/>
    <w:rsid w:val="653351B5"/>
    <w:rsid w:val="65347477"/>
    <w:rsid w:val="65646CE3"/>
    <w:rsid w:val="65A43583"/>
    <w:rsid w:val="65D9477D"/>
    <w:rsid w:val="661C433E"/>
    <w:rsid w:val="66263F98"/>
    <w:rsid w:val="66416DB6"/>
    <w:rsid w:val="66442670"/>
    <w:rsid w:val="666D37F1"/>
    <w:rsid w:val="66BB6DD6"/>
    <w:rsid w:val="66EE387A"/>
    <w:rsid w:val="66FA4F10"/>
    <w:rsid w:val="67000C8D"/>
    <w:rsid w:val="67026D9F"/>
    <w:rsid w:val="67087D8F"/>
    <w:rsid w:val="671F687E"/>
    <w:rsid w:val="673F7A07"/>
    <w:rsid w:val="676A489C"/>
    <w:rsid w:val="679B18D6"/>
    <w:rsid w:val="67AE2497"/>
    <w:rsid w:val="67D0240D"/>
    <w:rsid w:val="67F415F8"/>
    <w:rsid w:val="67F56318"/>
    <w:rsid w:val="682640D1"/>
    <w:rsid w:val="684B73E5"/>
    <w:rsid w:val="68B27D65"/>
    <w:rsid w:val="68C41053"/>
    <w:rsid w:val="68F0088D"/>
    <w:rsid w:val="68F41BF5"/>
    <w:rsid w:val="69224EEB"/>
    <w:rsid w:val="6941314D"/>
    <w:rsid w:val="694E5B74"/>
    <w:rsid w:val="69E55F18"/>
    <w:rsid w:val="6A047A2A"/>
    <w:rsid w:val="6A205B8C"/>
    <w:rsid w:val="6A4946F9"/>
    <w:rsid w:val="6A4A3798"/>
    <w:rsid w:val="6A505A87"/>
    <w:rsid w:val="6AB308CC"/>
    <w:rsid w:val="6AFE54E3"/>
    <w:rsid w:val="6B793488"/>
    <w:rsid w:val="6B7B4D86"/>
    <w:rsid w:val="6BBD4444"/>
    <w:rsid w:val="6BCA74BB"/>
    <w:rsid w:val="6C280D08"/>
    <w:rsid w:val="6C924135"/>
    <w:rsid w:val="6C9854C4"/>
    <w:rsid w:val="6CE9675F"/>
    <w:rsid w:val="6D952FAC"/>
    <w:rsid w:val="6DA56D07"/>
    <w:rsid w:val="6DE50BDD"/>
    <w:rsid w:val="6E535B46"/>
    <w:rsid w:val="6E63417D"/>
    <w:rsid w:val="6E893F10"/>
    <w:rsid w:val="6EDF387E"/>
    <w:rsid w:val="6EDF562C"/>
    <w:rsid w:val="6EFB7548"/>
    <w:rsid w:val="6F3831C3"/>
    <w:rsid w:val="6F5778B8"/>
    <w:rsid w:val="6F773AB6"/>
    <w:rsid w:val="6F8B71C1"/>
    <w:rsid w:val="6FA7614A"/>
    <w:rsid w:val="6FD37650"/>
    <w:rsid w:val="6FD902CD"/>
    <w:rsid w:val="6FF90FAE"/>
    <w:rsid w:val="7004359C"/>
    <w:rsid w:val="70117A67"/>
    <w:rsid w:val="70515E8C"/>
    <w:rsid w:val="706B361B"/>
    <w:rsid w:val="70753482"/>
    <w:rsid w:val="707B522A"/>
    <w:rsid w:val="713F6856"/>
    <w:rsid w:val="716342F2"/>
    <w:rsid w:val="71AA0173"/>
    <w:rsid w:val="727B1B10"/>
    <w:rsid w:val="728A58AF"/>
    <w:rsid w:val="728D1282"/>
    <w:rsid w:val="72EE05EF"/>
    <w:rsid w:val="7309711B"/>
    <w:rsid w:val="73194D05"/>
    <w:rsid w:val="73386BBC"/>
    <w:rsid w:val="73463AA0"/>
    <w:rsid w:val="73682094"/>
    <w:rsid w:val="737547B1"/>
    <w:rsid w:val="73922C6D"/>
    <w:rsid w:val="73A83B0E"/>
    <w:rsid w:val="73DA28B0"/>
    <w:rsid w:val="740D49E9"/>
    <w:rsid w:val="74103FA1"/>
    <w:rsid w:val="744D3EF9"/>
    <w:rsid w:val="745C4453"/>
    <w:rsid w:val="74794411"/>
    <w:rsid w:val="74956EB9"/>
    <w:rsid w:val="75151DA7"/>
    <w:rsid w:val="755C3532"/>
    <w:rsid w:val="756E3266"/>
    <w:rsid w:val="75867C40"/>
    <w:rsid w:val="75B10B26"/>
    <w:rsid w:val="75E11C8A"/>
    <w:rsid w:val="762223D2"/>
    <w:rsid w:val="76432199"/>
    <w:rsid w:val="768D3BBF"/>
    <w:rsid w:val="769F6AF0"/>
    <w:rsid w:val="76BF279D"/>
    <w:rsid w:val="76F44829"/>
    <w:rsid w:val="77147D59"/>
    <w:rsid w:val="779C230C"/>
    <w:rsid w:val="77A17922"/>
    <w:rsid w:val="77A267C0"/>
    <w:rsid w:val="77EF002E"/>
    <w:rsid w:val="78341C1E"/>
    <w:rsid w:val="78541FB3"/>
    <w:rsid w:val="78882278"/>
    <w:rsid w:val="78B118A6"/>
    <w:rsid w:val="78C23FF4"/>
    <w:rsid w:val="78C81121"/>
    <w:rsid w:val="79135044"/>
    <w:rsid w:val="791D122B"/>
    <w:rsid w:val="794C7D62"/>
    <w:rsid w:val="79915775"/>
    <w:rsid w:val="799A0ACD"/>
    <w:rsid w:val="79EC0EE6"/>
    <w:rsid w:val="7A574C10"/>
    <w:rsid w:val="7A634C39"/>
    <w:rsid w:val="7A7D0F99"/>
    <w:rsid w:val="7B281DC8"/>
    <w:rsid w:val="7B2C39A7"/>
    <w:rsid w:val="7B8164F3"/>
    <w:rsid w:val="7BEC1388"/>
    <w:rsid w:val="7C4A67DB"/>
    <w:rsid w:val="7C633ADA"/>
    <w:rsid w:val="7C885555"/>
    <w:rsid w:val="7C8B1A35"/>
    <w:rsid w:val="7C945CA8"/>
    <w:rsid w:val="7CA67789"/>
    <w:rsid w:val="7CAA7279"/>
    <w:rsid w:val="7CC47165"/>
    <w:rsid w:val="7CCF6CE0"/>
    <w:rsid w:val="7D753737"/>
    <w:rsid w:val="7D834B6D"/>
    <w:rsid w:val="7E4A0E7C"/>
    <w:rsid w:val="7E6D09FF"/>
    <w:rsid w:val="7E8835EA"/>
    <w:rsid w:val="7ED00AED"/>
    <w:rsid w:val="7EE73EE2"/>
    <w:rsid w:val="7EEE55F3"/>
    <w:rsid w:val="7EFD449D"/>
    <w:rsid w:val="7F076C05"/>
    <w:rsid w:val="7F876D80"/>
    <w:rsid w:val="7FA601B3"/>
    <w:rsid w:val="7FB81CAD"/>
    <w:rsid w:val="7FC44AF6"/>
    <w:rsid w:val="7FFFF898"/>
    <w:rsid w:val="BAD879B1"/>
    <w:rsid w:val="BFBAFE98"/>
    <w:rsid w:val="EBBFD8CE"/>
    <w:rsid w:val="EBFF8171"/>
    <w:rsid w:val="F9DFB7E1"/>
    <w:rsid w:val="FCC7D7F1"/>
    <w:rsid w:val="FFD41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 w:type="paragraph" w:customStyle="1" w:styleId="19">
    <w:name w:val="正文首行缩进1"/>
    <w:basedOn w:val="2"/>
    <w:qFormat/>
    <w:uiPriority w:val="0"/>
    <w:pPr>
      <w:ind w:firstLine="420" w:firstLineChars="1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34</Pages>
  <Words>9145</Words>
  <Characters>11364</Characters>
  <Lines>97</Lines>
  <Paragraphs>27</Paragraphs>
  <TotalTime>66</TotalTime>
  <ScaleCrop>false</ScaleCrop>
  <LinksUpToDate>false</LinksUpToDate>
  <CharactersWithSpaces>11609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2007-12-01T19:41:00Z</dcterms:created>
  <dc:creator>管理者</dc:creator>
  <cp:lastModifiedBy>huanghe</cp:lastModifiedBy>
  <cp:lastPrinted>2023-05-10T19:05:00Z</cp:lastPrinted>
  <dcterms:modified xsi:type="dcterms:W3CDTF">2023-05-11T10:00:57Z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5C227E3955D54B1EAEBC3113A6618A6D</vt:lpwstr>
  </property>
</Properties>
</file>