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lang w:eastAsia="zh-CN"/>
        </w:rPr>
      </w:pPr>
      <w:r>
        <w:rPr>
          <w:rFonts w:hint="eastAsia" w:ascii="黑体" w:hAnsi="黑体" w:eastAsia="黑体" w:cs="黑体"/>
          <w:sz w:val="52"/>
          <w:szCs w:val="52"/>
          <w:highlight w:val="none"/>
          <w:lang w:eastAsia="zh-CN"/>
        </w:rPr>
        <w:t>许昌市人民代表大会常务委员会</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部门决算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许昌市人民代表大会常务委员会</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部门职责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2021年度部门决算表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ascii="黑体" w:hAnsi="黑体" w:eastAsia="黑体" w:cs="黑体"/>
          <w:sz w:val="32"/>
          <w:szCs w:val="32"/>
          <w:highlight w:val="none"/>
        </w:rPr>
        <w:t>部门</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lang w:eastAsia="zh-CN"/>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eastAsia="zh-CN"/>
        </w:rPr>
        <w:t>许昌市人民代表大会</w:t>
      </w:r>
    </w:p>
    <w:p>
      <w:pPr>
        <w:widowControl/>
        <w:jc w:val="center"/>
        <w:outlineLvl w:val="0"/>
        <w:rPr>
          <w:rFonts w:hint="eastAsia" w:ascii="黑体" w:hAnsi="宋体" w:eastAsia="黑体" w:cs="宋体"/>
          <w:kern w:val="0"/>
          <w:sz w:val="28"/>
          <w:szCs w:val="28"/>
          <w:highlight w:val="none"/>
        </w:rPr>
      </w:pPr>
      <w:r>
        <w:rPr>
          <w:rFonts w:hint="default" w:ascii="黑体" w:hAnsi="黑体" w:eastAsia="黑体" w:cs="黑体"/>
          <w:sz w:val="48"/>
          <w:szCs w:val="48"/>
          <w:highlight w:val="none"/>
          <w:lang w:val="en" w:eastAsia="zh-CN"/>
        </w:rPr>
        <w:t xml:space="preserve">         </w:t>
      </w:r>
      <w:r>
        <w:rPr>
          <w:rFonts w:hint="eastAsia" w:ascii="黑体" w:hAnsi="黑体" w:eastAsia="黑体" w:cs="黑体"/>
          <w:sz w:val="48"/>
          <w:szCs w:val="48"/>
          <w:highlight w:val="none"/>
          <w:lang w:eastAsia="zh-CN"/>
        </w:rPr>
        <w:t>常务委员会</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一、部门</w:t>
      </w:r>
      <w:r>
        <w:rPr>
          <w:rFonts w:hint="eastAsia" w:ascii="黑体" w:hAnsi="黑体" w:eastAsia="黑体" w:cs="黑体"/>
          <w:bCs/>
          <w:sz w:val="32"/>
          <w:szCs w:val="32"/>
          <w:highlight w:val="none"/>
        </w:rPr>
        <w:t>职责</w:t>
      </w:r>
    </w:p>
    <w:p>
      <w:pPr>
        <w:numPr>
          <w:ilvl w:val="0"/>
          <w:numId w:val="0"/>
        </w:numPr>
        <w:spacing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保证宪法、法律、法规和决议、决定在本行政区域内的遵守和执行；</w:t>
      </w:r>
    </w:p>
    <w:p>
      <w:pPr>
        <w:numPr>
          <w:ilvl w:val="0"/>
          <w:numId w:val="0"/>
        </w:numPr>
        <w:spacing w:line="336" w:lineRule="auto"/>
        <w:ind w:firstLine="640" w:firstLineChars="200"/>
        <w:rPr>
          <w:rFonts w:hint="eastAsia" w:ascii="仿宋" w:hAnsi="仿宋" w:eastAsia="仿宋" w:cs="仿宋"/>
          <w:sz w:val="32"/>
          <w:szCs w:val="32"/>
        </w:rPr>
      </w:pPr>
      <w:r>
        <w:rPr>
          <w:rFonts w:hint="eastAsia" w:ascii="仿宋" w:hAnsi="仿宋" w:eastAsia="仿宋" w:cs="仿宋"/>
          <w:b w:val="0"/>
          <w:bCs w:val="0"/>
          <w:sz w:val="32"/>
          <w:szCs w:val="32"/>
          <w:lang w:val="en-US" w:eastAsia="zh-CN"/>
        </w:rPr>
        <w:t>（二）</w:t>
      </w:r>
      <w:r>
        <w:rPr>
          <w:rFonts w:hint="eastAsia" w:ascii="仿宋" w:hAnsi="仿宋" w:eastAsia="仿宋" w:cs="仿宋"/>
          <w:sz w:val="32"/>
          <w:szCs w:val="32"/>
        </w:rPr>
        <w:t>讨论决定本行政区域内的重大事项；</w:t>
      </w:r>
    </w:p>
    <w:p>
      <w:pPr>
        <w:spacing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选举和罢免本级国家机构组成人员；</w:t>
      </w:r>
    </w:p>
    <w:p>
      <w:pPr>
        <w:spacing w:line="336" w:lineRule="auto"/>
        <w:ind w:firstLine="640" w:firstLineChars="200"/>
        <w:rPr>
          <w:rFonts w:hint="eastAsia" w:ascii="仿宋_GB2312" w:hAnsi="宋体" w:eastAsia="仿宋_GB2312" w:cs="宋体"/>
          <w:kern w:val="0"/>
          <w:sz w:val="32"/>
          <w:szCs w:val="32"/>
          <w:highlight w:val="none"/>
          <w:lang w:eastAsia="zh-CN"/>
        </w:rPr>
      </w:pPr>
      <w:r>
        <w:rPr>
          <w:rFonts w:hint="eastAsia" w:ascii="仿宋" w:hAnsi="仿宋" w:eastAsia="仿宋" w:cs="仿宋"/>
          <w:sz w:val="32"/>
          <w:szCs w:val="32"/>
          <w:lang w:eastAsia="zh-CN"/>
        </w:rPr>
        <w:t>（四）</w:t>
      </w:r>
      <w:r>
        <w:rPr>
          <w:rFonts w:hint="eastAsia" w:ascii="仿宋" w:hAnsi="仿宋" w:eastAsia="仿宋" w:cs="仿宋"/>
          <w:sz w:val="32"/>
          <w:szCs w:val="32"/>
        </w:rPr>
        <w:t>对“一府</w:t>
      </w:r>
      <w:r>
        <w:rPr>
          <w:rFonts w:hint="eastAsia" w:ascii="仿宋" w:hAnsi="仿宋" w:eastAsia="仿宋" w:cs="仿宋"/>
          <w:sz w:val="32"/>
          <w:szCs w:val="32"/>
          <w:lang w:eastAsia="zh-CN"/>
        </w:rPr>
        <w:t>一委</w:t>
      </w:r>
      <w:r>
        <w:rPr>
          <w:rFonts w:hint="eastAsia" w:ascii="仿宋" w:hAnsi="仿宋" w:eastAsia="仿宋" w:cs="仿宋"/>
          <w:sz w:val="32"/>
          <w:szCs w:val="32"/>
        </w:rPr>
        <w:t>两院”实行监督</w:t>
      </w:r>
      <w:r>
        <w:rPr>
          <w:rFonts w:hint="eastAsia" w:ascii="仿宋_GB2312" w:hAnsi="宋体" w:eastAsia="仿宋_GB2312" w:cs="宋体"/>
          <w:kern w:val="0"/>
          <w:sz w:val="32"/>
          <w:szCs w:val="32"/>
          <w:highlight w:val="none"/>
          <w:lang w:eastAsia="zh-CN"/>
        </w:rPr>
        <w:t>。</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both"/>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sz w:val="32"/>
          <w:szCs w:val="32"/>
          <w:lang w:eastAsia="zh-CN"/>
        </w:rPr>
        <w:t>许昌市人民代表大会常务委员会</w:t>
      </w:r>
      <w:r>
        <w:rPr>
          <w:rFonts w:hint="eastAsia" w:ascii="仿宋_GB2312" w:hAnsi="仿宋_GB2312" w:eastAsia="仿宋_GB2312" w:cs="仿宋_GB2312"/>
          <w:color w:val="auto"/>
          <w:kern w:val="0"/>
          <w:sz w:val="32"/>
          <w:szCs w:val="32"/>
          <w:highlight w:val="none"/>
          <w:lang w:val="en-US" w:eastAsia="zh-CN"/>
        </w:rPr>
        <w:t>内设机构11个，包括：</w:t>
      </w:r>
      <w:r>
        <w:rPr>
          <w:rFonts w:hint="eastAsia" w:ascii="仿宋_GB2312" w:hAnsi="仿宋_GB2312" w:eastAsia="仿宋_GB2312" w:cs="仿宋_GB2312"/>
          <w:sz w:val="32"/>
          <w:szCs w:val="32"/>
          <w:lang w:eastAsia="zh-CN"/>
        </w:rPr>
        <w:t>办公室、调研室、信访办、财政经济工作委员会、内务司法工作委员会、农村工作委员会、教育科学文化卫生工作委员会、城乡建设环境保护工作委员会、选举任免代表联络工作委员会、预算工作委员会、法制工作委员会。另设有许昌市人大常委会机关信息化和服务保障中心和许昌市人大代表联络服务中心</w:t>
      </w:r>
      <w:r>
        <w:rPr>
          <w:rFonts w:hint="eastAsia" w:ascii="仿宋_GB2312" w:hAnsi="仿宋_GB2312" w:eastAsia="仿宋_GB2312" w:cs="仿宋_GB2312"/>
          <w:sz w:val="32"/>
          <w:szCs w:val="32"/>
          <w:lang w:val="en-US" w:eastAsia="zh-CN"/>
        </w:rPr>
        <w:t>2个正科级事业单位，未独立编制预决算。</w:t>
      </w:r>
    </w:p>
    <w:p>
      <w:pPr>
        <w:widowControl/>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从决算单位构成看，许昌市人民代表大会常务委员会部</w:t>
      </w:r>
      <w:r>
        <w:rPr>
          <w:rFonts w:hint="eastAsia" w:ascii="仿宋_GB2312" w:hAnsi="仿宋_GB2312" w:eastAsia="仿宋_GB2312" w:cs="仿宋_GB2312"/>
          <w:sz w:val="32"/>
          <w:szCs w:val="32"/>
          <w:lang w:val="en-US" w:eastAsia="zh-CN"/>
        </w:rPr>
        <w:t>门决算包括：本级决算（1个）。</w:t>
      </w:r>
    </w:p>
    <w:p>
      <w:pPr>
        <w:widowControl/>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kern w:val="0"/>
          <w:sz w:val="32"/>
          <w:szCs w:val="32"/>
          <w:highlight w:val="none"/>
          <w:lang w:val="en-US" w:eastAsia="zh-CN"/>
        </w:rPr>
        <w:t>本决算为汇总决算，纳入本部门2021年度部门决算编制范围的单位共1个，</w:t>
      </w:r>
      <w:r>
        <w:rPr>
          <w:rFonts w:hint="eastAsia" w:ascii="仿宋_GB2312" w:hAnsi="仿宋_GB2312" w:eastAsia="仿宋_GB2312" w:cs="仿宋_GB2312"/>
          <w:sz w:val="32"/>
          <w:szCs w:val="32"/>
          <w:lang w:val="en-US" w:eastAsia="zh-CN"/>
        </w:rPr>
        <w:t>具体是：</w:t>
      </w:r>
    </w:p>
    <w:p>
      <w:pPr>
        <w:widowControl/>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许昌市人民代表大会常务委员会（核算包括许昌市人大常委会机关信息化和服务保障中心和许昌市人大代表联络服务中心的预算资金）</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黑体" w:hAnsi="黑体" w:eastAsia="黑体" w:cs="黑体"/>
          <w:sz w:val="48"/>
          <w:szCs w:val="48"/>
          <w:highlight w:val="none"/>
        </w:rPr>
        <w:t>第二部分  2021年度部门决算表</w:t>
      </w:r>
    </w:p>
    <w:p>
      <w:pPr>
        <w:rPr>
          <w:rFonts w:hint="eastAsia" w:ascii="仿宋_GB2312" w:hAnsi="仿宋_GB2312" w:eastAsia="仿宋_GB2312" w:cs="仿宋_GB2312"/>
          <w:sz w:val="32"/>
          <w:szCs w:val="32"/>
          <w:highlight w:val="none"/>
        </w:rPr>
      </w:pPr>
    </w:p>
    <w:tbl>
      <w:tblPr>
        <w:tblStyle w:val="6"/>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20"/>
        <w:gridCol w:w="829"/>
        <w:gridCol w:w="1385"/>
        <w:gridCol w:w="4442"/>
        <w:gridCol w:w="829"/>
        <w:gridCol w:w="18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部门：许昌市人民代表大会常务委员会</w:t>
            </w: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1,915.47</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FFFFFF"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FFFFFF"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FFFFFF"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FFFFFF"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FFFFFF"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FFFFFF"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FFFFFF"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FFFFFF"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FFFFFF"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295.93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FFFFFF"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FFFFFF"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FFFFFF"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FFFFFF"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FFFFFF"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FFFFFF"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FFFFFF"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FFFFFF"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FFFFFF"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FFFFFF"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FFFFFF"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FFFFFF"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FFFFFF"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FFFFFF"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FFFFFF"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FFFFFF"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FFFFFF"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FFFFFF"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FFFFFF"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FFFFFF"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FFFFFF"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FFFFFF"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FFFFFF"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FFFFFF"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FFFFFF"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FFFFFF"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FFFFFF"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FFFFFF"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FFFFFF"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FFFFFF"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FFFFFF"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FFFFFF"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FFFFFF"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FFFFFF"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FFFFFF"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1,915.47</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FFFFFF"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FFFFFF"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194.54</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FFFFFF"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FFFFFF"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FFFFFF"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2,110.01</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6"/>
        <w:tblW w:w="1397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16"/>
        <w:gridCol w:w="3989"/>
        <w:gridCol w:w="1602"/>
        <w:gridCol w:w="1142"/>
        <w:gridCol w:w="1176"/>
        <w:gridCol w:w="887"/>
        <w:gridCol w:w="869"/>
        <w:gridCol w:w="1449"/>
        <w:gridCol w:w="12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74"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605" w:type="dxa"/>
            <w:gridSpan w:val="2"/>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602"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142"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5625" w:type="dxa"/>
            <w:gridSpan w:val="5"/>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605" w:type="dxa"/>
            <w:gridSpan w:val="2"/>
            <w:tcBorders>
              <w:top w:val="nil"/>
              <w:left w:val="nil"/>
              <w:bottom w:val="nil"/>
              <w:right w:val="nil"/>
            </w:tcBorders>
            <w:noWrap/>
            <w:vAlign w:val="bottom"/>
          </w:tcPr>
          <w:p>
            <w:pPr>
              <w:rPr>
                <w:rFonts w:hint="default" w:ascii="Arial" w:hAnsi="Arial" w:cs="Arial"/>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部门：许昌市人民代表大会常务委员会</w:t>
            </w:r>
          </w:p>
        </w:tc>
        <w:tc>
          <w:tcPr>
            <w:tcW w:w="1602"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142"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17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4449" w:type="dxa"/>
            <w:gridSpan w:val="4"/>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6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0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14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17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88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86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44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24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989"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0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8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6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4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989"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60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8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6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4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989"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60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8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6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4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605"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60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4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7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6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4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4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605"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1,915.47</w:t>
            </w:r>
          </w:p>
        </w:tc>
        <w:tc>
          <w:tcPr>
            <w:tcW w:w="114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1,915.47</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8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8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4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2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9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1,569.69</w:t>
            </w:r>
          </w:p>
        </w:tc>
        <w:tc>
          <w:tcPr>
            <w:tcW w:w="114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1,569.69</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w:t>
            </w:r>
          </w:p>
        </w:tc>
        <w:tc>
          <w:tcPr>
            <w:tcW w:w="39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人大事务</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1,563.83</w:t>
            </w:r>
          </w:p>
        </w:tc>
        <w:tc>
          <w:tcPr>
            <w:tcW w:w="114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1,563.83</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2010101</w:t>
            </w:r>
          </w:p>
        </w:tc>
        <w:tc>
          <w:tcPr>
            <w:tcW w:w="39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1,249.08</w:t>
            </w:r>
          </w:p>
        </w:tc>
        <w:tc>
          <w:tcPr>
            <w:tcW w:w="114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1,249.08</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2010102</w:t>
            </w:r>
          </w:p>
        </w:tc>
        <w:tc>
          <w:tcPr>
            <w:tcW w:w="39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293.29</w:t>
            </w:r>
          </w:p>
        </w:tc>
        <w:tc>
          <w:tcPr>
            <w:tcW w:w="114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293.29</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2010150</w:t>
            </w:r>
          </w:p>
        </w:tc>
        <w:tc>
          <w:tcPr>
            <w:tcW w:w="39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15.05</w:t>
            </w:r>
          </w:p>
        </w:tc>
        <w:tc>
          <w:tcPr>
            <w:tcW w:w="114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15.05</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2010199</w:t>
            </w:r>
          </w:p>
        </w:tc>
        <w:tc>
          <w:tcPr>
            <w:tcW w:w="39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其他人大事务支出</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6.41</w:t>
            </w:r>
          </w:p>
        </w:tc>
        <w:tc>
          <w:tcPr>
            <w:tcW w:w="114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6.41</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9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5.86</w:t>
            </w:r>
          </w:p>
        </w:tc>
        <w:tc>
          <w:tcPr>
            <w:tcW w:w="114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5.86</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39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5.86</w:t>
            </w:r>
          </w:p>
        </w:tc>
        <w:tc>
          <w:tcPr>
            <w:tcW w:w="114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5.86</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9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277.75</w:t>
            </w:r>
          </w:p>
        </w:tc>
        <w:tc>
          <w:tcPr>
            <w:tcW w:w="114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277.75</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9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273.31</w:t>
            </w:r>
          </w:p>
        </w:tc>
        <w:tc>
          <w:tcPr>
            <w:tcW w:w="114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273.31</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39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205.33</w:t>
            </w:r>
          </w:p>
        </w:tc>
        <w:tc>
          <w:tcPr>
            <w:tcW w:w="114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205.33</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9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67.99</w:t>
            </w:r>
          </w:p>
        </w:tc>
        <w:tc>
          <w:tcPr>
            <w:tcW w:w="114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67.99</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w:t>
            </w:r>
          </w:p>
        </w:tc>
        <w:tc>
          <w:tcPr>
            <w:tcW w:w="39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临时救助</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4.44</w:t>
            </w:r>
          </w:p>
        </w:tc>
        <w:tc>
          <w:tcPr>
            <w:tcW w:w="114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4.44</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2082001</w:t>
            </w:r>
          </w:p>
        </w:tc>
        <w:tc>
          <w:tcPr>
            <w:tcW w:w="39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临时救助支出</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4.44</w:t>
            </w:r>
          </w:p>
        </w:tc>
        <w:tc>
          <w:tcPr>
            <w:tcW w:w="114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4.44</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9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68.03</w:t>
            </w:r>
          </w:p>
        </w:tc>
        <w:tc>
          <w:tcPr>
            <w:tcW w:w="114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68.03</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9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68.03</w:t>
            </w:r>
          </w:p>
        </w:tc>
        <w:tc>
          <w:tcPr>
            <w:tcW w:w="114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68.03</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39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31.35</w:t>
            </w:r>
          </w:p>
        </w:tc>
        <w:tc>
          <w:tcPr>
            <w:tcW w:w="114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31.35</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39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3.67</w:t>
            </w:r>
          </w:p>
        </w:tc>
        <w:tc>
          <w:tcPr>
            <w:tcW w:w="114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3.67</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39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33.01</w:t>
            </w:r>
          </w:p>
        </w:tc>
        <w:tc>
          <w:tcPr>
            <w:tcW w:w="114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33.01</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74"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6"/>
        <w:tblW w:w="1377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738"/>
        <w:gridCol w:w="3009"/>
        <w:gridCol w:w="1585"/>
        <w:gridCol w:w="1330"/>
        <w:gridCol w:w="1142"/>
        <w:gridCol w:w="925"/>
        <w:gridCol w:w="882"/>
        <w:gridCol w:w="1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771" w:type="dxa"/>
            <w:gridSpan w:val="8"/>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747" w:type="dxa"/>
            <w:gridSpan w:val="2"/>
            <w:tcBorders>
              <w:top w:val="nil"/>
              <w:left w:val="nil"/>
              <w:bottom w:val="nil"/>
              <w:right w:val="nil"/>
            </w:tcBorders>
            <w:noWrap/>
            <w:vAlign w:val="bottom"/>
          </w:tcPr>
          <w:p>
            <w:pPr>
              <w:keepNext w:val="0"/>
              <w:keepLines w:val="0"/>
              <w:widowControl/>
              <w:suppressLineNumbers w:val="0"/>
              <w:jc w:val="left"/>
              <w:textAlignment w:val="bottom"/>
              <w:rPr>
                <w:rFonts w:hint="default" w:ascii="宋体" w:hAnsi="宋体" w:eastAsia="宋体" w:cs="宋体"/>
                <w:i w:val="0"/>
                <w:iCs w:val="0"/>
                <w:color w:val="000000"/>
                <w:kern w:val="0"/>
                <w:sz w:val="18"/>
                <w:szCs w:val="18"/>
                <w:u w:val="none"/>
                <w:lang w:val="en-US" w:eastAsia="zh-CN" w:bidi="ar"/>
              </w:rPr>
            </w:pPr>
          </w:p>
        </w:tc>
        <w:tc>
          <w:tcPr>
            <w:tcW w:w="1585" w:type="dxa"/>
            <w:tcBorders>
              <w:top w:val="nil"/>
              <w:left w:val="nil"/>
              <w:bottom w:val="nil"/>
              <w:right w:val="nil"/>
            </w:tcBorders>
            <w:noWrap/>
            <w:vAlign w:val="bottom"/>
          </w:tcPr>
          <w:p>
            <w:pPr>
              <w:keepNext w:val="0"/>
              <w:keepLines w:val="0"/>
              <w:widowControl/>
              <w:suppressLineNumbers w:val="0"/>
              <w:jc w:val="left"/>
              <w:textAlignment w:val="bottom"/>
              <w:rPr>
                <w:rFonts w:hint="default" w:ascii="宋体" w:hAnsi="宋体" w:eastAsia="宋体" w:cs="宋体"/>
                <w:i w:val="0"/>
                <w:iCs w:val="0"/>
                <w:color w:val="000000"/>
                <w:kern w:val="0"/>
                <w:sz w:val="18"/>
                <w:szCs w:val="18"/>
                <w:u w:val="none"/>
                <w:lang w:val="en-US" w:eastAsia="zh-CN" w:bidi="ar"/>
              </w:rPr>
            </w:pPr>
          </w:p>
        </w:tc>
        <w:tc>
          <w:tcPr>
            <w:tcW w:w="1330" w:type="dxa"/>
            <w:tcBorders>
              <w:top w:val="nil"/>
              <w:left w:val="nil"/>
              <w:bottom w:val="nil"/>
              <w:right w:val="nil"/>
            </w:tcBorders>
            <w:noWrap/>
            <w:vAlign w:val="bottom"/>
          </w:tcPr>
          <w:p>
            <w:pPr>
              <w:keepNext w:val="0"/>
              <w:keepLines w:val="0"/>
              <w:widowControl/>
              <w:suppressLineNumbers w:val="0"/>
              <w:jc w:val="left"/>
              <w:textAlignment w:val="bottom"/>
              <w:rPr>
                <w:rFonts w:hint="default" w:ascii="宋体" w:hAnsi="宋体" w:eastAsia="宋体" w:cs="宋体"/>
                <w:i w:val="0"/>
                <w:iCs w:val="0"/>
                <w:color w:val="000000"/>
                <w:kern w:val="0"/>
                <w:sz w:val="18"/>
                <w:szCs w:val="18"/>
                <w:u w:val="none"/>
                <w:lang w:val="en-US" w:eastAsia="zh-CN" w:bidi="ar"/>
              </w:rPr>
            </w:pPr>
          </w:p>
        </w:tc>
        <w:tc>
          <w:tcPr>
            <w:tcW w:w="1142" w:type="dxa"/>
            <w:tcBorders>
              <w:top w:val="nil"/>
              <w:left w:val="nil"/>
              <w:bottom w:val="nil"/>
              <w:right w:val="nil"/>
            </w:tcBorders>
            <w:noWrap/>
            <w:vAlign w:val="bottom"/>
          </w:tcPr>
          <w:p>
            <w:pPr>
              <w:keepNext w:val="0"/>
              <w:keepLines w:val="0"/>
              <w:widowControl/>
              <w:suppressLineNumbers w:val="0"/>
              <w:jc w:val="left"/>
              <w:textAlignment w:val="bottom"/>
              <w:rPr>
                <w:rFonts w:hint="default" w:ascii="宋体" w:hAnsi="宋体" w:eastAsia="宋体" w:cs="宋体"/>
                <w:i w:val="0"/>
                <w:iCs w:val="0"/>
                <w:color w:val="000000"/>
                <w:kern w:val="0"/>
                <w:sz w:val="18"/>
                <w:szCs w:val="18"/>
                <w:u w:val="none"/>
                <w:lang w:val="en-US" w:eastAsia="zh-CN" w:bidi="ar"/>
              </w:rPr>
            </w:pPr>
          </w:p>
        </w:tc>
        <w:tc>
          <w:tcPr>
            <w:tcW w:w="925" w:type="dxa"/>
            <w:tcBorders>
              <w:top w:val="nil"/>
              <w:left w:val="nil"/>
              <w:bottom w:val="nil"/>
              <w:right w:val="nil"/>
            </w:tcBorders>
            <w:noWrap/>
            <w:vAlign w:val="bottom"/>
          </w:tcPr>
          <w:p>
            <w:pPr>
              <w:keepNext w:val="0"/>
              <w:keepLines w:val="0"/>
              <w:widowControl/>
              <w:suppressLineNumbers w:val="0"/>
              <w:jc w:val="left"/>
              <w:textAlignment w:val="bottom"/>
              <w:rPr>
                <w:rFonts w:hint="default" w:ascii="宋体" w:hAnsi="宋体" w:eastAsia="宋体" w:cs="宋体"/>
                <w:i w:val="0"/>
                <w:iCs w:val="0"/>
                <w:color w:val="000000"/>
                <w:kern w:val="0"/>
                <w:sz w:val="18"/>
                <w:szCs w:val="18"/>
                <w:u w:val="none"/>
                <w:lang w:val="en-US" w:eastAsia="zh-CN" w:bidi="ar"/>
              </w:rPr>
            </w:pPr>
          </w:p>
        </w:tc>
        <w:tc>
          <w:tcPr>
            <w:tcW w:w="882" w:type="dxa"/>
            <w:tcBorders>
              <w:top w:val="nil"/>
              <w:left w:val="nil"/>
              <w:bottom w:val="nil"/>
              <w:right w:val="nil"/>
            </w:tcBorders>
            <w:noWrap/>
            <w:vAlign w:val="bottom"/>
          </w:tcPr>
          <w:p>
            <w:pPr>
              <w:keepNext w:val="0"/>
              <w:keepLines w:val="0"/>
              <w:widowControl/>
              <w:suppressLineNumbers w:val="0"/>
              <w:jc w:val="left"/>
              <w:textAlignment w:val="bottom"/>
              <w:rPr>
                <w:rFonts w:hint="default" w:ascii="宋体" w:hAnsi="宋体" w:eastAsia="宋体" w:cs="宋体"/>
                <w:i w:val="0"/>
                <w:iCs w:val="0"/>
                <w:color w:val="000000"/>
                <w:kern w:val="0"/>
                <w:sz w:val="18"/>
                <w:szCs w:val="18"/>
                <w:u w:val="none"/>
                <w:lang w:val="en-US" w:eastAsia="zh-CN" w:bidi="ar"/>
              </w:rPr>
            </w:pPr>
          </w:p>
        </w:tc>
        <w:tc>
          <w:tcPr>
            <w:tcW w:w="1160"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747" w:type="dxa"/>
            <w:gridSpan w:val="2"/>
            <w:tcBorders>
              <w:top w:val="nil"/>
              <w:left w:val="nil"/>
              <w:bottom w:val="nil"/>
              <w:right w:val="nil"/>
            </w:tcBorders>
            <w:noWrap/>
            <w:vAlign w:val="bottom"/>
          </w:tcPr>
          <w:p>
            <w:pPr>
              <w:keepNext w:val="0"/>
              <w:keepLines w:val="0"/>
              <w:widowControl/>
              <w:suppressLineNumbers w:val="0"/>
              <w:jc w:val="left"/>
              <w:textAlignment w:val="bottom"/>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部门：许昌市人民代表大会常务委员会</w:t>
            </w:r>
          </w:p>
        </w:tc>
        <w:tc>
          <w:tcPr>
            <w:tcW w:w="1585" w:type="dxa"/>
            <w:tcBorders>
              <w:top w:val="nil"/>
              <w:left w:val="nil"/>
              <w:bottom w:val="nil"/>
              <w:right w:val="nil"/>
            </w:tcBorders>
            <w:noWrap/>
            <w:vAlign w:val="bottom"/>
          </w:tcPr>
          <w:p>
            <w:pPr>
              <w:keepNext w:val="0"/>
              <w:keepLines w:val="0"/>
              <w:widowControl/>
              <w:suppressLineNumbers w:val="0"/>
              <w:jc w:val="left"/>
              <w:textAlignment w:val="bottom"/>
              <w:rPr>
                <w:rFonts w:hint="default" w:ascii="宋体" w:hAnsi="宋体" w:eastAsia="宋体" w:cs="宋体"/>
                <w:i w:val="0"/>
                <w:iCs w:val="0"/>
                <w:color w:val="000000"/>
                <w:kern w:val="0"/>
                <w:sz w:val="18"/>
                <w:szCs w:val="18"/>
                <w:u w:val="none"/>
                <w:lang w:val="en-US" w:eastAsia="zh-CN" w:bidi="ar"/>
              </w:rPr>
            </w:pPr>
          </w:p>
        </w:tc>
        <w:tc>
          <w:tcPr>
            <w:tcW w:w="1330" w:type="dxa"/>
            <w:tcBorders>
              <w:top w:val="nil"/>
              <w:left w:val="nil"/>
              <w:bottom w:val="nil"/>
              <w:right w:val="nil"/>
            </w:tcBorders>
            <w:noWrap/>
            <w:vAlign w:val="bottom"/>
          </w:tcPr>
          <w:p>
            <w:pPr>
              <w:keepNext w:val="0"/>
              <w:keepLines w:val="0"/>
              <w:widowControl/>
              <w:suppressLineNumbers w:val="0"/>
              <w:jc w:val="left"/>
              <w:textAlignment w:val="bottom"/>
              <w:rPr>
                <w:rFonts w:hint="default" w:ascii="宋体" w:hAnsi="宋体" w:eastAsia="宋体" w:cs="宋体"/>
                <w:i w:val="0"/>
                <w:iCs w:val="0"/>
                <w:color w:val="000000"/>
                <w:kern w:val="0"/>
                <w:sz w:val="18"/>
                <w:szCs w:val="18"/>
                <w:u w:val="none"/>
                <w:lang w:val="en-US" w:eastAsia="zh-CN" w:bidi="ar"/>
              </w:rPr>
            </w:pPr>
          </w:p>
        </w:tc>
        <w:tc>
          <w:tcPr>
            <w:tcW w:w="1142" w:type="dxa"/>
            <w:tcBorders>
              <w:top w:val="nil"/>
              <w:left w:val="nil"/>
              <w:bottom w:val="nil"/>
              <w:right w:val="nil"/>
            </w:tcBorders>
            <w:noWrap/>
            <w:vAlign w:val="bottom"/>
          </w:tcPr>
          <w:p>
            <w:pPr>
              <w:keepNext w:val="0"/>
              <w:keepLines w:val="0"/>
              <w:widowControl/>
              <w:suppressLineNumbers w:val="0"/>
              <w:jc w:val="left"/>
              <w:textAlignment w:val="bottom"/>
              <w:rPr>
                <w:rFonts w:hint="default" w:ascii="宋体" w:hAnsi="宋体" w:eastAsia="宋体" w:cs="宋体"/>
                <w:i w:val="0"/>
                <w:iCs w:val="0"/>
                <w:color w:val="000000"/>
                <w:kern w:val="0"/>
                <w:sz w:val="18"/>
                <w:szCs w:val="18"/>
                <w:u w:val="none"/>
                <w:lang w:val="en-US" w:eastAsia="zh-CN" w:bidi="ar"/>
              </w:rPr>
            </w:pPr>
          </w:p>
        </w:tc>
        <w:tc>
          <w:tcPr>
            <w:tcW w:w="925" w:type="dxa"/>
            <w:tcBorders>
              <w:top w:val="nil"/>
              <w:left w:val="nil"/>
              <w:bottom w:val="nil"/>
              <w:right w:val="nil"/>
            </w:tcBorders>
            <w:noWrap/>
            <w:vAlign w:val="bottom"/>
          </w:tcPr>
          <w:p>
            <w:pPr>
              <w:keepNext w:val="0"/>
              <w:keepLines w:val="0"/>
              <w:widowControl/>
              <w:suppressLineNumbers w:val="0"/>
              <w:jc w:val="left"/>
              <w:textAlignment w:val="bottom"/>
              <w:rPr>
                <w:rFonts w:hint="default" w:ascii="宋体" w:hAnsi="宋体" w:eastAsia="宋体" w:cs="宋体"/>
                <w:i w:val="0"/>
                <w:iCs w:val="0"/>
                <w:color w:val="000000"/>
                <w:kern w:val="0"/>
                <w:sz w:val="18"/>
                <w:szCs w:val="18"/>
                <w:u w:val="none"/>
                <w:lang w:val="en-US" w:eastAsia="zh-CN" w:bidi="ar"/>
              </w:rPr>
            </w:pPr>
          </w:p>
        </w:tc>
        <w:tc>
          <w:tcPr>
            <w:tcW w:w="2042" w:type="dxa"/>
            <w:gridSpan w:val="2"/>
            <w:tcBorders>
              <w:top w:val="nil"/>
              <w:left w:val="nil"/>
              <w:bottom w:val="nil"/>
              <w:right w:val="nil"/>
            </w:tcBorders>
            <w:noWrap/>
            <w:vAlign w:val="bottom"/>
          </w:tcPr>
          <w:p>
            <w:pPr>
              <w:keepNext w:val="0"/>
              <w:keepLines w:val="0"/>
              <w:widowControl/>
              <w:suppressLineNumbers w:val="0"/>
              <w:ind w:firstLine="540" w:firstLineChars="300"/>
              <w:jc w:val="left"/>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747"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58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33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14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92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88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16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38"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009"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8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38"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09"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8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38"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09"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8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747"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5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4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747"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2,110.01</w:t>
            </w:r>
          </w:p>
        </w:tc>
        <w:tc>
          <w:tcPr>
            <w:tcW w:w="13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1,750.40</w:t>
            </w:r>
          </w:p>
        </w:tc>
        <w:tc>
          <w:tcPr>
            <w:tcW w:w="114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359.60</w:t>
            </w:r>
          </w:p>
        </w:tc>
        <w:tc>
          <w:tcPr>
            <w:tcW w:w="9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8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1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3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0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5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1,743.08</w:t>
            </w:r>
          </w:p>
        </w:tc>
        <w:tc>
          <w:tcPr>
            <w:tcW w:w="13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1,387.91</w:t>
            </w:r>
          </w:p>
        </w:tc>
        <w:tc>
          <w:tcPr>
            <w:tcW w:w="114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355.16</w:t>
            </w:r>
          </w:p>
        </w:tc>
        <w:tc>
          <w:tcPr>
            <w:tcW w:w="9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3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w:t>
            </w:r>
          </w:p>
        </w:tc>
        <w:tc>
          <w:tcPr>
            <w:tcW w:w="30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人大事务</w:t>
            </w:r>
          </w:p>
        </w:tc>
        <w:tc>
          <w:tcPr>
            <w:tcW w:w="15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1,727.22</w:t>
            </w:r>
          </w:p>
        </w:tc>
        <w:tc>
          <w:tcPr>
            <w:tcW w:w="13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1,372.05</w:t>
            </w:r>
          </w:p>
        </w:tc>
        <w:tc>
          <w:tcPr>
            <w:tcW w:w="114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355.16</w:t>
            </w:r>
          </w:p>
        </w:tc>
        <w:tc>
          <w:tcPr>
            <w:tcW w:w="9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3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2010101</w:t>
            </w:r>
          </w:p>
        </w:tc>
        <w:tc>
          <w:tcPr>
            <w:tcW w:w="30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1,357.00</w:t>
            </w:r>
          </w:p>
        </w:tc>
        <w:tc>
          <w:tcPr>
            <w:tcW w:w="13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1,357.00</w:t>
            </w: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3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2010102</w:t>
            </w:r>
          </w:p>
        </w:tc>
        <w:tc>
          <w:tcPr>
            <w:tcW w:w="30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5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348.75</w:t>
            </w:r>
          </w:p>
        </w:tc>
        <w:tc>
          <w:tcPr>
            <w:tcW w:w="13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348.75</w:t>
            </w:r>
          </w:p>
        </w:tc>
        <w:tc>
          <w:tcPr>
            <w:tcW w:w="9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3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2010150</w:t>
            </w:r>
          </w:p>
        </w:tc>
        <w:tc>
          <w:tcPr>
            <w:tcW w:w="30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5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15.05</w:t>
            </w:r>
          </w:p>
        </w:tc>
        <w:tc>
          <w:tcPr>
            <w:tcW w:w="13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15.05</w:t>
            </w: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3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2010199</w:t>
            </w:r>
          </w:p>
        </w:tc>
        <w:tc>
          <w:tcPr>
            <w:tcW w:w="30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其他人大事务支出</w:t>
            </w:r>
          </w:p>
        </w:tc>
        <w:tc>
          <w:tcPr>
            <w:tcW w:w="15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6.41</w:t>
            </w:r>
          </w:p>
        </w:tc>
        <w:tc>
          <w:tcPr>
            <w:tcW w:w="13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6.41</w:t>
            </w:r>
          </w:p>
        </w:tc>
        <w:tc>
          <w:tcPr>
            <w:tcW w:w="9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3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0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5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5.86</w:t>
            </w:r>
          </w:p>
        </w:tc>
        <w:tc>
          <w:tcPr>
            <w:tcW w:w="13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5.86</w:t>
            </w: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3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30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5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5.86</w:t>
            </w:r>
          </w:p>
        </w:tc>
        <w:tc>
          <w:tcPr>
            <w:tcW w:w="13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5.86</w:t>
            </w: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3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w:t>
            </w:r>
          </w:p>
        </w:tc>
        <w:tc>
          <w:tcPr>
            <w:tcW w:w="30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15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3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3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30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15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3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3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0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295.93</w:t>
            </w:r>
          </w:p>
        </w:tc>
        <w:tc>
          <w:tcPr>
            <w:tcW w:w="13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291.49</w:t>
            </w:r>
          </w:p>
        </w:tc>
        <w:tc>
          <w:tcPr>
            <w:tcW w:w="114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4.44</w:t>
            </w:r>
          </w:p>
        </w:tc>
        <w:tc>
          <w:tcPr>
            <w:tcW w:w="9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3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0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291.49</w:t>
            </w:r>
          </w:p>
        </w:tc>
        <w:tc>
          <w:tcPr>
            <w:tcW w:w="13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291.49</w:t>
            </w: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3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30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5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218.74</w:t>
            </w:r>
          </w:p>
        </w:tc>
        <w:tc>
          <w:tcPr>
            <w:tcW w:w="13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218.74</w:t>
            </w: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3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0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5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72.75</w:t>
            </w:r>
          </w:p>
        </w:tc>
        <w:tc>
          <w:tcPr>
            <w:tcW w:w="13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72.75</w:t>
            </w: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3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w:t>
            </w:r>
          </w:p>
        </w:tc>
        <w:tc>
          <w:tcPr>
            <w:tcW w:w="30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临时救助</w:t>
            </w:r>
          </w:p>
        </w:tc>
        <w:tc>
          <w:tcPr>
            <w:tcW w:w="15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4.44</w:t>
            </w:r>
          </w:p>
        </w:tc>
        <w:tc>
          <w:tcPr>
            <w:tcW w:w="13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4.44</w:t>
            </w:r>
          </w:p>
        </w:tc>
        <w:tc>
          <w:tcPr>
            <w:tcW w:w="9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3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2082001</w:t>
            </w:r>
          </w:p>
        </w:tc>
        <w:tc>
          <w:tcPr>
            <w:tcW w:w="30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临时救助支出</w:t>
            </w:r>
          </w:p>
        </w:tc>
        <w:tc>
          <w:tcPr>
            <w:tcW w:w="15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4.44</w:t>
            </w:r>
          </w:p>
        </w:tc>
        <w:tc>
          <w:tcPr>
            <w:tcW w:w="13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4.44</w:t>
            </w:r>
          </w:p>
        </w:tc>
        <w:tc>
          <w:tcPr>
            <w:tcW w:w="9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3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0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5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71.00</w:t>
            </w:r>
          </w:p>
        </w:tc>
        <w:tc>
          <w:tcPr>
            <w:tcW w:w="13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71.00</w:t>
            </w: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3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0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5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71.00</w:t>
            </w:r>
          </w:p>
        </w:tc>
        <w:tc>
          <w:tcPr>
            <w:tcW w:w="13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71.00</w:t>
            </w: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3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30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5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32.40</w:t>
            </w:r>
          </w:p>
        </w:tc>
        <w:tc>
          <w:tcPr>
            <w:tcW w:w="13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32.40</w:t>
            </w: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3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30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5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3.67</w:t>
            </w:r>
          </w:p>
        </w:tc>
        <w:tc>
          <w:tcPr>
            <w:tcW w:w="13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3.67</w:t>
            </w: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3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30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5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34.93</w:t>
            </w:r>
          </w:p>
        </w:tc>
        <w:tc>
          <w:tcPr>
            <w:tcW w:w="13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34.93</w:t>
            </w: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71" w:type="dxa"/>
            <w:gridSpan w:val="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6"/>
        <w:tblW w:w="1407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01"/>
        <w:gridCol w:w="631"/>
        <w:gridCol w:w="1296"/>
        <w:gridCol w:w="3136"/>
        <w:gridCol w:w="580"/>
        <w:gridCol w:w="1073"/>
        <w:gridCol w:w="1517"/>
        <w:gridCol w:w="1296"/>
        <w:gridCol w:w="13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78"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01" w:type="dxa"/>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631"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29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313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58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073"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517"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29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348"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01"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部门：许昌市人民代表大会常务委员会</w:t>
            </w:r>
          </w:p>
        </w:tc>
        <w:tc>
          <w:tcPr>
            <w:tcW w:w="631"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29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313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58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073"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517"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644"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28"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8950"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201"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3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29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13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8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073"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1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29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34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201"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3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9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13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73"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9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4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31"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9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13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80"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07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1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9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6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1,915.47</w:t>
            </w:r>
          </w:p>
        </w:tc>
        <w:tc>
          <w:tcPr>
            <w:tcW w:w="31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5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07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1,743.08</w:t>
            </w:r>
          </w:p>
        </w:tc>
        <w:tc>
          <w:tcPr>
            <w:tcW w:w="15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1,743.08</w:t>
            </w: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6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5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6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5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5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5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5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5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5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07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295.93</w:t>
            </w:r>
          </w:p>
        </w:tc>
        <w:tc>
          <w:tcPr>
            <w:tcW w:w="15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295.93</w:t>
            </w: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5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07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71.00</w:t>
            </w:r>
          </w:p>
        </w:tc>
        <w:tc>
          <w:tcPr>
            <w:tcW w:w="15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71.00</w:t>
            </w: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5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5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5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5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5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5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5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5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5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5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5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5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5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5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1"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6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5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6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5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6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5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6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2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1,915.47</w:t>
            </w:r>
          </w:p>
        </w:tc>
        <w:tc>
          <w:tcPr>
            <w:tcW w:w="313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5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07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2,110.01</w:t>
            </w:r>
          </w:p>
        </w:tc>
        <w:tc>
          <w:tcPr>
            <w:tcW w:w="15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2,110.01</w:t>
            </w: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6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2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194.54</w:t>
            </w:r>
          </w:p>
        </w:tc>
        <w:tc>
          <w:tcPr>
            <w:tcW w:w="31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5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6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2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194.54</w:t>
            </w:r>
          </w:p>
        </w:tc>
        <w:tc>
          <w:tcPr>
            <w:tcW w:w="313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6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3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6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3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631"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2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2,110.01</w:t>
            </w:r>
          </w:p>
        </w:tc>
        <w:tc>
          <w:tcPr>
            <w:tcW w:w="313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07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2,110.01</w:t>
            </w:r>
          </w:p>
        </w:tc>
        <w:tc>
          <w:tcPr>
            <w:tcW w:w="15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2,110.01</w:t>
            </w: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4078"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6"/>
        <w:tblW w:w="1355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16"/>
        <w:gridCol w:w="222"/>
        <w:gridCol w:w="222"/>
        <w:gridCol w:w="3956"/>
        <w:gridCol w:w="1941"/>
        <w:gridCol w:w="1665"/>
        <w:gridCol w:w="19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557" w:type="dxa"/>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616" w:type="dxa"/>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222"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22"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395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941"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665"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935"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616"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部门：许昌市人民代表大会常务委员会</w:t>
            </w:r>
          </w:p>
        </w:tc>
        <w:tc>
          <w:tcPr>
            <w:tcW w:w="222"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22"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395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941"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665"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935"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16"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541"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95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94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66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9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40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94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6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94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6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16"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9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16"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9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2,110.01</w:t>
            </w:r>
          </w:p>
        </w:tc>
        <w:tc>
          <w:tcPr>
            <w:tcW w:w="16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1,750.40</w:t>
            </w:r>
          </w:p>
        </w:tc>
        <w:tc>
          <w:tcPr>
            <w:tcW w:w="19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359.60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9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1,743.08</w:t>
            </w:r>
          </w:p>
        </w:tc>
        <w:tc>
          <w:tcPr>
            <w:tcW w:w="16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1,387.91</w:t>
            </w:r>
          </w:p>
        </w:tc>
        <w:tc>
          <w:tcPr>
            <w:tcW w:w="19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人大事务</w:t>
            </w:r>
          </w:p>
        </w:tc>
        <w:tc>
          <w:tcPr>
            <w:tcW w:w="19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1,727.22</w:t>
            </w:r>
          </w:p>
        </w:tc>
        <w:tc>
          <w:tcPr>
            <w:tcW w:w="16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1,372.05</w:t>
            </w:r>
          </w:p>
        </w:tc>
        <w:tc>
          <w:tcPr>
            <w:tcW w:w="19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9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1,357.00</w:t>
            </w:r>
          </w:p>
        </w:tc>
        <w:tc>
          <w:tcPr>
            <w:tcW w:w="16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1,357.00</w:t>
            </w:r>
          </w:p>
        </w:tc>
        <w:tc>
          <w:tcPr>
            <w:tcW w:w="19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9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348.75</w:t>
            </w:r>
          </w:p>
        </w:tc>
        <w:tc>
          <w:tcPr>
            <w:tcW w:w="1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2010150</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9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15.05</w:t>
            </w:r>
          </w:p>
        </w:tc>
        <w:tc>
          <w:tcPr>
            <w:tcW w:w="16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15.05</w:t>
            </w:r>
          </w:p>
        </w:tc>
        <w:tc>
          <w:tcPr>
            <w:tcW w:w="19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2010199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其他人大事务支出</w:t>
            </w:r>
          </w:p>
        </w:tc>
        <w:tc>
          <w:tcPr>
            <w:tcW w:w="19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6.41</w:t>
            </w:r>
          </w:p>
        </w:tc>
        <w:tc>
          <w:tcPr>
            <w:tcW w:w="1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9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5.86</w:t>
            </w:r>
          </w:p>
        </w:tc>
        <w:tc>
          <w:tcPr>
            <w:tcW w:w="16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5.86</w:t>
            </w:r>
          </w:p>
        </w:tc>
        <w:tc>
          <w:tcPr>
            <w:tcW w:w="19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9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5.86</w:t>
            </w:r>
          </w:p>
        </w:tc>
        <w:tc>
          <w:tcPr>
            <w:tcW w:w="16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5.86</w:t>
            </w:r>
          </w:p>
        </w:tc>
        <w:tc>
          <w:tcPr>
            <w:tcW w:w="19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19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6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9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19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6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9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9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295.93</w:t>
            </w:r>
          </w:p>
        </w:tc>
        <w:tc>
          <w:tcPr>
            <w:tcW w:w="16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291.49</w:t>
            </w:r>
          </w:p>
        </w:tc>
        <w:tc>
          <w:tcPr>
            <w:tcW w:w="19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9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291.49</w:t>
            </w:r>
          </w:p>
        </w:tc>
        <w:tc>
          <w:tcPr>
            <w:tcW w:w="16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291.49</w:t>
            </w:r>
          </w:p>
        </w:tc>
        <w:tc>
          <w:tcPr>
            <w:tcW w:w="19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9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218.74</w:t>
            </w:r>
          </w:p>
        </w:tc>
        <w:tc>
          <w:tcPr>
            <w:tcW w:w="16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218.74</w:t>
            </w:r>
          </w:p>
        </w:tc>
        <w:tc>
          <w:tcPr>
            <w:tcW w:w="19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9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72.75</w:t>
            </w:r>
          </w:p>
        </w:tc>
        <w:tc>
          <w:tcPr>
            <w:tcW w:w="16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72.75</w:t>
            </w:r>
          </w:p>
        </w:tc>
        <w:tc>
          <w:tcPr>
            <w:tcW w:w="19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临时救助</w:t>
            </w:r>
          </w:p>
        </w:tc>
        <w:tc>
          <w:tcPr>
            <w:tcW w:w="19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4.44</w:t>
            </w:r>
          </w:p>
        </w:tc>
        <w:tc>
          <w:tcPr>
            <w:tcW w:w="1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临时救助支出</w:t>
            </w:r>
          </w:p>
        </w:tc>
        <w:tc>
          <w:tcPr>
            <w:tcW w:w="19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4.44</w:t>
            </w:r>
          </w:p>
        </w:tc>
        <w:tc>
          <w:tcPr>
            <w:tcW w:w="1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9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71.00</w:t>
            </w:r>
          </w:p>
        </w:tc>
        <w:tc>
          <w:tcPr>
            <w:tcW w:w="16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71.00</w:t>
            </w:r>
          </w:p>
        </w:tc>
        <w:tc>
          <w:tcPr>
            <w:tcW w:w="19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9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71.00</w:t>
            </w:r>
          </w:p>
        </w:tc>
        <w:tc>
          <w:tcPr>
            <w:tcW w:w="16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71.00</w:t>
            </w:r>
          </w:p>
        </w:tc>
        <w:tc>
          <w:tcPr>
            <w:tcW w:w="19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9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32.40</w:t>
            </w:r>
          </w:p>
        </w:tc>
        <w:tc>
          <w:tcPr>
            <w:tcW w:w="16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32.40</w:t>
            </w:r>
          </w:p>
        </w:tc>
        <w:tc>
          <w:tcPr>
            <w:tcW w:w="19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9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3.67</w:t>
            </w:r>
          </w:p>
        </w:tc>
        <w:tc>
          <w:tcPr>
            <w:tcW w:w="16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3.67</w:t>
            </w:r>
          </w:p>
        </w:tc>
        <w:tc>
          <w:tcPr>
            <w:tcW w:w="19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9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34.93</w:t>
            </w:r>
          </w:p>
        </w:tc>
        <w:tc>
          <w:tcPr>
            <w:tcW w:w="16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34.93</w:t>
            </w:r>
          </w:p>
        </w:tc>
        <w:tc>
          <w:tcPr>
            <w:tcW w:w="19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57" w:type="dxa"/>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6"/>
        <w:tblW w:w="1402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6"/>
        <w:gridCol w:w="2870"/>
        <w:gridCol w:w="1181"/>
        <w:gridCol w:w="795"/>
        <w:gridCol w:w="2506"/>
        <w:gridCol w:w="818"/>
        <w:gridCol w:w="869"/>
        <w:gridCol w:w="2752"/>
        <w:gridCol w:w="1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22"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76" w:type="dxa"/>
            <w:tcBorders>
              <w:top w:val="nil"/>
              <w:left w:val="nil"/>
              <w:bottom w:val="nil"/>
              <w:right w:val="nil"/>
            </w:tcBorders>
            <w:noWrap/>
            <w:vAlign w:val="bottom"/>
          </w:tcPr>
          <w:p>
            <w:pPr>
              <w:rPr>
                <w:rFonts w:hint="eastAsia" w:asciiTheme="minorEastAsia" w:hAnsiTheme="minorEastAsia" w:eastAsiaTheme="minorEastAsia" w:cstheme="minorEastAsia"/>
                <w:i w:val="0"/>
                <w:iCs w:val="0"/>
                <w:color w:val="000000"/>
                <w:sz w:val="18"/>
                <w:szCs w:val="18"/>
                <w:u w:val="none"/>
              </w:rPr>
            </w:pPr>
          </w:p>
        </w:tc>
        <w:tc>
          <w:tcPr>
            <w:tcW w:w="2870" w:type="dxa"/>
            <w:tcBorders>
              <w:top w:val="nil"/>
              <w:left w:val="nil"/>
              <w:bottom w:val="nil"/>
              <w:right w:val="nil"/>
            </w:tcBorders>
            <w:noWrap/>
            <w:vAlign w:val="bottom"/>
          </w:tcPr>
          <w:p>
            <w:pPr>
              <w:rPr>
                <w:rFonts w:hint="eastAsia" w:asciiTheme="minorEastAsia" w:hAnsiTheme="minorEastAsia" w:eastAsiaTheme="minorEastAsia" w:cstheme="minorEastAsia"/>
                <w:i w:val="0"/>
                <w:iCs w:val="0"/>
                <w:color w:val="000000"/>
                <w:sz w:val="18"/>
                <w:szCs w:val="18"/>
                <w:u w:val="none"/>
              </w:rPr>
            </w:pPr>
          </w:p>
        </w:tc>
        <w:tc>
          <w:tcPr>
            <w:tcW w:w="1181" w:type="dxa"/>
            <w:tcBorders>
              <w:top w:val="nil"/>
              <w:left w:val="nil"/>
              <w:bottom w:val="nil"/>
              <w:right w:val="nil"/>
            </w:tcBorders>
            <w:noWrap/>
            <w:vAlign w:val="bottom"/>
          </w:tcPr>
          <w:p>
            <w:pPr>
              <w:rPr>
                <w:rFonts w:hint="eastAsia" w:asciiTheme="minorEastAsia" w:hAnsiTheme="minorEastAsia" w:eastAsiaTheme="minorEastAsia" w:cstheme="minorEastAsia"/>
                <w:i w:val="0"/>
                <w:iCs w:val="0"/>
                <w:color w:val="000000"/>
                <w:sz w:val="18"/>
                <w:szCs w:val="18"/>
                <w:u w:val="none"/>
              </w:rPr>
            </w:pPr>
          </w:p>
        </w:tc>
        <w:tc>
          <w:tcPr>
            <w:tcW w:w="795" w:type="dxa"/>
            <w:tcBorders>
              <w:top w:val="nil"/>
              <w:left w:val="nil"/>
              <w:bottom w:val="nil"/>
              <w:right w:val="nil"/>
            </w:tcBorders>
            <w:noWrap/>
            <w:vAlign w:val="bottom"/>
          </w:tcPr>
          <w:p>
            <w:pPr>
              <w:rPr>
                <w:rFonts w:hint="eastAsia" w:asciiTheme="minorEastAsia" w:hAnsiTheme="minorEastAsia" w:eastAsiaTheme="minorEastAsia" w:cstheme="minorEastAsia"/>
                <w:i w:val="0"/>
                <w:iCs w:val="0"/>
                <w:color w:val="000000"/>
                <w:sz w:val="18"/>
                <w:szCs w:val="18"/>
                <w:u w:val="none"/>
              </w:rPr>
            </w:pPr>
          </w:p>
        </w:tc>
        <w:tc>
          <w:tcPr>
            <w:tcW w:w="2506" w:type="dxa"/>
            <w:tcBorders>
              <w:top w:val="nil"/>
              <w:left w:val="nil"/>
              <w:bottom w:val="nil"/>
              <w:right w:val="nil"/>
            </w:tcBorders>
            <w:noWrap/>
            <w:vAlign w:val="bottom"/>
          </w:tcPr>
          <w:p>
            <w:pPr>
              <w:rPr>
                <w:rFonts w:hint="eastAsia" w:asciiTheme="minorEastAsia" w:hAnsiTheme="minorEastAsia" w:eastAsiaTheme="minorEastAsia" w:cstheme="minorEastAsia"/>
                <w:i w:val="0"/>
                <w:iCs w:val="0"/>
                <w:color w:val="000000"/>
                <w:sz w:val="18"/>
                <w:szCs w:val="18"/>
                <w:u w:val="none"/>
              </w:rPr>
            </w:pPr>
          </w:p>
        </w:tc>
        <w:tc>
          <w:tcPr>
            <w:tcW w:w="818" w:type="dxa"/>
            <w:tcBorders>
              <w:top w:val="nil"/>
              <w:left w:val="nil"/>
              <w:bottom w:val="nil"/>
              <w:right w:val="nil"/>
            </w:tcBorders>
            <w:noWrap/>
            <w:vAlign w:val="bottom"/>
          </w:tcPr>
          <w:p>
            <w:pPr>
              <w:rPr>
                <w:rFonts w:hint="eastAsia" w:asciiTheme="minorEastAsia" w:hAnsiTheme="minorEastAsia" w:eastAsiaTheme="minorEastAsia" w:cstheme="minorEastAsia"/>
                <w:i w:val="0"/>
                <w:iCs w:val="0"/>
                <w:color w:val="000000"/>
                <w:sz w:val="18"/>
                <w:szCs w:val="18"/>
                <w:u w:val="none"/>
              </w:rPr>
            </w:pPr>
          </w:p>
        </w:tc>
        <w:tc>
          <w:tcPr>
            <w:tcW w:w="869" w:type="dxa"/>
            <w:tcBorders>
              <w:top w:val="nil"/>
              <w:left w:val="nil"/>
              <w:bottom w:val="nil"/>
              <w:right w:val="nil"/>
            </w:tcBorders>
            <w:noWrap/>
            <w:vAlign w:val="bottom"/>
          </w:tcPr>
          <w:p>
            <w:pPr>
              <w:rPr>
                <w:rFonts w:hint="eastAsia" w:asciiTheme="minorEastAsia" w:hAnsiTheme="minorEastAsia" w:eastAsiaTheme="minorEastAsia" w:cstheme="minorEastAsia"/>
                <w:i w:val="0"/>
                <w:iCs w:val="0"/>
                <w:color w:val="000000"/>
                <w:sz w:val="18"/>
                <w:szCs w:val="18"/>
                <w:u w:val="none"/>
              </w:rPr>
            </w:pPr>
          </w:p>
        </w:tc>
        <w:tc>
          <w:tcPr>
            <w:tcW w:w="275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55"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815" w:type="dxa"/>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部门：许昌市人民代表大会常务委员会</w:t>
            </w:r>
          </w:p>
        </w:tc>
        <w:tc>
          <w:tcPr>
            <w:tcW w:w="275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55"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27"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9195"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8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8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9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50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1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86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75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5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8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9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50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1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6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5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5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7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2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1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1,237.91</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25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8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288.80</w:t>
            </w:r>
          </w:p>
        </w:tc>
        <w:tc>
          <w:tcPr>
            <w:tcW w:w="8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27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2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1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317.67</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25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8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38.92</w:t>
            </w:r>
          </w:p>
        </w:tc>
        <w:tc>
          <w:tcPr>
            <w:tcW w:w="8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27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2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1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475.13</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25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8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29.46</w:t>
            </w:r>
          </w:p>
        </w:tc>
        <w:tc>
          <w:tcPr>
            <w:tcW w:w="8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27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2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1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218.69</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25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8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w:t>
            </w:r>
          </w:p>
        </w:tc>
        <w:tc>
          <w:tcPr>
            <w:tcW w:w="8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27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14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2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1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25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8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27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2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1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25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8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27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4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2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1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74.94</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25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8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27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2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1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25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8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w:t>
            </w:r>
          </w:p>
        </w:tc>
        <w:tc>
          <w:tcPr>
            <w:tcW w:w="8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27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2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1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38.53</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25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8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27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2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1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35.98</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25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8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27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2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1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0.99</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25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8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26.48</w:t>
            </w:r>
          </w:p>
        </w:tc>
        <w:tc>
          <w:tcPr>
            <w:tcW w:w="8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27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2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1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72.56</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25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8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27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2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1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25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8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10.98</w:t>
            </w:r>
          </w:p>
        </w:tc>
        <w:tc>
          <w:tcPr>
            <w:tcW w:w="8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27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2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1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25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8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27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2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1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220.41</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25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8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22.71</w:t>
            </w:r>
          </w:p>
        </w:tc>
        <w:tc>
          <w:tcPr>
            <w:tcW w:w="8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27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2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1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27.58</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25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8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0.07</w:t>
            </w:r>
          </w:p>
        </w:tc>
        <w:tc>
          <w:tcPr>
            <w:tcW w:w="8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27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2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1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171.16</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25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8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8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27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2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1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25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8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27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2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1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25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8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27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2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1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25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8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27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2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1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25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8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31.07</w:t>
            </w:r>
          </w:p>
        </w:tc>
        <w:tc>
          <w:tcPr>
            <w:tcW w:w="8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27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2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1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25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8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5.07</w:t>
            </w:r>
          </w:p>
        </w:tc>
        <w:tc>
          <w:tcPr>
            <w:tcW w:w="8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27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2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1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25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8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5.86</w:t>
            </w:r>
          </w:p>
        </w:tc>
        <w:tc>
          <w:tcPr>
            <w:tcW w:w="8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27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2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1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25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8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25.92</w:t>
            </w:r>
          </w:p>
        </w:tc>
        <w:tc>
          <w:tcPr>
            <w:tcW w:w="8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27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2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1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25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8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20.08</w:t>
            </w:r>
          </w:p>
        </w:tc>
        <w:tc>
          <w:tcPr>
            <w:tcW w:w="8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275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2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1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25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8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61.02</w:t>
            </w:r>
          </w:p>
        </w:tc>
        <w:tc>
          <w:tcPr>
            <w:tcW w:w="869"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752"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2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1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25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8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9"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752"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87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1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25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8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2.48</w:t>
            </w:r>
          </w:p>
        </w:tc>
        <w:tc>
          <w:tcPr>
            <w:tcW w:w="869"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752"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46"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1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1,458.32</w:t>
            </w:r>
          </w:p>
        </w:tc>
        <w:tc>
          <w:tcPr>
            <w:tcW w:w="7740" w:type="dxa"/>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14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22"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6"/>
        <w:tblW w:w="134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45"/>
        <w:gridCol w:w="1065"/>
        <w:gridCol w:w="1140"/>
        <w:gridCol w:w="959"/>
        <w:gridCol w:w="1035"/>
        <w:gridCol w:w="1405"/>
        <w:gridCol w:w="950"/>
        <w:gridCol w:w="1200"/>
        <w:gridCol w:w="1185"/>
        <w:gridCol w:w="955"/>
        <w:gridCol w:w="1125"/>
        <w:gridCol w:w="14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440"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30"/>
                <w:szCs w:val="30"/>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45" w:type="dxa"/>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1065"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14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959"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035"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405"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95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20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185"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955"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125"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476"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49" w:type="dxa"/>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部门：许昌市人民代表大会常务委员会</w:t>
            </w:r>
          </w:p>
        </w:tc>
        <w:tc>
          <w:tcPr>
            <w:tcW w:w="95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20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185"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955"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125"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476"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549"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6891"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6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134"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40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9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265"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47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94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6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95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0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40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9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47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5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0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9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47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59.53</w:t>
            </w: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56.00</w:t>
            </w:r>
          </w:p>
        </w:tc>
        <w:tc>
          <w:tcPr>
            <w:tcW w:w="9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56.00</w:t>
            </w:r>
          </w:p>
        </w:tc>
        <w:tc>
          <w:tcPr>
            <w:tcW w:w="14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3.53</w:t>
            </w:r>
          </w:p>
        </w:tc>
        <w:tc>
          <w:tcPr>
            <w:tcW w:w="9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20.48</w:t>
            </w: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20.08</w:t>
            </w:r>
          </w:p>
        </w:tc>
        <w:tc>
          <w:tcPr>
            <w:tcW w:w="9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20.08</w:t>
            </w:r>
          </w:p>
        </w:tc>
        <w:tc>
          <w:tcPr>
            <w:tcW w:w="14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440"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6"/>
        <w:tblW w:w="1319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6"/>
        <w:gridCol w:w="336"/>
        <w:gridCol w:w="336"/>
        <w:gridCol w:w="1660"/>
        <w:gridCol w:w="1675"/>
        <w:gridCol w:w="1437"/>
        <w:gridCol w:w="1484"/>
        <w:gridCol w:w="1447"/>
        <w:gridCol w:w="1362"/>
        <w:gridCol w:w="31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196"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部门：许昌市人民代表大会常务委员会</w:t>
            </w: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77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46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4358"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264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6"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7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6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2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47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36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264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6"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7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6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2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6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64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6"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7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6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2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6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64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注：本表反映部门本年度政府性基金预算财政拨款收入、支出及结转和结余情况。本表金额转换为万元时，因四舍五入可能存在尾差。</w:t>
            </w:r>
          </w:p>
        </w:tc>
      </w:tr>
    </w:tbl>
    <w:p>
      <w:pPr>
        <w:widowControl/>
        <w:jc w:val="left"/>
        <w:textAlignment w:val="center"/>
        <w:rPr>
          <w:rFonts w:ascii="宋体" w:hAnsi="宋体" w:cs="宋体"/>
          <w:color w:val="000000"/>
          <w:sz w:val="24"/>
          <w:szCs w:val="24"/>
          <w:highlight w:val="none"/>
        </w:rPr>
      </w:pPr>
      <w:r>
        <w:rPr>
          <w:rFonts w:hint="eastAsia" w:ascii="宋体" w:hAnsi="宋体" w:cs="宋体"/>
          <w:color w:val="000000"/>
          <w:sz w:val="24"/>
          <w:szCs w:val="24"/>
          <w:highlight w:val="none"/>
        </w:rPr>
        <w:t>说明：我部门没有政府性基金收入，也没有使用政府性基金安排的支出，故本表无数据。</w:t>
      </w:r>
    </w:p>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2021年度部门决算情况说明</w:t>
      </w:r>
    </w:p>
    <w:p>
      <w:pPr>
        <w:widowControl/>
        <w:jc w:val="left"/>
        <w:rPr>
          <w:rFonts w:hint="eastAsia" w:ascii="黑体" w:hAnsi="黑体" w:eastAsia="黑体" w:cs="黑体"/>
          <w:sz w:val="48"/>
          <w:szCs w:val="48"/>
          <w:highlight w:val="none"/>
        </w:rPr>
        <w:sectPr>
          <w:footerReference r:id="rId5" w:type="default"/>
          <w:footerReference r:id="rId6" w:type="even"/>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2110.01</w:t>
      </w:r>
      <w:r>
        <w:rPr>
          <w:rFonts w:hint="eastAsia" w:ascii="仿宋_GB2312" w:hAnsi="仿宋_GB2312" w:eastAsia="仿宋_GB2312" w:cs="仿宋_GB2312"/>
          <w:sz w:val="32"/>
          <w:szCs w:val="32"/>
          <w:highlight w:val="none"/>
        </w:rPr>
        <w:t>万元。与上年度相比，收、支总计各增加</w:t>
      </w:r>
      <w:r>
        <w:rPr>
          <w:rFonts w:hint="eastAsia" w:ascii="仿宋_GB2312" w:hAnsi="仿宋_GB2312" w:eastAsia="仿宋_GB2312" w:cs="仿宋_GB2312"/>
          <w:sz w:val="32"/>
          <w:szCs w:val="32"/>
          <w:highlight w:val="none"/>
          <w:lang w:val="en-US" w:eastAsia="zh-CN"/>
        </w:rPr>
        <w:t>179.03</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9.27</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在职人员增加</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1915.47</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1915.47</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万元；事业收入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万元；经营收入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万元；附属单位上缴收入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万元；其他收入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2110.01</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1750.40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82.96</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359.60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17.04</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万元；经营支出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万元；对附属单位补助支出</w:t>
      </w:r>
      <w:r>
        <w:rPr>
          <w:rFonts w:hint="eastAsia" w:ascii="仿宋_GB2312" w:hAnsi="仿宋_GB2312" w:eastAsia="仿宋_GB2312" w:cs="仿宋_GB2312"/>
          <w:sz w:val="32"/>
          <w:szCs w:val="32"/>
          <w:highlight w:val="none"/>
          <w:lang w:val="en-US" w:eastAsia="zh-CN"/>
        </w:rPr>
        <w:t>0万元</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2110.01</w:t>
      </w:r>
      <w:r>
        <w:rPr>
          <w:rFonts w:hint="eastAsia" w:ascii="仿宋_GB2312" w:hAnsi="仿宋_GB2312" w:eastAsia="仿宋_GB2312" w:cs="仿宋_GB2312"/>
          <w:sz w:val="32"/>
          <w:szCs w:val="32"/>
          <w:highlight w:val="none"/>
        </w:rPr>
        <w:t>万元。与上年度相比，财政拨款收、支总计各增加</w:t>
      </w:r>
      <w:r>
        <w:rPr>
          <w:rFonts w:hint="eastAsia" w:ascii="仿宋_GB2312" w:hAnsi="仿宋_GB2312" w:eastAsia="仿宋_GB2312" w:cs="仿宋_GB2312"/>
          <w:sz w:val="32"/>
          <w:szCs w:val="32"/>
          <w:highlight w:val="none"/>
          <w:lang w:val="en-US" w:eastAsia="zh-CN"/>
        </w:rPr>
        <w:t>179.03</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9.27</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在职人员增加</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2110.01</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403.93</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23.68</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在职人员工资福利支出增加和项目支出增加</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2110.01</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1743.08</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82.61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社会保障和就业</w:t>
      </w:r>
      <w:r>
        <w:rPr>
          <w:rFonts w:hint="eastAsia" w:ascii="仿宋_GB2312" w:hAnsi="仿宋_GB2312" w:eastAsia="仿宋_GB2312" w:cs="仿宋_GB2312"/>
          <w:sz w:val="32"/>
          <w:szCs w:val="32"/>
          <w:highlight w:val="none"/>
        </w:rPr>
        <w:t>（类）支出</w:t>
      </w:r>
      <w:r>
        <w:rPr>
          <w:rFonts w:hint="eastAsia" w:ascii="仿宋_GB2312" w:hAnsi="仿宋_GB2312" w:eastAsia="仿宋_GB2312" w:cs="仿宋_GB2312"/>
          <w:sz w:val="32"/>
          <w:szCs w:val="32"/>
          <w:highlight w:val="none"/>
          <w:lang w:val="en-US" w:eastAsia="zh-CN"/>
        </w:rPr>
        <w:t>295.93</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14.03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卫生健康</w:t>
      </w:r>
      <w:r>
        <w:rPr>
          <w:rFonts w:hint="eastAsia" w:ascii="仿宋_GB2312" w:hAnsi="仿宋_GB2312" w:eastAsia="仿宋_GB2312" w:cs="仿宋_GB2312"/>
          <w:sz w:val="32"/>
          <w:szCs w:val="32"/>
          <w:highlight w:val="none"/>
        </w:rPr>
        <w:t>（类）</w:t>
      </w:r>
      <w:r>
        <w:rPr>
          <w:rFonts w:hint="eastAsia" w:ascii="仿宋_GB2312" w:hAnsi="仿宋_GB2312" w:eastAsia="仿宋_GB2312" w:cs="仿宋_GB2312"/>
          <w:sz w:val="32"/>
          <w:szCs w:val="32"/>
          <w:highlight w:val="none"/>
          <w:lang w:eastAsia="zh-CN"/>
        </w:rPr>
        <w:t>支出</w:t>
      </w:r>
      <w:r>
        <w:rPr>
          <w:rFonts w:hint="eastAsia" w:ascii="仿宋_GB2312" w:hAnsi="仿宋_GB2312" w:eastAsia="仿宋_GB2312" w:cs="仿宋_GB2312"/>
          <w:sz w:val="32"/>
          <w:szCs w:val="32"/>
          <w:highlight w:val="none"/>
          <w:lang w:val="en-US" w:eastAsia="zh-CN"/>
        </w:rPr>
        <w:t>71万元，</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3.36</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1598.87</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2110.01</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131.96</w:t>
      </w:r>
      <w:r>
        <w:rPr>
          <w:rFonts w:hint="eastAsia" w:ascii="仿宋_GB2312" w:hAnsi="仿宋_GB2312" w:eastAsia="仿宋_GB2312" w:cs="仿宋_GB2312"/>
          <w:sz w:val="32"/>
          <w:szCs w:val="32"/>
          <w:highlight w:val="none"/>
        </w:rPr>
        <w:t>%。其中：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rPr>
        <w:t>一般公共服务（类）人大事务（款）行政运行（项）</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年初预算为1242.58万元，支出决算为1357万元，完成年初预算的109.21%。决算数与年初预算数存在差异的主要原因是2021年在职人员增加7人，工资福利支出增加。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FF0000"/>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w:t>
      </w:r>
      <w:r>
        <w:rPr>
          <w:rFonts w:hint="eastAsia" w:ascii="仿宋_GB2312" w:hAnsi="仿宋_GB2312" w:eastAsia="仿宋_GB2312" w:cs="仿宋_GB2312"/>
          <w:b/>
          <w:bCs/>
          <w:color w:val="auto"/>
          <w:sz w:val="32"/>
          <w:szCs w:val="32"/>
        </w:rPr>
        <w:t>一般公共服务（类）人大事务（款）</w:t>
      </w:r>
      <w:r>
        <w:rPr>
          <w:rFonts w:hint="eastAsia" w:ascii="仿宋_GB2312" w:hAnsi="仿宋_GB2312" w:eastAsia="仿宋_GB2312" w:cs="仿宋_GB2312"/>
          <w:b/>
          <w:bCs/>
          <w:color w:val="auto"/>
          <w:sz w:val="32"/>
          <w:szCs w:val="32"/>
          <w:lang w:eastAsia="zh-CN"/>
        </w:rPr>
        <w:t>一般行政管理事务</w:t>
      </w:r>
      <w:r>
        <w:rPr>
          <w:rFonts w:hint="eastAsia" w:ascii="仿宋_GB2312" w:hAnsi="仿宋_GB2312" w:eastAsia="仿宋_GB2312" w:cs="仿宋_GB2312"/>
          <w:b/>
          <w:bCs/>
          <w:color w:val="auto"/>
          <w:sz w:val="32"/>
          <w:szCs w:val="32"/>
        </w:rPr>
        <w:t>（项）</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年初预算为0万元，支出决算为348.75万元。决算数与年初预算数存在差异的主要原因是年中根据工作需要追加市七届人大七次会议和市七届人大八次会议经费。</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rPr>
        <w:t>一般公共服务（类）人大事务（款）</w:t>
      </w:r>
      <w:r>
        <w:rPr>
          <w:rFonts w:hint="eastAsia" w:ascii="仿宋_GB2312" w:hAnsi="仿宋_GB2312" w:eastAsia="仿宋_GB2312" w:cs="仿宋_GB2312"/>
          <w:b/>
          <w:bCs/>
          <w:color w:val="auto"/>
          <w:sz w:val="32"/>
          <w:szCs w:val="32"/>
          <w:lang w:eastAsia="zh-CN"/>
        </w:rPr>
        <w:t>事业运行</w:t>
      </w:r>
      <w:r>
        <w:rPr>
          <w:rFonts w:hint="eastAsia" w:ascii="仿宋_GB2312" w:hAnsi="仿宋_GB2312" w:eastAsia="仿宋_GB2312" w:cs="仿宋_GB2312"/>
          <w:b/>
          <w:bCs/>
          <w:color w:val="auto"/>
          <w:sz w:val="32"/>
          <w:szCs w:val="32"/>
        </w:rPr>
        <w:t>（项）</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年初预算为0万元，支出决算为15.05万元。决算数与年初预算数存在差异的主要原因是新增财政全供事业人员3人。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rPr>
        <w:t>一般公共服务（类）人大事务（款）</w:t>
      </w:r>
      <w:r>
        <w:rPr>
          <w:rFonts w:hint="eastAsia" w:ascii="仿宋_GB2312" w:hAnsi="仿宋_GB2312" w:eastAsia="仿宋_GB2312" w:cs="仿宋_GB2312"/>
          <w:b/>
          <w:bCs/>
          <w:color w:val="auto"/>
          <w:sz w:val="32"/>
          <w:szCs w:val="32"/>
          <w:lang w:eastAsia="zh-CN"/>
        </w:rPr>
        <w:t>其他人大事务支出</w:t>
      </w:r>
      <w:r>
        <w:rPr>
          <w:rFonts w:hint="eastAsia" w:ascii="仿宋_GB2312" w:hAnsi="仿宋_GB2312" w:eastAsia="仿宋_GB2312" w:cs="仿宋_GB2312"/>
          <w:b/>
          <w:bCs/>
          <w:color w:val="auto"/>
          <w:sz w:val="32"/>
          <w:szCs w:val="32"/>
        </w:rPr>
        <w:t>（项）</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年初预算为0万元，支出决算为6.41万元。决算数与年初预算数存在差异的主要原因是年中根据工作需要追加许昌市代表团参加省十三届人大四次会议经费。</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lang w:val="en-US" w:eastAsia="zh-CN"/>
        </w:rPr>
        <w:t>5.</w:t>
      </w:r>
      <w:r>
        <w:rPr>
          <w:rFonts w:hint="eastAsia" w:ascii="仿宋_GB2312" w:hAnsi="仿宋_GB2312" w:eastAsia="仿宋_GB2312" w:cs="仿宋_GB2312"/>
          <w:b/>
          <w:bCs/>
          <w:color w:val="auto"/>
          <w:sz w:val="32"/>
          <w:szCs w:val="32"/>
        </w:rPr>
        <w:t>一般公共服务（类）</w:t>
      </w:r>
      <w:r>
        <w:rPr>
          <w:rFonts w:hint="eastAsia" w:ascii="仿宋_GB2312" w:hAnsi="仿宋_GB2312" w:eastAsia="仿宋_GB2312" w:cs="仿宋_GB2312"/>
          <w:b/>
          <w:bCs/>
          <w:color w:val="auto"/>
          <w:sz w:val="32"/>
          <w:szCs w:val="32"/>
          <w:lang w:eastAsia="zh-CN"/>
        </w:rPr>
        <w:t>群众团体事务</w:t>
      </w:r>
      <w:r>
        <w:rPr>
          <w:rFonts w:hint="eastAsia" w:ascii="仿宋_GB2312" w:hAnsi="仿宋_GB2312" w:eastAsia="仿宋_GB2312" w:cs="仿宋_GB2312"/>
          <w:b/>
          <w:bCs/>
          <w:color w:val="auto"/>
          <w:sz w:val="32"/>
          <w:szCs w:val="32"/>
        </w:rPr>
        <w:t>（款）</w:t>
      </w:r>
      <w:r>
        <w:rPr>
          <w:rFonts w:hint="eastAsia" w:ascii="仿宋_GB2312" w:hAnsi="仿宋_GB2312" w:eastAsia="仿宋_GB2312" w:cs="仿宋_GB2312"/>
          <w:b/>
          <w:bCs/>
          <w:color w:val="auto"/>
          <w:sz w:val="32"/>
          <w:szCs w:val="32"/>
          <w:lang w:eastAsia="zh-CN"/>
        </w:rPr>
        <w:t>工会事务</w:t>
      </w:r>
      <w:r>
        <w:rPr>
          <w:rFonts w:hint="eastAsia" w:ascii="仿宋_GB2312" w:hAnsi="仿宋_GB2312" w:eastAsia="仿宋_GB2312" w:cs="仿宋_GB2312"/>
          <w:b/>
          <w:bCs/>
          <w:color w:val="auto"/>
          <w:sz w:val="32"/>
          <w:szCs w:val="32"/>
        </w:rPr>
        <w:t>（项）</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年初预算为5.86万元，支出决算为5.86万元，完成年初预算的100%。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w:t>
      </w:r>
      <w:r>
        <w:rPr>
          <w:rFonts w:hint="eastAsia" w:ascii="仿宋_GB2312" w:hAnsi="仿宋_GB2312" w:eastAsia="仿宋_GB2312" w:cs="仿宋_GB2312"/>
          <w:b/>
          <w:bCs/>
          <w:color w:val="auto"/>
          <w:sz w:val="32"/>
          <w:szCs w:val="32"/>
        </w:rPr>
        <w:t>一般公共服务（类）</w:t>
      </w:r>
      <w:r>
        <w:rPr>
          <w:rFonts w:hint="eastAsia" w:ascii="仿宋_GB2312" w:hAnsi="仿宋_GB2312" w:eastAsia="仿宋_GB2312" w:cs="仿宋_GB2312"/>
          <w:b/>
          <w:bCs/>
          <w:color w:val="auto"/>
          <w:sz w:val="32"/>
          <w:szCs w:val="32"/>
          <w:lang w:eastAsia="zh-CN"/>
        </w:rPr>
        <w:t>其他一般公共服务支出</w:t>
      </w:r>
      <w:r>
        <w:rPr>
          <w:rFonts w:hint="eastAsia" w:ascii="仿宋_GB2312" w:hAnsi="仿宋_GB2312" w:eastAsia="仿宋_GB2312" w:cs="仿宋_GB2312"/>
          <w:b/>
          <w:bCs/>
          <w:color w:val="auto"/>
          <w:sz w:val="32"/>
          <w:szCs w:val="32"/>
        </w:rPr>
        <w:t>（款）</w:t>
      </w:r>
      <w:r>
        <w:rPr>
          <w:rFonts w:hint="eastAsia" w:ascii="仿宋_GB2312" w:hAnsi="仿宋_GB2312" w:eastAsia="仿宋_GB2312" w:cs="仿宋_GB2312"/>
          <w:b/>
          <w:bCs/>
          <w:color w:val="auto"/>
          <w:sz w:val="32"/>
          <w:szCs w:val="32"/>
          <w:lang w:eastAsia="zh-CN"/>
        </w:rPr>
        <w:t>其他一般公共服务支出</w:t>
      </w:r>
      <w:r>
        <w:rPr>
          <w:rFonts w:hint="eastAsia" w:ascii="仿宋_GB2312" w:hAnsi="仿宋_GB2312" w:eastAsia="仿宋_GB2312" w:cs="仿宋_GB2312"/>
          <w:b/>
          <w:bCs/>
          <w:color w:val="auto"/>
          <w:sz w:val="32"/>
          <w:szCs w:val="32"/>
        </w:rPr>
        <w:t>（项）</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年初预算为0万元，支出决算为10万元。决算数与年初预算数存在差异的主要原因是在职人员增加。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lang w:val="en-US" w:eastAsia="zh-CN"/>
        </w:rPr>
        <w:t>7.</w:t>
      </w:r>
      <w:r>
        <w:rPr>
          <w:rFonts w:hint="eastAsia" w:ascii="仿宋_GB2312" w:hAnsi="仿宋_GB2312" w:eastAsia="仿宋_GB2312" w:cs="仿宋_GB2312"/>
          <w:b/>
          <w:bCs/>
          <w:color w:val="auto"/>
          <w:sz w:val="32"/>
          <w:szCs w:val="32"/>
          <w:lang w:eastAsia="zh-CN"/>
        </w:rPr>
        <w:t>社会保障和就业支出</w:t>
      </w:r>
      <w:r>
        <w:rPr>
          <w:rFonts w:hint="eastAsia" w:ascii="仿宋_GB2312" w:hAnsi="仿宋_GB2312" w:eastAsia="仿宋_GB2312" w:cs="仿宋_GB2312"/>
          <w:b/>
          <w:bCs/>
          <w:color w:val="auto"/>
          <w:sz w:val="32"/>
          <w:szCs w:val="32"/>
        </w:rPr>
        <w:t>（类）</w:t>
      </w:r>
      <w:r>
        <w:rPr>
          <w:rFonts w:hint="eastAsia" w:ascii="仿宋_GB2312" w:hAnsi="仿宋_GB2312" w:eastAsia="仿宋_GB2312" w:cs="仿宋_GB2312"/>
          <w:b/>
          <w:bCs/>
          <w:color w:val="auto"/>
          <w:sz w:val="32"/>
          <w:szCs w:val="32"/>
          <w:lang w:eastAsia="zh-CN"/>
        </w:rPr>
        <w:t>行政事业单位养老支出</w:t>
      </w:r>
      <w:r>
        <w:rPr>
          <w:rFonts w:hint="eastAsia" w:ascii="仿宋_GB2312" w:hAnsi="仿宋_GB2312" w:eastAsia="仿宋_GB2312" w:cs="仿宋_GB2312"/>
          <w:b/>
          <w:bCs/>
          <w:color w:val="auto"/>
          <w:sz w:val="32"/>
          <w:szCs w:val="32"/>
        </w:rPr>
        <w:t>（款）</w:t>
      </w:r>
      <w:r>
        <w:rPr>
          <w:rFonts w:hint="eastAsia" w:ascii="仿宋_GB2312" w:hAnsi="仿宋_GB2312" w:eastAsia="仿宋_GB2312" w:cs="仿宋_GB2312"/>
          <w:b/>
          <w:bCs/>
          <w:color w:val="auto"/>
          <w:sz w:val="32"/>
          <w:szCs w:val="32"/>
          <w:lang w:eastAsia="zh-CN"/>
        </w:rPr>
        <w:t>行政单位离退休</w:t>
      </w:r>
      <w:r>
        <w:rPr>
          <w:rFonts w:hint="eastAsia" w:ascii="仿宋_GB2312" w:hAnsi="仿宋_GB2312" w:eastAsia="仿宋_GB2312" w:cs="仿宋_GB2312"/>
          <w:b/>
          <w:bCs/>
          <w:color w:val="auto"/>
          <w:sz w:val="32"/>
          <w:szCs w:val="32"/>
        </w:rPr>
        <w:t>（项）</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年初预算为206.51万元，支出决算为218.74万元，完成年初预算的105.92%。决算数与年初预算数存在差异的主要原因是离退休人员增加。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8．</w:t>
      </w:r>
      <w:r>
        <w:rPr>
          <w:rFonts w:hint="eastAsia" w:ascii="仿宋_GB2312" w:hAnsi="仿宋_GB2312" w:eastAsia="仿宋_GB2312" w:cs="仿宋_GB2312"/>
          <w:b/>
          <w:bCs/>
          <w:color w:val="auto"/>
          <w:sz w:val="32"/>
          <w:szCs w:val="32"/>
          <w:lang w:eastAsia="zh-CN"/>
        </w:rPr>
        <w:t>社会保障和就业支出</w:t>
      </w:r>
      <w:r>
        <w:rPr>
          <w:rFonts w:hint="eastAsia" w:ascii="仿宋_GB2312" w:hAnsi="仿宋_GB2312" w:eastAsia="仿宋_GB2312" w:cs="仿宋_GB2312"/>
          <w:b/>
          <w:bCs/>
          <w:color w:val="auto"/>
          <w:sz w:val="32"/>
          <w:szCs w:val="32"/>
        </w:rPr>
        <w:t>（类）</w:t>
      </w:r>
      <w:r>
        <w:rPr>
          <w:rFonts w:hint="eastAsia" w:ascii="仿宋_GB2312" w:hAnsi="仿宋_GB2312" w:eastAsia="仿宋_GB2312" w:cs="仿宋_GB2312"/>
          <w:b/>
          <w:bCs/>
          <w:color w:val="auto"/>
          <w:sz w:val="32"/>
          <w:szCs w:val="32"/>
          <w:lang w:eastAsia="zh-CN"/>
        </w:rPr>
        <w:t>行政事业单位养老支出</w:t>
      </w:r>
      <w:r>
        <w:rPr>
          <w:rFonts w:hint="eastAsia" w:ascii="仿宋_GB2312" w:hAnsi="仿宋_GB2312" w:eastAsia="仿宋_GB2312" w:cs="仿宋_GB2312"/>
          <w:b/>
          <w:bCs/>
          <w:color w:val="auto"/>
          <w:sz w:val="32"/>
          <w:szCs w:val="32"/>
        </w:rPr>
        <w:t>（款）</w:t>
      </w:r>
      <w:r>
        <w:rPr>
          <w:rFonts w:hint="eastAsia" w:ascii="仿宋_GB2312" w:hAnsi="仿宋_GB2312" w:eastAsia="仿宋_GB2312" w:cs="仿宋_GB2312"/>
          <w:b/>
          <w:bCs/>
          <w:color w:val="auto"/>
          <w:sz w:val="32"/>
          <w:szCs w:val="32"/>
          <w:lang w:eastAsia="zh-CN"/>
        </w:rPr>
        <w:t>机关事业单位基本养老保险缴费支出</w:t>
      </w:r>
      <w:r>
        <w:rPr>
          <w:rFonts w:hint="eastAsia" w:ascii="仿宋_GB2312" w:hAnsi="仿宋_GB2312" w:eastAsia="仿宋_GB2312" w:cs="仿宋_GB2312"/>
          <w:b/>
          <w:bCs/>
          <w:color w:val="auto"/>
          <w:sz w:val="32"/>
          <w:szCs w:val="32"/>
        </w:rPr>
        <w:t>（项）</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年初预算为71.84万元，支出决算为72.75万元，完成年初预算的101.27%。决算数与年初预算数存在差异的主要原因是2021年年中养老保险缴费基数调整。</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9．</w:t>
      </w:r>
      <w:r>
        <w:rPr>
          <w:rFonts w:hint="eastAsia" w:ascii="仿宋_GB2312" w:hAnsi="仿宋_GB2312" w:eastAsia="仿宋_GB2312" w:cs="仿宋_GB2312"/>
          <w:b/>
          <w:bCs/>
          <w:color w:val="auto"/>
          <w:sz w:val="32"/>
          <w:szCs w:val="32"/>
          <w:lang w:eastAsia="zh-CN"/>
        </w:rPr>
        <w:t>社会保障和就业支出</w:t>
      </w:r>
      <w:r>
        <w:rPr>
          <w:rFonts w:hint="eastAsia" w:ascii="仿宋_GB2312" w:hAnsi="仿宋_GB2312" w:eastAsia="仿宋_GB2312" w:cs="仿宋_GB2312"/>
          <w:b/>
          <w:bCs/>
          <w:color w:val="auto"/>
          <w:sz w:val="32"/>
          <w:szCs w:val="32"/>
        </w:rPr>
        <w:t>（类）</w:t>
      </w:r>
      <w:r>
        <w:rPr>
          <w:rFonts w:hint="eastAsia" w:ascii="仿宋_GB2312" w:hAnsi="仿宋_GB2312" w:eastAsia="仿宋_GB2312" w:cs="仿宋_GB2312"/>
          <w:b/>
          <w:bCs/>
          <w:color w:val="auto"/>
          <w:sz w:val="32"/>
          <w:szCs w:val="32"/>
          <w:lang w:eastAsia="zh-CN"/>
        </w:rPr>
        <w:t>临时救助</w:t>
      </w:r>
      <w:r>
        <w:rPr>
          <w:rFonts w:hint="eastAsia" w:ascii="仿宋_GB2312" w:hAnsi="仿宋_GB2312" w:eastAsia="仿宋_GB2312" w:cs="仿宋_GB2312"/>
          <w:b/>
          <w:bCs/>
          <w:color w:val="auto"/>
          <w:sz w:val="32"/>
          <w:szCs w:val="32"/>
        </w:rPr>
        <w:t>（款）</w:t>
      </w:r>
      <w:r>
        <w:rPr>
          <w:rFonts w:hint="eastAsia" w:ascii="仿宋_GB2312" w:hAnsi="仿宋_GB2312" w:eastAsia="仿宋_GB2312" w:cs="仿宋_GB2312"/>
          <w:b/>
          <w:bCs/>
          <w:color w:val="auto"/>
          <w:sz w:val="32"/>
          <w:szCs w:val="32"/>
          <w:lang w:eastAsia="zh-CN"/>
        </w:rPr>
        <w:t>临时救助支出</w:t>
      </w:r>
      <w:r>
        <w:rPr>
          <w:rFonts w:hint="eastAsia" w:ascii="仿宋_GB2312" w:hAnsi="仿宋_GB2312" w:eastAsia="仿宋_GB2312" w:cs="仿宋_GB2312"/>
          <w:b/>
          <w:bCs/>
          <w:color w:val="auto"/>
          <w:sz w:val="32"/>
          <w:szCs w:val="32"/>
        </w:rPr>
        <w:t>（项）</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年初预算为0万元，支出决算为4.44万元。决算数与年初预算数存在差异的主要原因是春节慰问费用属年底追加的临时支出。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10．</w:t>
      </w:r>
      <w:r>
        <w:rPr>
          <w:rFonts w:hint="eastAsia" w:ascii="仿宋_GB2312" w:hAnsi="仿宋_GB2312" w:eastAsia="仿宋_GB2312" w:cs="仿宋_GB2312"/>
          <w:b/>
          <w:bCs/>
          <w:color w:val="auto"/>
          <w:sz w:val="32"/>
          <w:szCs w:val="32"/>
        </w:rPr>
        <w:t>卫生健康支</w:t>
      </w:r>
      <w:r>
        <w:rPr>
          <w:rFonts w:hint="eastAsia" w:ascii="仿宋_GB2312" w:hAnsi="仿宋_GB2312" w:eastAsia="仿宋_GB2312" w:cs="仿宋_GB2312"/>
          <w:b/>
          <w:bCs/>
          <w:color w:val="auto"/>
          <w:sz w:val="32"/>
          <w:szCs w:val="32"/>
          <w:lang w:eastAsia="zh-CN"/>
        </w:rPr>
        <w:t>出</w:t>
      </w:r>
      <w:r>
        <w:rPr>
          <w:rFonts w:hint="eastAsia" w:ascii="仿宋_GB2312" w:hAnsi="仿宋_GB2312" w:eastAsia="仿宋_GB2312" w:cs="仿宋_GB2312"/>
          <w:b/>
          <w:bCs/>
          <w:color w:val="auto"/>
          <w:sz w:val="32"/>
          <w:szCs w:val="32"/>
        </w:rPr>
        <w:t>（类）行政事业单位医疗（款）行政单位医疗（项）</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color w:val="auto"/>
          <w:sz w:val="32"/>
          <w:szCs w:val="32"/>
          <w:highlight w:val="none"/>
          <w:lang w:val="en-US" w:eastAsia="zh-CN"/>
        </w:rPr>
        <w:t>年初预算为33.15万元，支出决算为32.40万元，完成年初预算的97.74%。决算数与年初预算数存在差异的主要原因是医疗保险费使用了往年结余资金。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11．</w:t>
      </w:r>
      <w:r>
        <w:rPr>
          <w:rFonts w:hint="eastAsia" w:ascii="仿宋_GB2312" w:hAnsi="仿宋_GB2312" w:eastAsia="仿宋_GB2312" w:cs="仿宋_GB2312"/>
          <w:b/>
          <w:bCs/>
          <w:color w:val="auto"/>
          <w:sz w:val="32"/>
          <w:szCs w:val="32"/>
        </w:rPr>
        <w:t>卫生健康支</w:t>
      </w:r>
      <w:r>
        <w:rPr>
          <w:rFonts w:hint="eastAsia" w:ascii="仿宋_GB2312" w:hAnsi="仿宋_GB2312" w:eastAsia="仿宋_GB2312" w:cs="仿宋_GB2312"/>
          <w:b/>
          <w:bCs/>
          <w:color w:val="auto"/>
          <w:sz w:val="32"/>
          <w:szCs w:val="32"/>
          <w:lang w:eastAsia="zh-CN"/>
        </w:rPr>
        <w:t>出</w:t>
      </w:r>
      <w:r>
        <w:rPr>
          <w:rFonts w:hint="eastAsia" w:ascii="仿宋_GB2312" w:hAnsi="仿宋_GB2312" w:eastAsia="仿宋_GB2312" w:cs="仿宋_GB2312"/>
          <w:b/>
          <w:bCs/>
          <w:color w:val="auto"/>
          <w:sz w:val="32"/>
          <w:szCs w:val="32"/>
        </w:rPr>
        <w:t>（类）行政事业单位医疗（款）</w:t>
      </w:r>
      <w:r>
        <w:rPr>
          <w:rFonts w:hint="eastAsia" w:ascii="仿宋_GB2312" w:hAnsi="仿宋_GB2312" w:eastAsia="仿宋_GB2312" w:cs="仿宋_GB2312"/>
          <w:b/>
          <w:bCs/>
          <w:color w:val="auto"/>
          <w:sz w:val="32"/>
          <w:szCs w:val="32"/>
          <w:lang w:eastAsia="zh-CN"/>
        </w:rPr>
        <w:t>事业</w:t>
      </w:r>
      <w:r>
        <w:rPr>
          <w:rFonts w:hint="eastAsia" w:ascii="仿宋_GB2312" w:hAnsi="仿宋_GB2312" w:eastAsia="仿宋_GB2312" w:cs="仿宋_GB2312"/>
          <w:b/>
          <w:bCs/>
          <w:color w:val="auto"/>
          <w:sz w:val="32"/>
          <w:szCs w:val="32"/>
        </w:rPr>
        <w:t>单位医疗（项）</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color w:val="auto"/>
          <w:sz w:val="32"/>
          <w:szCs w:val="32"/>
          <w:highlight w:val="none"/>
          <w:lang w:val="en-US" w:eastAsia="zh-CN"/>
        </w:rPr>
        <w:t>年初预算为3.77万元，支出决算为3.67万元，完成年初预算的97.35%。决算数与年初预算数存在差异的主要原因是医疗保险费使用了往年结余资金。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default"/>
          <w:lang w:val="en-US" w:eastAsia="zh-CN"/>
        </w:rPr>
      </w:pPr>
      <w:r>
        <w:rPr>
          <w:rFonts w:hint="eastAsia" w:ascii="仿宋_GB2312" w:hAnsi="仿宋_GB2312" w:eastAsia="仿宋_GB2312" w:cs="仿宋_GB2312"/>
          <w:b/>
          <w:bCs/>
          <w:color w:val="auto"/>
          <w:sz w:val="32"/>
          <w:szCs w:val="32"/>
          <w:highlight w:val="none"/>
          <w:lang w:val="en-US" w:eastAsia="zh-CN"/>
        </w:rPr>
        <w:t>12．</w:t>
      </w:r>
      <w:r>
        <w:rPr>
          <w:rFonts w:hint="eastAsia" w:ascii="仿宋_GB2312" w:hAnsi="仿宋_GB2312" w:eastAsia="仿宋_GB2312" w:cs="仿宋_GB2312"/>
          <w:b/>
          <w:bCs/>
          <w:color w:val="auto"/>
          <w:sz w:val="32"/>
          <w:szCs w:val="32"/>
        </w:rPr>
        <w:t>卫生健康支</w:t>
      </w:r>
      <w:r>
        <w:rPr>
          <w:rFonts w:hint="eastAsia" w:ascii="仿宋_GB2312" w:hAnsi="仿宋_GB2312" w:eastAsia="仿宋_GB2312" w:cs="仿宋_GB2312"/>
          <w:b/>
          <w:bCs/>
          <w:color w:val="auto"/>
          <w:sz w:val="32"/>
          <w:szCs w:val="32"/>
          <w:lang w:eastAsia="zh-CN"/>
        </w:rPr>
        <w:t>出</w:t>
      </w:r>
      <w:r>
        <w:rPr>
          <w:rFonts w:hint="eastAsia" w:ascii="仿宋_GB2312" w:hAnsi="仿宋_GB2312" w:eastAsia="仿宋_GB2312" w:cs="仿宋_GB2312"/>
          <w:b/>
          <w:bCs/>
          <w:color w:val="auto"/>
          <w:sz w:val="32"/>
          <w:szCs w:val="32"/>
        </w:rPr>
        <w:t>（类）行政事业单位医疗（款）</w:t>
      </w:r>
      <w:r>
        <w:rPr>
          <w:rFonts w:hint="eastAsia" w:ascii="仿宋_GB2312" w:hAnsi="仿宋_GB2312" w:eastAsia="仿宋_GB2312" w:cs="仿宋_GB2312"/>
          <w:b/>
          <w:bCs/>
          <w:color w:val="auto"/>
          <w:sz w:val="32"/>
          <w:szCs w:val="32"/>
          <w:lang w:eastAsia="zh-CN"/>
        </w:rPr>
        <w:t>公务员医疗补充</w:t>
      </w:r>
      <w:r>
        <w:rPr>
          <w:rFonts w:hint="eastAsia" w:ascii="仿宋_GB2312" w:hAnsi="仿宋_GB2312" w:eastAsia="仿宋_GB2312" w:cs="仿宋_GB2312"/>
          <w:b/>
          <w:bCs/>
          <w:color w:val="auto"/>
          <w:sz w:val="32"/>
          <w:szCs w:val="32"/>
        </w:rPr>
        <w:t>（项）</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color w:val="auto"/>
          <w:sz w:val="32"/>
          <w:szCs w:val="32"/>
          <w:highlight w:val="none"/>
          <w:lang w:val="en-US" w:eastAsia="zh-CN"/>
        </w:rPr>
        <w:t>年初预算为35.16万元，支出决算为34.93万元，完成年初预算的99.35%。决算数与年初预算数存在差异的主要原因是公务员医疗补充缴费使用了往年结余资金。</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1750.40</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1458.32</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eastAsia="zh-CN"/>
        </w:rPr>
        <w:t>奖金、</w:t>
      </w:r>
      <w:r>
        <w:rPr>
          <w:rFonts w:hint="eastAsia" w:ascii="仿宋_GB2312" w:hAnsi="仿宋_GB2312" w:eastAsia="仿宋_GB2312" w:cs="仿宋_GB2312"/>
          <w:sz w:val="32"/>
          <w:szCs w:val="32"/>
          <w:highlight w:val="none"/>
        </w:rPr>
        <w:t>绩效工资、机关事业单位基本养老保险缴费、</w:t>
      </w:r>
      <w:r>
        <w:rPr>
          <w:rFonts w:hint="eastAsia" w:ascii="仿宋_GB2312" w:hAnsi="仿宋_GB2312" w:eastAsia="仿宋_GB2312" w:cs="仿宋_GB2312"/>
          <w:sz w:val="32"/>
          <w:szCs w:val="32"/>
          <w:highlight w:val="none"/>
          <w:lang w:eastAsia="zh-CN"/>
        </w:rPr>
        <w:t>职工基本医疗保障缴费、公务员医疗补助缴费、住房公积金、</w:t>
      </w:r>
      <w:r>
        <w:rPr>
          <w:rFonts w:hint="eastAsia" w:ascii="仿宋_GB2312" w:hAnsi="仿宋_GB2312" w:eastAsia="仿宋_GB2312" w:cs="仿宋_GB2312"/>
          <w:sz w:val="32"/>
          <w:szCs w:val="32"/>
          <w:highlight w:val="none"/>
        </w:rPr>
        <w:t>离休费、退休费、</w:t>
      </w:r>
      <w:r>
        <w:rPr>
          <w:rFonts w:hint="eastAsia" w:ascii="仿宋_GB2312" w:hAnsi="仿宋_GB2312" w:eastAsia="仿宋_GB2312" w:cs="仿宋_GB2312"/>
          <w:sz w:val="32"/>
          <w:szCs w:val="32"/>
          <w:highlight w:val="none"/>
          <w:lang w:eastAsia="zh-CN"/>
        </w:rPr>
        <w:t>医疗费</w:t>
      </w:r>
      <w:r>
        <w:rPr>
          <w:rFonts w:hint="eastAsia" w:ascii="仿宋_GB2312" w:hAnsi="仿宋_GB2312" w:eastAsia="仿宋_GB2312" w:cs="仿宋_GB2312"/>
          <w:sz w:val="32"/>
          <w:szCs w:val="32"/>
          <w:highlight w:val="none"/>
        </w:rPr>
        <w:t>补助</w:t>
      </w:r>
      <w:r>
        <w:rPr>
          <w:rFonts w:hint="eastAsia" w:ascii="仿宋_GB2312" w:hAnsi="仿宋_GB2312" w:eastAsia="仿宋_GB2312" w:cs="仿宋_GB2312"/>
          <w:sz w:val="32"/>
          <w:szCs w:val="32"/>
          <w:highlight w:val="none"/>
          <w:lang w:eastAsia="zh-CN"/>
        </w:rPr>
        <w:t>等</w:t>
      </w:r>
      <w:r>
        <w:rPr>
          <w:rFonts w:hint="eastAsia" w:ascii="仿宋_GB2312" w:hAnsi="仿宋_GB2312" w:eastAsia="仿宋_GB2312" w:cs="仿宋_GB2312"/>
          <w:sz w:val="32"/>
          <w:szCs w:val="32"/>
          <w:highlight w:val="none"/>
        </w:rPr>
        <w:t>；公用经费</w:t>
      </w:r>
      <w:r>
        <w:rPr>
          <w:rFonts w:hint="eastAsia" w:ascii="仿宋_GB2312" w:hAnsi="仿宋_GB2312" w:eastAsia="仿宋_GB2312" w:cs="仿宋_GB2312"/>
          <w:sz w:val="32"/>
          <w:szCs w:val="32"/>
          <w:highlight w:val="none"/>
          <w:lang w:val="en-US" w:eastAsia="zh-CN"/>
        </w:rPr>
        <w:t>292.08</w:t>
      </w:r>
      <w:r>
        <w:rPr>
          <w:rFonts w:hint="eastAsia" w:ascii="仿宋_GB2312" w:hAnsi="仿宋_GB2312" w:eastAsia="仿宋_GB2312" w:cs="仿宋_GB2312"/>
          <w:sz w:val="32"/>
          <w:szCs w:val="32"/>
          <w:highlight w:val="none"/>
        </w:rPr>
        <w:t>万元，主要包括：办公费、印刷费、咨询费、邮电费、差旅费</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维修（护）费、会议费、劳务费、委托业务费、工会经费、福利费、公务用车运行维护费、其他交通费用、办公设</w:t>
      </w:r>
      <w:bookmarkStart w:id="0" w:name="_GoBack"/>
      <w:bookmarkEnd w:id="0"/>
      <w:r>
        <w:rPr>
          <w:rFonts w:hint="eastAsia" w:ascii="仿宋_GB2312" w:hAnsi="仿宋_GB2312" w:eastAsia="仿宋_GB2312" w:cs="仿宋_GB2312"/>
          <w:sz w:val="32"/>
          <w:szCs w:val="32"/>
          <w:highlight w:val="none"/>
        </w:rPr>
        <w:t>备购置</w:t>
      </w:r>
      <w:r>
        <w:rPr>
          <w:rFonts w:hint="eastAsia" w:ascii="仿宋_GB2312" w:hAnsi="仿宋_GB2312" w:eastAsia="仿宋_GB2312" w:cs="仿宋_GB2312"/>
          <w:sz w:val="32"/>
          <w:szCs w:val="32"/>
          <w:highlight w:val="none"/>
          <w:lang w:eastAsia="zh-CN"/>
        </w:rPr>
        <w:t>等</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59.53</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20.48</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34.40</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color w:val="auto"/>
          <w:sz w:val="32"/>
          <w:szCs w:val="32"/>
          <w:highlight w:val="none"/>
          <w:lang w:val="en-US" w:eastAsia="zh-CN"/>
        </w:rPr>
        <w:t>压缩开支、节约经费</w:t>
      </w:r>
      <w:r>
        <w:rPr>
          <w:rFonts w:hint="eastAsia" w:ascii="仿宋_GB2312" w:hAnsi="仿宋_GB2312" w:eastAsia="仿宋_GB2312" w:cs="仿宋_GB2312"/>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0万元</w:t>
      </w:r>
      <w:r>
        <w:rPr>
          <w:rFonts w:hint="eastAsia" w:ascii="仿宋_GB2312" w:hAnsi="仿宋_GB2312" w:eastAsia="仿宋_GB2312" w:cs="仿宋_GB2312"/>
          <w:sz w:val="32"/>
          <w:szCs w:val="32"/>
          <w:highlight w:val="none"/>
        </w:rPr>
        <w:t>；公务用车购置及运行费支出决算</w:t>
      </w:r>
      <w:r>
        <w:rPr>
          <w:rFonts w:hint="eastAsia" w:ascii="仿宋_GB2312" w:hAnsi="仿宋_GB2312" w:eastAsia="仿宋_GB2312" w:cs="仿宋_GB2312"/>
          <w:sz w:val="32"/>
          <w:szCs w:val="32"/>
          <w:highlight w:val="none"/>
          <w:lang w:val="en-US" w:eastAsia="zh-CN"/>
        </w:rPr>
        <w:t>20.08</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35.86</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98.05</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0.40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11.33</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1.95</w:t>
      </w:r>
      <w:r>
        <w:rPr>
          <w:rFonts w:hint="eastAsia" w:ascii="仿宋_GB2312" w:hAnsi="仿宋_GB2312" w:eastAsia="仿宋_GB2312" w:cs="仿宋_GB2312"/>
          <w:sz w:val="32"/>
          <w:szCs w:val="32"/>
          <w:highlight w:val="none"/>
        </w:rPr>
        <w:t>%。具体情况如下：</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b/>
          <w:sz w:val="32"/>
          <w:szCs w:val="24"/>
          <w:lang w:val="en-US"/>
        </w:rPr>
        <w:t>因公出国（境）费</w:t>
      </w:r>
      <w:r>
        <w:rPr>
          <w:rFonts w:hint="eastAsia" w:ascii="仿宋_GB2312" w:hAnsi="仿宋_GB2312" w:eastAsia="仿宋_GB2312"/>
          <w:sz w:val="32"/>
          <w:szCs w:val="24"/>
          <w:lang w:val="en-US"/>
        </w:rPr>
        <w:t>预算为0万元，支出决算为0万元。决算数与预算数不存在差异</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全年</w:t>
      </w:r>
      <w:r>
        <w:rPr>
          <w:rFonts w:hint="eastAsia" w:ascii="仿宋_GB2312" w:hAnsi="仿宋_GB2312" w:eastAsia="仿宋_GB2312"/>
          <w:sz w:val="32"/>
          <w:szCs w:val="24"/>
          <w:lang w:val="en-US"/>
        </w:rPr>
        <w:t>因公出国（境）团组数0个，</w:t>
      </w:r>
      <w:r>
        <w:rPr>
          <w:rFonts w:hint="eastAsia" w:ascii="仿宋_GB2312" w:hAnsi="仿宋_GB2312" w:eastAsia="仿宋_GB2312"/>
          <w:sz w:val="32"/>
          <w:szCs w:val="24"/>
          <w:lang w:val="en-US" w:eastAsia="zh-CN"/>
        </w:rPr>
        <w:t>累计</w:t>
      </w:r>
      <w:r>
        <w:rPr>
          <w:rFonts w:hint="eastAsia" w:ascii="仿宋_GB2312" w:hAnsi="仿宋_GB2312" w:eastAsia="仿宋_GB2312"/>
          <w:sz w:val="32"/>
          <w:szCs w:val="24"/>
          <w:lang w:val="en-US"/>
        </w:rPr>
        <w:t>0人</w:t>
      </w:r>
      <w:r>
        <w:rPr>
          <w:rFonts w:hint="eastAsia" w:ascii="仿宋_GB2312" w:hAnsi="仿宋_GB2312" w:eastAsia="仿宋_GB2312"/>
          <w:sz w:val="32"/>
          <w:szCs w:val="24"/>
          <w:lang w:val="en-US" w:eastAsia="zh-CN"/>
        </w:rPr>
        <w:t>次</w:t>
      </w:r>
      <w:r>
        <w:rPr>
          <w:rFonts w:hint="eastAsia" w:ascii="仿宋_GB2312" w:hAnsi="仿宋_GB2312" w:eastAsia="仿宋_GB2312"/>
          <w:sz w:val="32"/>
          <w:szCs w:val="24"/>
          <w:lang w:val="en-US"/>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56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20.08</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35.86</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highlight w:val="none"/>
          <w:lang w:eastAsia="zh-CN"/>
        </w:rPr>
        <w:t>节约开支，</w:t>
      </w:r>
      <w:r>
        <w:rPr>
          <w:rFonts w:hint="eastAsia" w:ascii="仿宋_GB2312" w:hAnsi="仿宋_GB2312" w:eastAsia="仿宋_GB2312" w:cs="仿宋_GB2312"/>
          <w:color w:val="auto"/>
          <w:sz w:val="32"/>
          <w:szCs w:val="32"/>
          <w:highlight w:val="none"/>
          <w:lang w:val="en-US" w:eastAsia="zh-CN"/>
        </w:rPr>
        <w:t>公车运行维护费减少</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0万元</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20.08</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auto"/>
          <w:sz w:val="32"/>
          <w:szCs w:val="32"/>
          <w:highlight w:val="none"/>
          <w:lang w:val="en-US" w:eastAsia="zh-CN"/>
        </w:rPr>
        <w:t>主要用于</w:t>
      </w:r>
      <w:r>
        <w:rPr>
          <w:rFonts w:hint="eastAsia" w:ascii="仿宋_GB2312" w:hAnsi="仿宋_GB2312" w:eastAsia="仿宋_GB2312" w:cs="仿宋_GB2312"/>
          <w:color w:val="auto"/>
          <w:sz w:val="32"/>
          <w:szCs w:val="32"/>
        </w:rPr>
        <w:t>车辆维修</w:t>
      </w:r>
      <w:r>
        <w:rPr>
          <w:rFonts w:hint="eastAsia" w:ascii="仿宋_GB2312" w:hAnsi="仿宋_GB2312" w:eastAsia="仿宋_GB2312" w:cs="仿宋_GB2312"/>
          <w:color w:val="auto"/>
          <w:sz w:val="32"/>
          <w:szCs w:val="32"/>
          <w:lang w:eastAsia="zh-CN"/>
        </w:rPr>
        <w:t>、保养、加油、过路费、车辆配件</w:t>
      </w:r>
      <w:r>
        <w:rPr>
          <w:rFonts w:hint="eastAsia" w:ascii="仿宋_GB2312" w:hAnsi="仿宋_GB2312" w:eastAsia="仿宋_GB2312" w:cs="仿宋_GB2312"/>
          <w:color w:val="auto"/>
          <w:sz w:val="32"/>
          <w:szCs w:val="32"/>
        </w:rPr>
        <w:t>及</w:t>
      </w:r>
      <w:r>
        <w:rPr>
          <w:rFonts w:hint="eastAsia" w:ascii="仿宋_GB2312" w:hAnsi="仿宋_GB2312" w:eastAsia="仿宋_GB2312" w:cs="仿宋_GB2312"/>
          <w:color w:val="auto"/>
          <w:sz w:val="32"/>
          <w:szCs w:val="32"/>
          <w:lang w:eastAsia="zh-CN"/>
        </w:rPr>
        <w:t>清洗</w:t>
      </w:r>
      <w:r>
        <w:rPr>
          <w:rFonts w:hint="eastAsia" w:ascii="仿宋_GB2312" w:hAnsi="仿宋_GB2312" w:eastAsia="仿宋_GB2312" w:cs="仿宋_GB2312"/>
          <w:color w:val="auto"/>
          <w:sz w:val="32"/>
          <w:szCs w:val="32"/>
        </w:rPr>
        <w:t>费</w:t>
      </w:r>
      <w:r>
        <w:rPr>
          <w:rFonts w:hint="eastAsia" w:ascii="仿宋_GB2312" w:hAnsi="仿宋_GB2312" w:eastAsia="仿宋_GB2312" w:cs="仿宋_GB2312"/>
          <w:color w:val="auto"/>
          <w:sz w:val="32"/>
          <w:szCs w:val="32"/>
          <w:highlight w:val="none"/>
          <w:lang w:val="en-US" w:eastAsia="zh-CN"/>
        </w:rPr>
        <w:t>等。2021年期末，部门开支财政拨款的公务用车保有量为14辆。</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3.53</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0.40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11.33</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color w:val="auto"/>
          <w:sz w:val="32"/>
          <w:szCs w:val="32"/>
        </w:rPr>
        <w:t>根据八项规定严格控制公务接待费支出</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0万元</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0.40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auto"/>
          <w:sz w:val="32"/>
          <w:szCs w:val="32"/>
        </w:rPr>
        <w:t>主要用于外省市及省内其他地市人大来许相关接待费用</w:t>
      </w:r>
      <w:r>
        <w:rPr>
          <w:rFonts w:hint="eastAsia" w:ascii="仿宋_GB2312" w:hAnsi="仿宋_GB2312" w:eastAsia="仿宋_GB2312" w:cs="仿宋_GB2312"/>
          <w:color w:val="auto"/>
          <w:sz w:val="32"/>
          <w:szCs w:val="32"/>
          <w:highlight w:val="none"/>
          <w:lang w:val="en-US" w:eastAsia="zh-CN"/>
        </w:rPr>
        <w:t>。2021年共接待国内来访团组5个、来宾39人次（不包括陪同人员）。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0万元</w:t>
      </w:r>
      <w:r>
        <w:rPr>
          <w:rFonts w:hint="eastAsia" w:ascii="仿宋_GB2312" w:hAnsi="仿宋_GB2312" w:eastAsia="仿宋_GB2312" w:cs="仿宋_GB2312"/>
          <w:sz w:val="32"/>
          <w:szCs w:val="32"/>
          <w:highlight w:val="none"/>
        </w:rPr>
        <w:t>，支出决算为</w:t>
      </w:r>
      <w:r>
        <w:rPr>
          <w:rFonts w:hint="eastAsia" w:ascii="仿宋_GB2312" w:hAnsi="仿宋_GB2312" w:eastAsia="仿宋_GB2312" w:cs="仿宋_GB2312"/>
          <w:sz w:val="32"/>
          <w:szCs w:val="32"/>
          <w:highlight w:val="none"/>
          <w:lang w:val="en-US" w:eastAsia="zh-CN"/>
        </w:rPr>
        <w:t>0万元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auto"/>
          <w:sz w:val="32"/>
          <w:szCs w:val="32"/>
          <w:highlight w:val="none"/>
          <w:lang w:eastAsia="zh-CN"/>
        </w:rPr>
        <w:t>不存在</w:t>
      </w:r>
      <w:r>
        <w:rPr>
          <w:rFonts w:hint="eastAsia" w:ascii="仿宋_GB2312" w:hAnsi="仿宋_GB2312" w:eastAsia="仿宋_GB2312" w:cs="仿宋_GB2312"/>
          <w:color w:val="auto"/>
          <w:sz w:val="32"/>
          <w:szCs w:val="32"/>
          <w:highlight w:val="none"/>
        </w:rPr>
        <w:t>项目年末结转和结余资金数额较大</w:t>
      </w:r>
      <w:r>
        <w:rPr>
          <w:rFonts w:hint="eastAsia" w:ascii="仿宋_GB2312" w:hAnsi="仿宋_GB2312" w:eastAsia="仿宋_GB2312" w:cs="仿宋_GB2312"/>
          <w:color w:val="auto"/>
          <w:sz w:val="32"/>
          <w:szCs w:val="32"/>
          <w:highlight w:val="none"/>
          <w:lang w:eastAsia="zh-CN"/>
        </w:rPr>
        <w:t>。情况说明：我部门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lang w:eastAsia="zh-CN"/>
        </w:rPr>
        <w:t>没有政府性基金收入，也没有使用政府性基金安排的支出</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270.66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292.08</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107.91</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因在职人数增加，</w:t>
      </w:r>
      <w:r>
        <w:rPr>
          <w:rFonts w:hint="eastAsia" w:ascii="仿宋_GB2312" w:hAnsi="仿宋_GB2312" w:eastAsia="仿宋_GB2312" w:cs="仿宋_GB2312"/>
          <w:color w:val="auto"/>
          <w:sz w:val="32"/>
          <w:szCs w:val="32"/>
          <w:lang w:val="en-US" w:eastAsia="zh-CN"/>
        </w:rPr>
        <w:t>使用了部分往年累计结余资金</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outlineLvl w:val="1"/>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0万</w:t>
      </w:r>
      <w:r>
        <w:rPr>
          <w:rFonts w:hint="eastAsia" w:ascii="仿宋_GB2312" w:hAnsi="仿宋_GB2312" w:eastAsia="仿宋_GB2312" w:cs="仿宋_GB2312"/>
          <w:color w:val="auto"/>
          <w:sz w:val="32"/>
          <w:szCs w:val="32"/>
          <w:highlight w:val="none"/>
        </w:rPr>
        <w:t>元，其中：政府采购货物支出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其中：授予小微企业合同金额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w:t>
      </w:r>
      <w:r>
        <w:rPr>
          <w:rFonts w:hint="eastAsia" w:ascii="仿宋_GB2312" w:hAnsi="仿宋_GB2312" w:eastAsia="仿宋_GB2312" w:cs="仿宋_GB2312"/>
          <w:sz w:val="32"/>
          <w:szCs w:val="32"/>
          <w:highlight w:val="none"/>
          <w:lang w:eastAsia="zh-CN"/>
        </w:rPr>
        <w:t>部门</w:t>
      </w:r>
      <w:r>
        <w:rPr>
          <w:rFonts w:hint="eastAsia" w:ascii="仿宋_GB2312" w:hAnsi="仿宋_GB2312" w:eastAsia="仿宋_GB2312" w:cs="仿宋_GB2312"/>
          <w:sz w:val="32"/>
          <w:szCs w:val="32"/>
          <w:highlight w:val="none"/>
        </w:rPr>
        <w:t>共有车辆</w:t>
      </w:r>
      <w:r>
        <w:rPr>
          <w:rFonts w:hint="eastAsia" w:ascii="仿宋_GB2312" w:hAnsi="仿宋_GB2312" w:eastAsia="仿宋_GB2312" w:cs="仿宋_GB2312"/>
          <w:sz w:val="32"/>
          <w:szCs w:val="32"/>
          <w:highlight w:val="none"/>
          <w:lang w:val="en-US" w:eastAsia="zh-CN"/>
        </w:rPr>
        <w:t>14</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13</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我部门按照《中共许昌市委 许昌市人民政府关于全面实施预算绩效管理的实施意见》（许发〔2021〕13号）文件要求，对本部门整体支出和项目支出开展全过程预算绩效管理。我部门高度重视绩效管理工作，全面深化贯穿预算编制、执行、监督全过程的绩效管理理念，积极开展预算绩效管理工作，采取事前申报绩效目标、事中开展绩效日常监督、事后进行绩效评价的方式，建立了全过程的绩效管理模式，并将绩效结果运用到实际工作中。</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（二）部门整体和项目绩效自评结果。</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 w:hAnsi="仿宋" w:eastAsia="仿宋" w:cs="仿宋"/>
          <w:sz w:val="32"/>
          <w:szCs w:val="32"/>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按照《许昌市财政局关于开展2021年度市级预算绩效自评工作的通知》（许财效〔2022〕1号）等文件精神，我部门对本部门整体绩效目标和项目支出绩效目标进行了自评。一是部门整体绩效自评情况</w:t>
      </w:r>
      <w:r>
        <w:rPr>
          <w:rFonts w:hint="eastAsia" w:ascii="仿宋_GB2312" w:hAnsi="仿宋_GB2312" w:eastAsia="仿宋_GB2312" w:cs="仿宋_GB2312"/>
          <w:sz w:val="32"/>
          <w:szCs w:val="32"/>
          <w:lang w:eastAsia="zh-CN"/>
        </w:rPr>
        <w:t>良好，</w:t>
      </w:r>
      <w:r>
        <w:rPr>
          <w:rFonts w:hint="eastAsia" w:ascii="仿宋" w:hAnsi="仿宋" w:eastAsia="仿宋" w:cs="仿宋"/>
          <w:sz w:val="32"/>
          <w:szCs w:val="32"/>
        </w:rPr>
        <w:t>整体自评得分</w:t>
      </w:r>
      <w:r>
        <w:rPr>
          <w:rFonts w:hint="eastAsia" w:ascii="仿宋" w:hAnsi="仿宋" w:eastAsia="仿宋" w:cs="仿宋"/>
          <w:sz w:val="32"/>
          <w:szCs w:val="32"/>
          <w:lang w:val="en-US" w:eastAsia="zh-CN"/>
        </w:rPr>
        <w:t>95</w:t>
      </w:r>
      <w:r>
        <w:rPr>
          <w:rFonts w:hint="eastAsia" w:ascii="仿宋" w:hAnsi="仿宋" w:eastAsia="仿宋" w:cs="仿宋"/>
          <w:sz w:val="32"/>
          <w:szCs w:val="32"/>
        </w:rPr>
        <w:t>分，其中预算执行率</w:t>
      </w:r>
      <w:r>
        <w:rPr>
          <w:rFonts w:hint="eastAsia" w:ascii="仿宋" w:hAnsi="仿宋" w:eastAsia="仿宋" w:cs="仿宋"/>
          <w:sz w:val="32"/>
          <w:szCs w:val="32"/>
          <w:lang w:val="en-US" w:eastAsia="zh-CN"/>
        </w:rPr>
        <w:t>9</w:t>
      </w:r>
      <w:r>
        <w:rPr>
          <w:rFonts w:hint="eastAsia" w:ascii="仿宋" w:hAnsi="仿宋" w:eastAsia="仿宋" w:cs="仿宋"/>
          <w:sz w:val="32"/>
          <w:szCs w:val="32"/>
        </w:rPr>
        <w:t>分、履职能效29</w:t>
      </w:r>
      <w:r>
        <w:rPr>
          <w:rFonts w:hint="eastAsia" w:ascii="仿宋" w:hAnsi="仿宋" w:eastAsia="仿宋" w:cs="仿宋"/>
          <w:sz w:val="32"/>
          <w:szCs w:val="32"/>
          <w:lang w:val="en-US" w:eastAsia="zh-CN"/>
        </w:rPr>
        <w:t>.5</w:t>
      </w:r>
      <w:r>
        <w:rPr>
          <w:rFonts w:hint="eastAsia" w:ascii="仿宋" w:hAnsi="仿宋" w:eastAsia="仿宋" w:cs="仿宋"/>
          <w:sz w:val="32"/>
          <w:szCs w:val="32"/>
        </w:rPr>
        <w:t>分、管理效率和运行成本</w:t>
      </w:r>
      <w:r>
        <w:rPr>
          <w:rFonts w:hint="eastAsia" w:ascii="仿宋" w:hAnsi="仿宋" w:eastAsia="仿宋" w:cs="仿宋"/>
          <w:sz w:val="32"/>
          <w:szCs w:val="32"/>
          <w:lang w:val="en-US" w:eastAsia="zh-CN"/>
        </w:rPr>
        <w:t>36.5</w:t>
      </w:r>
      <w:r>
        <w:rPr>
          <w:rFonts w:hint="eastAsia" w:ascii="仿宋" w:hAnsi="仿宋" w:eastAsia="仿宋" w:cs="仿宋"/>
          <w:sz w:val="32"/>
          <w:szCs w:val="32"/>
        </w:rPr>
        <w:t>分、服务满意和可持续性</w:t>
      </w:r>
      <w:r>
        <w:rPr>
          <w:rFonts w:hint="eastAsia" w:ascii="仿宋" w:hAnsi="仿宋" w:eastAsia="仿宋" w:cs="仿宋"/>
          <w:sz w:val="32"/>
          <w:szCs w:val="32"/>
          <w:lang w:val="en-US" w:eastAsia="zh-CN"/>
        </w:rPr>
        <w:t>20</w:t>
      </w:r>
      <w:r>
        <w:rPr>
          <w:rFonts w:hint="eastAsia" w:ascii="仿宋" w:hAnsi="仿宋" w:eastAsia="仿宋" w:cs="仿宋"/>
          <w:sz w:val="32"/>
          <w:szCs w:val="32"/>
        </w:rPr>
        <w:t>分。各项指标基本达到了预期绩效目标</w:t>
      </w:r>
      <w:r>
        <w:rPr>
          <w:rFonts w:hint="eastAsia" w:ascii="仿宋_GB2312" w:hAnsi="仿宋_GB2312" w:eastAsia="仿宋_GB2312" w:cs="仿宋_GB2312"/>
          <w:color w:val="auto"/>
          <w:sz w:val="32"/>
          <w:szCs w:val="32"/>
          <w:highlight w:val="none"/>
          <w:lang w:val="en-US" w:eastAsia="zh-CN"/>
        </w:rPr>
        <w:t>。二是项目绩效自评情况。我</w:t>
      </w:r>
      <w:r>
        <w:rPr>
          <w:rFonts w:hint="eastAsia" w:ascii="仿宋" w:hAnsi="仿宋" w:eastAsia="仿宋" w:cs="仿宋"/>
          <w:sz w:val="32"/>
          <w:szCs w:val="32"/>
        </w:rPr>
        <w:t>部门</w:t>
      </w:r>
      <w:r>
        <w:rPr>
          <w:rFonts w:hint="eastAsia" w:ascii="仿宋" w:hAnsi="仿宋" w:eastAsia="仿宋" w:cs="仿宋"/>
          <w:sz w:val="32"/>
          <w:szCs w:val="32"/>
          <w:lang w:eastAsia="zh-CN"/>
        </w:rPr>
        <w:t>共有5个项目批复了绩效目标，项目</w:t>
      </w:r>
      <w:r>
        <w:rPr>
          <w:rFonts w:hint="eastAsia" w:ascii="仿宋_GB2312" w:hAnsi="仿宋_GB2312" w:eastAsia="仿宋_GB2312" w:cs="仿宋_GB2312"/>
          <w:color w:val="auto"/>
          <w:sz w:val="32"/>
          <w:szCs w:val="32"/>
          <w:highlight w:val="none"/>
          <w:lang w:val="en-US" w:eastAsia="zh-CN"/>
        </w:rPr>
        <w:t>金额</w:t>
      </w:r>
      <w:r>
        <w:rPr>
          <w:rFonts w:hint="eastAsia" w:ascii="仿宋" w:hAnsi="仿宋" w:eastAsia="仿宋" w:cs="仿宋"/>
          <w:sz w:val="32"/>
          <w:szCs w:val="32"/>
          <w:lang w:val="en-US" w:eastAsia="zh-CN"/>
        </w:rPr>
        <w:t>359.60万元。</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 w:hAnsi="仿宋" w:eastAsia="仿宋" w:cs="仿宋"/>
          <w:sz w:val="32"/>
          <w:szCs w:val="32"/>
          <w:lang w:val="en-US" w:eastAsia="zh-CN"/>
        </w:rPr>
        <w:t>基于项目预期目标的实现程度，对2021年度项目支出绩效进行自评，绩效自评平均得分为97.4分。其中：</w:t>
      </w:r>
      <w:r>
        <w:rPr>
          <w:rFonts w:hint="eastAsia" w:ascii="仿宋_GB2312" w:hAnsi="仿宋_GB2312" w:eastAsia="仿宋_GB2312" w:cs="仿宋_GB2312"/>
          <w:color w:val="auto"/>
          <w:sz w:val="32"/>
          <w:szCs w:val="32"/>
          <w:highlight w:val="none"/>
          <w:lang w:val="en-US" w:eastAsia="zh-CN"/>
        </w:rPr>
        <w:t>4个项目评价等级为“优”、1个项目评价等级为“良”、0个项目评价等级为“中”、0个项目评价等级为“差”。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2"/>
        <w:rPr>
          <w:rFonts w:hint="eastAsia"/>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2021年我部门没有开展重点绩效评价的项目。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W1TIQ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zQ2H8oBAACcAwAADgAAAGRycy9lMm9Eb2MueG1srVPNjtMwEL4j8Q6W&#10;79RpJaCK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TEcYsDv3z/dvnx6/LzK1lW&#10;q9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pzQ2H8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XXqVL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3ODFkYzBkMmMyMjNiMDI0MmU5MjY5ZWYzMGM4Njk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05009"/>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B0D73"/>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4B37C5"/>
    <w:rsid w:val="02A3489A"/>
    <w:rsid w:val="02CA138D"/>
    <w:rsid w:val="033646FC"/>
    <w:rsid w:val="03C75F80"/>
    <w:rsid w:val="0478364D"/>
    <w:rsid w:val="053D4C0D"/>
    <w:rsid w:val="0557532E"/>
    <w:rsid w:val="0799329C"/>
    <w:rsid w:val="08397436"/>
    <w:rsid w:val="086F16A7"/>
    <w:rsid w:val="0A0F7225"/>
    <w:rsid w:val="0A2B7D82"/>
    <w:rsid w:val="0ADC40E9"/>
    <w:rsid w:val="0AE607F4"/>
    <w:rsid w:val="0B386127"/>
    <w:rsid w:val="0B451598"/>
    <w:rsid w:val="0BEC73F4"/>
    <w:rsid w:val="0C392698"/>
    <w:rsid w:val="10BD36F6"/>
    <w:rsid w:val="11BF0649"/>
    <w:rsid w:val="123E3E08"/>
    <w:rsid w:val="133212F4"/>
    <w:rsid w:val="13D22E22"/>
    <w:rsid w:val="161C2DFF"/>
    <w:rsid w:val="16373578"/>
    <w:rsid w:val="16D3336B"/>
    <w:rsid w:val="17200028"/>
    <w:rsid w:val="17806C36"/>
    <w:rsid w:val="17A74F62"/>
    <w:rsid w:val="18A47774"/>
    <w:rsid w:val="1A8D28EB"/>
    <w:rsid w:val="1A9F2D78"/>
    <w:rsid w:val="1B2E6FD8"/>
    <w:rsid w:val="1B877D21"/>
    <w:rsid w:val="1C4319A9"/>
    <w:rsid w:val="1E443B4B"/>
    <w:rsid w:val="1E994F4A"/>
    <w:rsid w:val="1EAF0224"/>
    <w:rsid w:val="1F2230A4"/>
    <w:rsid w:val="20210932"/>
    <w:rsid w:val="202448E0"/>
    <w:rsid w:val="20F614FE"/>
    <w:rsid w:val="21302EEA"/>
    <w:rsid w:val="22376FB5"/>
    <w:rsid w:val="23E152D7"/>
    <w:rsid w:val="23EE2489"/>
    <w:rsid w:val="255D43C8"/>
    <w:rsid w:val="26714EF8"/>
    <w:rsid w:val="26876BDD"/>
    <w:rsid w:val="2714632A"/>
    <w:rsid w:val="27541E73"/>
    <w:rsid w:val="27B0539E"/>
    <w:rsid w:val="29365CF8"/>
    <w:rsid w:val="299469B3"/>
    <w:rsid w:val="2A805789"/>
    <w:rsid w:val="2ADC0D75"/>
    <w:rsid w:val="2B4A0E52"/>
    <w:rsid w:val="2C975890"/>
    <w:rsid w:val="2DEF21BB"/>
    <w:rsid w:val="2E4A2F05"/>
    <w:rsid w:val="2ECC1061"/>
    <w:rsid w:val="2FA476AD"/>
    <w:rsid w:val="303F7540"/>
    <w:rsid w:val="31DD00BF"/>
    <w:rsid w:val="3293174C"/>
    <w:rsid w:val="32BB38D4"/>
    <w:rsid w:val="32C9376D"/>
    <w:rsid w:val="33780472"/>
    <w:rsid w:val="33AF0905"/>
    <w:rsid w:val="355932F4"/>
    <w:rsid w:val="35611882"/>
    <w:rsid w:val="36746FC3"/>
    <w:rsid w:val="368763AE"/>
    <w:rsid w:val="395D59E7"/>
    <w:rsid w:val="39A93932"/>
    <w:rsid w:val="3A915562"/>
    <w:rsid w:val="3B8D4765"/>
    <w:rsid w:val="3C000DBA"/>
    <w:rsid w:val="3DC045D3"/>
    <w:rsid w:val="3E504FFB"/>
    <w:rsid w:val="3E615CD0"/>
    <w:rsid w:val="3E9C47F6"/>
    <w:rsid w:val="3F8B0112"/>
    <w:rsid w:val="3FAB3095"/>
    <w:rsid w:val="3FE45947"/>
    <w:rsid w:val="41242965"/>
    <w:rsid w:val="435671EA"/>
    <w:rsid w:val="440809E9"/>
    <w:rsid w:val="442407A6"/>
    <w:rsid w:val="44805EA1"/>
    <w:rsid w:val="45710696"/>
    <w:rsid w:val="46142B1B"/>
    <w:rsid w:val="47E60DD0"/>
    <w:rsid w:val="48735039"/>
    <w:rsid w:val="492C684B"/>
    <w:rsid w:val="49500594"/>
    <w:rsid w:val="49E7604E"/>
    <w:rsid w:val="4BF67CDD"/>
    <w:rsid w:val="4C242D57"/>
    <w:rsid w:val="4D173441"/>
    <w:rsid w:val="4D603DD6"/>
    <w:rsid w:val="4EBF010F"/>
    <w:rsid w:val="4F471EB0"/>
    <w:rsid w:val="5058465D"/>
    <w:rsid w:val="51331326"/>
    <w:rsid w:val="51740A7F"/>
    <w:rsid w:val="51A5541E"/>
    <w:rsid w:val="51C96242"/>
    <w:rsid w:val="52F84C5B"/>
    <w:rsid w:val="53906AE1"/>
    <w:rsid w:val="54F46F60"/>
    <w:rsid w:val="55A37BEA"/>
    <w:rsid w:val="55F41B41"/>
    <w:rsid w:val="56362CD2"/>
    <w:rsid w:val="5784687B"/>
    <w:rsid w:val="57846959"/>
    <w:rsid w:val="578E6A87"/>
    <w:rsid w:val="5AC2203A"/>
    <w:rsid w:val="5B0E390D"/>
    <w:rsid w:val="5BA66C45"/>
    <w:rsid w:val="5BBF639F"/>
    <w:rsid w:val="5CBB3334"/>
    <w:rsid w:val="5D115FAF"/>
    <w:rsid w:val="5D3A3FBD"/>
    <w:rsid w:val="5E66449B"/>
    <w:rsid w:val="5F1DE9D5"/>
    <w:rsid w:val="5F9117B9"/>
    <w:rsid w:val="61A26CD7"/>
    <w:rsid w:val="624636C6"/>
    <w:rsid w:val="62811722"/>
    <w:rsid w:val="62E75A72"/>
    <w:rsid w:val="64571880"/>
    <w:rsid w:val="649125B6"/>
    <w:rsid w:val="652F4C1A"/>
    <w:rsid w:val="666D37F1"/>
    <w:rsid w:val="67087D8F"/>
    <w:rsid w:val="671F687E"/>
    <w:rsid w:val="67F415F8"/>
    <w:rsid w:val="682640D1"/>
    <w:rsid w:val="684B73E5"/>
    <w:rsid w:val="6A047A2A"/>
    <w:rsid w:val="6EFB7548"/>
    <w:rsid w:val="6F3831C3"/>
    <w:rsid w:val="6F8B71C1"/>
    <w:rsid w:val="70753482"/>
    <w:rsid w:val="707B522A"/>
    <w:rsid w:val="70BC26B9"/>
    <w:rsid w:val="73194D05"/>
    <w:rsid w:val="73A83B0E"/>
    <w:rsid w:val="744D3EF9"/>
    <w:rsid w:val="74794411"/>
    <w:rsid w:val="755F33FA"/>
    <w:rsid w:val="75867C40"/>
    <w:rsid w:val="75B10B26"/>
    <w:rsid w:val="76432199"/>
    <w:rsid w:val="767F4AD7"/>
    <w:rsid w:val="76F44829"/>
    <w:rsid w:val="772E1E4E"/>
    <w:rsid w:val="77A267C0"/>
    <w:rsid w:val="78882278"/>
    <w:rsid w:val="78B118A6"/>
    <w:rsid w:val="79135044"/>
    <w:rsid w:val="79982FA7"/>
    <w:rsid w:val="7A7D0F99"/>
    <w:rsid w:val="7ABDA7F4"/>
    <w:rsid w:val="7BDFC3B0"/>
    <w:rsid w:val="7DB7DDE6"/>
    <w:rsid w:val="7E4A0E7C"/>
    <w:rsid w:val="7EFD449D"/>
    <w:rsid w:val="7F5DC691"/>
    <w:rsid w:val="7FFF1D52"/>
    <w:rsid w:val="7FFFBA98"/>
    <w:rsid w:val="B2F61C39"/>
    <w:rsid w:val="C78D1D2B"/>
    <w:rsid w:val="DF1E8555"/>
    <w:rsid w:val="E3F6C5BA"/>
    <w:rsid w:val="E75F7FC4"/>
    <w:rsid w:val="EA6DAA34"/>
    <w:rsid w:val="ED7354B9"/>
    <w:rsid w:val="EE5DD889"/>
    <w:rsid w:val="EFFEEA82"/>
    <w:rsid w:val="FF0B6572"/>
    <w:rsid w:val="FFE73AEB"/>
    <w:rsid w:val="FFF8E99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3">
    <w:name w:val="Balloon Text"/>
    <w:basedOn w:val="1"/>
    <w:link w:val="11"/>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unhideWhenUsed/>
    <w:qFormat/>
    <w:uiPriority w:val="99"/>
    <w:rPr>
      <w:color w:val="800080"/>
      <w:u w:val="single"/>
    </w:rPr>
  </w:style>
  <w:style w:type="character" w:styleId="10">
    <w:name w:val="Hyperlink"/>
    <w:unhideWhenUsed/>
    <w:qFormat/>
    <w:uiPriority w:val="99"/>
    <w:rPr>
      <w:color w:val="0000FF"/>
      <w:u w:val="single"/>
    </w:rPr>
  </w:style>
  <w:style w:type="character" w:customStyle="1" w:styleId="11">
    <w:name w:val="批注框文本 Char"/>
    <w:link w:val="3"/>
    <w:semiHidden/>
    <w:qFormat/>
    <w:uiPriority w:val="99"/>
    <w:rPr>
      <w:kern w:val="2"/>
      <w:sz w:val="18"/>
      <w:szCs w:val="18"/>
    </w:rPr>
  </w:style>
  <w:style w:type="character" w:customStyle="1" w:styleId="12">
    <w:name w:val="页脚 Char"/>
    <w:link w:val="4"/>
    <w:qFormat/>
    <w:uiPriority w:val="99"/>
    <w:rPr>
      <w:kern w:val="2"/>
      <w:sz w:val="18"/>
      <w:szCs w:val="18"/>
    </w:rPr>
  </w:style>
  <w:style w:type="character" w:customStyle="1" w:styleId="13">
    <w:name w:val="页眉 Char"/>
    <w:link w:val="5"/>
    <w:qFormat/>
    <w:uiPriority w:val="99"/>
    <w:rPr>
      <w:kern w:val="2"/>
      <w:sz w:val="18"/>
      <w:szCs w:val="18"/>
    </w:rPr>
  </w:style>
  <w:style w:type="character" w:customStyle="1" w:styleId="14">
    <w:name w:val="font01"/>
    <w:qFormat/>
    <w:uiPriority w:val="0"/>
    <w:rPr>
      <w:rFonts w:hint="eastAsia" w:ascii="宋体" w:hAnsi="宋体" w:eastAsia="宋体" w:cs="宋体"/>
      <w:color w:val="000000"/>
      <w:sz w:val="22"/>
      <w:szCs w:val="22"/>
      <w:u w:val="none"/>
    </w:rPr>
  </w:style>
  <w:style w:type="character" w:customStyle="1" w:styleId="15">
    <w:name w:val="font21"/>
    <w:qFormat/>
    <w:uiPriority w:val="0"/>
    <w:rPr>
      <w:rFonts w:hint="eastAsia" w:ascii="宋体" w:hAnsi="宋体" w:eastAsia="宋体" w:cs="宋体"/>
      <w:color w:val="000000"/>
      <w:sz w:val="22"/>
      <w:szCs w:val="22"/>
      <w:u w:val="none"/>
    </w:rPr>
  </w:style>
  <w:style w:type="character" w:customStyle="1" w:styleId="16">
    <w:name w:val="font51"/>
    <w:qFormat/>
    <w:uiPriority w:val="0"/>
    <w:rPr>
      <w:rFonts w:hint="eastAsia" w:ascii="宋体" w:hAnsi="宋体" w:eastAsia="宋体" w:cs="宋体"/>
      <w:color w:val="000000"/>
      <w:sz w:val="24"/>
      <w:szCs w:val="24"/>
      <w:u w:val="none"/>
    </w:rPr>
  </w:style>
  <w:style w:type="character" w:customStyle="1" w:styleId="17">
    <w:name w:val="font11"/>
    <w:qFormat/>
    <w:uiPriority w:val="0"/>
    <w:rPr>
      <w:rFonts w:hint="eastAsia" w:ascii="宋体" w:hAnsi="宋体" w:eastAsia="宋体" w:cs="宋体"/>
      <w:color w:val="000000"/>
      <w:sz w:val="20"/>
      <w:szCs w:val="20"/>
      <w:u w:val="none"/>
    </w:rPr>
  </w:style>
  <w:style w:type="character" w:customStyle="1" w:styleId="18">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32</Pages>
  <Words>8704</Words>
  <Characters>10836</Characters>
  <Lines>60</Lines>
  <Paragraphs>16</Paragraphs>
  <TotalTime>13</TotalTime>
  <ScaleCrop>false</ScaleCrop>
  <LinksUpToDate>false</LinksUpToDate>
  <CharactersWithSpaces>11095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2007-12-04T14:41:00Z</dcterms:created>
  <dc:creator>管理者</dc:creator>
  <cp:lastModifiedBy>Administrator</cp:lastModifiedBy>
  <cp:lastPrinted>2018-07-29T21:50:00Z</cp:lastPrinted>
  <dcterms:modified xsi:type="dcterms:W3CDTF">2023-05-19T08:33:27Z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C5157D40E1B4415499A86CAE59BE5950</vt:lpwstr>
  </property>
</Properties>
</file>