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许昌市人力资源和社会保障局</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许昌市人力资源和社会保障局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pStyle w:val="2"/>
        <w:ind w:left="0" w:leftChars="0" w:firstLine="0" w:firstLineChars="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pStyle w:val="2"/>
        <w:rPr>
          <w:rFonts w:hint="eastAsia"/>
          <w:color w:val="auto"/>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许昌市人力资源和社会保障局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color w:val="auto"/>
          <w:kern w:val="2"/>
          <w:sz w:val="32"/>
          <w:szCs w:val="32"/>
          <w:highlight w:val="none"/>
          <w:lang w:val="en-US" w:eastAsia="zh-CN" w:bidi="ar"/>
        </w:rPr>
        <w:t>贯彻执行国家人力资源和社会保障法律法规、政策,拟订全市人力资源和社会保障事业发展规划和相关规范性文件并负责组织实施和监督检查。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color w:val="auto"/>
          <w:kern w:val="2"/>
          <w:sz w:val="32"/>
          <w:szCs w:val="32"/>
          <w:highlight w:val="none"/>
          <w:lang w:val="en-US" w:eastAsia="zh-CN" w:bidi="ar"/>
        </w:rPr>
        <w:t>拟订全市人力资源市场发展规划和人力资源服务业发展、人力资源流动相关规范性文件,推动建立统一开放、竞争有序的人力资源市场体系,促进人力资源合理流动和优化配置。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color w:val="auto"/>
          <w:kern w:val="2"/>
          <w:sz w:val="32"/>
          <w:szCs w:val="32"/>
          <w:highlight w:val="none"/>
          <w:lang w:val="en-US" w:eastAsia="zh-CN" w:bidi="ar"/>
        </w:rPr>
        <w:t>负责全市促进就业工作,贯彻落实全省统筹城乡的就业发展规划和政策,完善公共就业创业服务体系,统筹建立全市面向城乡劳动者的职业技能培训制度,贯彻落实就业援助制度,牵头拟订全市高校毕业生就业的规范性文件。会同有关部门拟订高技能人才、农村实用人才培养和激励的相关规范性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color w:val="auto"/>
          <w:kern w:val="2"/>
          <w:sz w:val="32"/>
          <w:szCs w:val="32"/>
          <w:highlight w:val="none"/>
          <w:lang w:val="en-US" w:eastAsia="zh-CN" w:bidi="ar"/>
        </w:rPr>
        <w:t>统筹推进建立全市覆盖城乡的多层次社会保障体系。贯彻落实全省养老、失业、工伤等社会保险及其补充保险政策和标准。贯彻落实养老保险全省统筹办法和全省统一的养老、失业、工伤保险关系转续办法。组织拟订养老、失业、工伤等社会保险及其补充保险基金管理和监督制度,编制相关社会保险基金预决算草案,贯彻落实相关社会保障基金投资政策。会同有关部门实施全民参保计划并建立统一的社会保险公共服务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color w:val="auto"/>
          <w:kern w:val="2"/>
          <w:sz w:val="32"/>
          <w:szCs w:val="32"/>
          <w:highlight w:val="none"/>
          <w:lang w:val="en-US" w:eastAsia="zh-CN" w:bidi="ar"/>
        </w:rPr>
        <w:t>负责全市就业、失业和相关社会保险基金预警机制和信息引导,拟订应对预案,实施预防、调节和控制,保持就业形势稳定和相关社会保险基金总体收支平衡。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color w:val="auto"/>
          <w:kern w:val="2"/>
          <w:sz w:val="32"/>
          <w:szCs w:val="32"/>
          <w:highlight w:val="none"/>
          <w:lang w:val="en-US" w:eastAsia="zh-CN" w:bidi="ar"/>
        </w:rPr>
        <w:t>贯彻落实全省劳动人事争议调解仲裁制度和劳动关系政策,完善劳动关系协商协调机制,贯彻执行国家、省关于国家工作时间、休息休假和假期的相关规定以及特殊劳动保护政策实施细则并监督实施。组织实施劳动保障监察，协调劳动者维权工作,依法查处重大案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color w:val="auto"/>
          <w:kern w:val="2"/>
          <w:sz w:val="32"/>
          <w:szCs w:val="32"/>
          <w:highlight w:val="none"/>
          <w:lang w:val="en-US" w:eastAsia="zh-CN" w:bidi="ar"/>
        </w:rPr>
        <w:t>牵头推进深化职称制度改革,贯彻执行省专业技术人员管理、继续教育和博士后管理等政策,负责高层次专业技术人才选拔和培训工作,拟订吸引留学人员来许工作或定居的规范性文件。拟订全市技能人才培养、评价、使用和激励制度的相关规范性文件。完善职业资格制度,健全职业技能多元化评价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color w:val="auto"/>
          <w:kern w:val="2"/>
          <w:sz w:val="32"/>
          <w:szCs w:val="32"/>
          <w:highlight w:val="none"/>
          <w:lang w:val="en-US" w:eastAsia="zh-CN" w:bidi="ar"/>
        </w:rPr>
        <w:t>会同有关部门指导全市事业单位人事制度改革，按照管理权限负责规范事业单位岗位设置、公开招聘、聘用管理、考核奖惩等人事综合管理工作,贯执行全省事业单位工作人员和机关工勤人员管理政策。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color w:val="auto"/>
          <w:kern w:val="2"/>
          <w:sz w:val="32"/>
          <w:szCs w:val="32"/>
          <w:highlight w:val="none"/>
          <w:lang w:val="en-US" w:eastAsia="zh-CN" w:bidi="ar"/>
        </w:rPr>
        <w:t>会同有关部门贯彻落实国家、省表彰奖励制度，综合管理市委、市政府表彰奖励工作,根据授权承办以市委、市政府名义开展的表彰奖励工作,承办部分市管领导干部的行政任免手续。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color w:val="auto"/>
          <w:kern w:val="2"/>
          <w:sz w:val="32"/>
          <w:szCs w:val="32"/>
          <w:highlight w:val="none"/>
          <w:lang w:val="en-US" w:eastAsia="zh-CN" w:bidi="ar"/>
        </w:rPr>
        <w:t>贯彻落实全省事业单位人员和机关工勤人员工资收入分配政策,建立全市企事业单位人员工资决定、正常增长和支付保障机制。贯彻落实全省企事业单位人员、机关工勤人员福利和离退休政策的实施细则。贯彻执行全省机关、事业单位工勤人员技术等级考核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color w:val="auto"/>
          <w:kern w:val="2"/>
          <w:sz w:val="32"/>
          <w:szCs w:val="32"/>
          <w:highlight w:val="none"/>
          <w:lang w:val="en-US" w:eastAsia="zh-CN" w:bidi="ar"/>
        </w:rPr>
        <w:t>会同有关部门贯彻落实全省农民工工作的综合性政策和规划,推动相关政策落实,协调解决重点难点问题,维护农民工合法权益。统筹指导全市农民工就业创业和发展家庭服务业促进就业工作。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（十二）</w:t>
      </w:r>
      <w:r>
        <w:rPr>
          <w:rFonts w:hint="eastAsia" w:ascii="仿宋_GB2312" w:hAnsi="仿宋_GB2312" w:eastAsia="仿宋_GB2312" w:cs="仿宋_GB2312"/>
          <w:color w:val="auto"/>
          <w:kern w:val="2"/>
          <w:sz w:val="32"/>
          <w:szCs w:val="32"/>
          <w:highlight w:val="none"/>
          <w:lang w:val="en-US" w:eastAsia="zh-CN" w:bidi="ar"/>
        </w:rPr>
        <w:t>完成市委、市政府交办的其他任务。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许昌市人力资源和社会保障局内设机构17个，包括：</w:t>
      </w:r>
      <w:r>
        <w:rPr>
          <w:rFonts w:hint="eastAsia" w:ascii="仿宋_GB2312" w:hAnsi="仿宋_GB2312" w:eastAsia="仿宋_GB2312" w:cs="仿宋_GB2312"/>
          <w:color w:val="auto"/>
          <w:sz w:val="32"/>
          <w:szCs w:val="32"/>
          <w:highlight w:val="none"/>
          <w:lang w:val="en-US" w:eastAsia="zh-CN"/>
        </w:rPr>
        <w:t>办公室</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政策法规科规划、基金监督科、就业促进工作办公室、人力资源流动管理科、职业能力建设科、人才评价开发科（市职称改革领导小组办公室）、专业技术人员管理科、事业单位人事管理科、农民工工作科、工资福利科、养老保险科、失业保险科、工伤保险科、调解仲裁管理和劳动关系科、劳动保障监察科、人事科。</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级单位为包括：许昌市社会养老保险中心、许昌市创业保障中心、许昌市公共就业服务中心、许昌市劳动人事争议仲裁院、许昌市劳动保障监察支队、许昌市人力资源社会保障电子政务中心、许昌市创业贷款担保中心、许昌市人事考试中心、许昌市人才交流中心、许昌市人事培训中心、许昌市工伤保险中心等共11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另设有机关党委、离退休干部工作科、信访工作科、政务服务科、任免奖励科</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从决算单位构成看，许昌市人力资源和社会保障局部门决算包括：本级决算（1个）、</w:t>
      </w:r>
      <w:r>
        <w:rPr>
          <w:rFonts w:hint="eastAsia" w:ascii="仿宋_GB2312" w:hAnsi="仿宋_GB2312" w:eastAsia="仿宋_GB2312" w:cs="仿宋_GB2312"/>
          <w:color w:val="auto"/>
          <w:kern w:val="0"/>
          <w:sz w:val="32"/>
          <w:szCs w:val="32"/>
          <w:highlight w:val="none"/>
          <w:lang w:val="en-US" w:eastAsia="zh-CN"/>
        </w:rPr>
        <w:t>所属单位决算</w:t>
      </w:r>
      <w:r>
        <w:rPr>
          <w:rFonts w:hint="eastAsia" w:ascii="仿宋_GB2312" w:hAnsi="仿宋_GB2312" w:eastAsia="仿宋_GB2312" w:cs="仿宋_GB2312"/>
          <w:color w:val="auto"/>
          <w:kern w:val="0"/>
          <w:sz w:val="32"/>
          <w:szCs w:val="32"/>
          <w:highlight w:val="none"/>
          <w:lang w:val="en-US" w:eastAsia="zh-CN"/>
        </w:rPr>
        <w:t>（11个）。</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本决算为汇总决算，纳入本部门2021年度部门决算编制范围的单位共12个，</w:t>
      </w:r>
      <w:r>
        <w:rPr>
          <w:rFonts w:hint="eastAsia" w:ascii="仿宋_GB2312" w:hAnsi="仿宋_GB2312" w:eastAsia="仿宋_GB2312" w:cs="仿宋_GB2312"/>
          <w:color w:val="auto"/>
          <w:kern w:val="0"/>
          <w:sz w:val="32"/>
          <w:szCs w:val="32"/>
          <w:highlight w:val="none"/>
          <w:lang w:val="en-US" w:eastAsia="zh-CN"/>
        </w:rPr>
        <w:t>其中二级预算单位11个</w:t>
      </w:r>
      <w:r>
        <w:rPr>
          <w:rFonts w:hint="eastAsia" w:ascii="仿宋_GB2312" w:hAnsi="仿宋_GB2312" w:eastAsia="仿宋_GB2312" w:cs="仿宋_GB2312"/>
          <w:color w:val="auto"/>
          <w:kern w:val="0"/>
          <w:sz w:val="32"/>
          <w:szCs w:val="32"/>
          <w:highlight w:val="none"/>
          <w:lang w:val="en-US" w:eastAsia="zh-CN"/>
        </w:rPr>
        <w:t>，具体是：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1.许昌市人力资源和社会保障局（本级）</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2.许昌市社会养老保险中心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3.许昌市创业保障中心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4.许昌市公共就业服务中心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5.许昌市劳动人事争议仲裁院</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6.许昌市劳动保障监察支队</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7.许昌市人力资源社会保障电子政务中心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8.许昌市创业贷款担保中心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9.许昌市人事考试中心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10.许昌市人才交流中心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11.许昌市人事培训中心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12.许昌市工伤保险中心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ind w:left="0" w:leftChars="0" w:firstLine="0" w:firstLineChars="0"/>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8"/>
        <w:gridCol w:w="845"/>
        <w:gridCol w:w="1559"/>
        <w:gridCol w:w="4539"/>
        <w:gridCol w:w="845"/>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00"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9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51"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48"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2451"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48"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2451"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54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8"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4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8"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9,779.24</w:t>
            </w: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37.52</w:t>
            </w: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8,799.69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5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9,816.76</w:t>
            </w: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10,959.38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5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5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1,186.67</w:t>
            </w: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0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5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8"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54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11,003.43</w:t>
            </w:r>
          </w:p>
        </w:tc>
        <w:tc>
          <w:tcPr>
            <w:tcW w:w="160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5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bookmarkStart w:id="0" w:name="_GoBack"/>
      <w:bookmarkEnd w:id="0"/>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8"/>
        <w:gridCol w:w="4326"/>
        <w:gridCol w:w="1486"/>
        <w:gridCol w:w="1493"/>
        <w:gridCol w:w="1138"/>
        <w:gridCol w:w="1138"/>
        <w:gridCol w:w="1138"/>
        <w:gridCol w:w="1138"/>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3"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9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3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96"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2" w:type="pct"/>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4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96"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3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53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4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4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4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4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47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5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3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3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9,816.76</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9,779.24</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43.25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43.25</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人大事务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2010101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7,878.64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7,871.84</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人力资源和社会保障管理事务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5,397.45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5,397.45</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4,164.22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4,164.22</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2080102</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306.47</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306.47</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2080106</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就业管理事务</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59.58</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59.58</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2080108</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信息化建设</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162.78</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162.78</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2080111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公共就业服务和职业技能鉴定机构</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563.79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563.79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2080112</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劳动人事争议调解仲裁</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2080199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其他人力资源和社会保障管理事务支出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40.60</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1,139.19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1,139.19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328.98</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328.98</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512.92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512.92</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297.29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297.29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20806</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企业改革补助</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2080699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其他企业改革发展补助</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333.87</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327.07</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就业创业服务补贴</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14.51</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14.51</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2080702</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职业培训补贴</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38.16</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31.36</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2080713</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促进创业补贴</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238.00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238.00</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2080799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其他就业补助支出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43.19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43.19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244.43</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244.43</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244.43</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244.43</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107.28</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107.28</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37.02</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100.13</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100.13</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21308</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普惠金融发展支出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2130804</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创业担保贷款贴息</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59.99</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2299999</w:t>
            </w:r>
          </w:p>
        </w:tc>
        <w:tc>
          <w:tcPr>
            <w:tcW w:w="153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7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70"/>
        <w:gridCol w:w="1506"/>
        <w:gridCol w:w="1439"/>
        <w:gridCol w:w="1439"/>
        <w:gridCol w:w="1108"/>
        <w:gridCol w:w="1108"/>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7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10,959.38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7,080.30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3,879.07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纪检监察事务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2011150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8,799.69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2,057.29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5,896.96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5,474.06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4,377.14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4,377.14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信息化建设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公共就业服务和职业技能鉴定机构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劳动人事争议调解仲裁</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其他人力资源和社会保障管理事务支出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1,215.48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1,215.48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企业改革补助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其他企业改革发展补助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679.12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668.65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就业创业服务补贴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职业培训补贴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促进创业补贴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普惠金融发展支出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2130804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创业担保贷款贴息</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3"/>
        <w:gridCol w:w="507"/>
        <w:gridCol w:w="1457"/>
        <w:gridCol w:w="3623"/>
        <w:gridCol w:w="507"/>
        <w:gridCol w:w="1216"/>
        <w:gridCol w:w="1454"/>
        <w:gridCol w:w="1066"/>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0"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7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89"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01"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17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89"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3176"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3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51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27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2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1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37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39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3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1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7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9,779.24</w:t>
            </w: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186.55</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186.55</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8,747.16</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8,747.16</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9,779.24</w:t>
            </w: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10,868.13</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10,868.13</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1,124.56</w:t>
            </w: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35.67</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35.67</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1,124.56</w:t>
            </w:r>
          </w:p>
        </w:tc>
        <w:tc>
          <w:tcPr>
            <w:tcW w:w="127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7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4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9"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10,903.80</w:t>
            </w:r>
          </w:p>
        </w:tc>
        <w:tc>
          <w:tcPr>
            <w:tcW w:w="12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4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10,903.80</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10,903.80</w:t>
            </w:r>
          </w:p>
        </w:tc>
        <w:tc>
          <w:tcPr>
            <w:tcW w:w="3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
        <w:gridCol w:w="388"/>
        <w:gridCol w:w="394"/>
        <w:gridCol w:w="5860"/>
        <w:gridCol w:w="2427"/>
        <w:gridCol w:w="2347"/>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3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06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19"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80"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2519"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519"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2067"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8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83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1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67"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67"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0"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0"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10,868.13</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7,080.06</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3,788.07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186.55</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45.48</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人大事务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2010101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15.06</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纪检监察事务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2011150</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144.39</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2013299</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其他组织事务支出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139.59</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1,559.73</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8,747.16</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6,742.16</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人力资源和社会保障管理事务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5,857.01</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5,473.82</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4,376.90</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4,376.90</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2080102</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380.98</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124.39</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2080106</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就业管理事务</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46.51</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39.49</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2080108</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信息化建设</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179.07</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179.07</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2080111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公共就业服务和职业技能鉴定机构</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610.86</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602.10</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2080112</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劳动人事争议调解仲裁</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109.43</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109.43</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2080199</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其他人力资源和社会保障管理事务支出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153.26</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42.45</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1,215.48</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1,215.48</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366.01</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366.01</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516.82</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516.82</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332.65</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332.65</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20806</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企业改革补助</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2080699</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其他企业改革发展补助</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666.54</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就业创业服务补贴</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14.51</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2080702</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职业培训补贴</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48.68</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2080713</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促进创业补贴</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415.80</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2080799</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其他就业补助支出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187.54</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277.50</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113.39</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113.39</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43.46</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43.46</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120.64</w:t>
            </w:r>
          </w:p>
        </w:tc>
        <w:tc>
          <w:tcPr>
            <w:tcW w:w="82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120.64</w:t>
            </w:r>
          </w:p>
        </w:tc>
        <w:tc>
          <w:tcPr>
            <w:tcW w:w="8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21308</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普惠金融发展支出</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2130804</w:t>
            </w:r>
          </w:p>
        </w:tc>
        <w:tc>
          <w:tcPr>
            <w:tcW w:w="20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创业担保贷款贴息</w:t>
            </w:r>
          </w:p>
        </w:tc>
        <w:tc>
          <w:tcPr>
            <w:tcW w:w="8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c>
          <w:tcPr>
            <w:tcW w:w="8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6"/>
        <w:gridCol w:w="3575"/>
        <w:gridCol w:w="1164"/>
        <w:gridCol w:w="799"/>
        <w:gridCol w:w="2397"/>
        <w:gridCol w:w="925"/>
        <w:gridCol w:w="771"/>
        <w:gridCol w:w="2790"/>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26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4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72"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55"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84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72"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7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3026"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26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1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28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84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2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27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98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5,579.05</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535.35</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1,377.11</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116.57</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2,006.61</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17.52</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1,221.66</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7.68</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346.89</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19.57</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165.85</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120.83</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23.63</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321.99</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15.73</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955.46</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143.00</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762.57</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0.94</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5.26</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48.72</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11.91</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26.71</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25.19</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8.05</w:t>
            </w:r>
          </w:p>
        </w:tc>
        <w:tc>
          <w:tcPr>
            <w:tcW w:w="27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98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209.95</w:t>
            </w:r>
          </w:p>
        </w:tc>
        <w:tc>
          <w:tcPr>
            <w:tcW w:w="27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8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126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3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8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6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84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32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9.61</w:t>
            </w:r>
          </w:p>
        </w:tc>
        <w:tc>
          <w:tcPr>
            <w:tcW w:w="27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8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3"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6,534.51</w:t>
            </w:r>
          </w:p>
        </w:tc>
        <w:tc>
          <w:tcPr>
            <w:tcW w:w="2709"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3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4"/>
        <w:gridCol w:w="1164"/>
        <w:gridCol w:w="1164"/>
        <w:gridCol w:w="1164"/>
        <w:gridCol w:w="1173"/>
        <w:gridCol w:w="1164"/>
        <w:gridCol w:w="1164"/>
        <w:gridCol w:w="1164"/>
        <w:gridCol w:w="1164"/>
        <w:gridCol w:w="1164"/>
        <w:gridCol w:w="1168"/>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6"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66"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83"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66"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99"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2500"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249"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249"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26.43</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20.63</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20.63</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9.20</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8.26</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8.26</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
        <w:gridCol w:w="386"/>
        <w:gridCol w:w="391"/>
        <w:gridCol w:w="1916"/>
        <w:gridCol w:w="1848"/>
        <w:gridCol w:w="1848"/>
        <w:gridCol w:w="1848"/>
        <w:gridCol w:w="1848"/>
        <w:gridCol w:w="1848"/>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6"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3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7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5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5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5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57"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38"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部门：许昌市人力资源和社会保障局</w:t>
            </w:r>
          </w:p>
        </w:tc>
        <w:tc>
          <w:tcPr>
            <w:tcW w:w="65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5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57"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6"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6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1956"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6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67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6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6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7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7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6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7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7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7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7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7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7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说明：我部门没有政府性基金收入，也没有使用政府性基金安排的支出，故本表无数据。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年度收、支总计均为11003.43万元。与上年度相比，收、支总计各增加</w:t>
      </w:r>
      <w:r>
        <w:rPr>
          <w:rFonts w:hint="eastAsia" w:ascii="仿宋_GB2312" w:hAnsi="仿宋_GB2312" w:eastAsia="仿宋_GB2312" w:cs="仿宋_GB2312"/>
          <w:color w:val="auto"/>
          <w:sz w:val="32"/>
          <w:szCs w:val="32"/>
          <w:highlight w:val="none"/>
          <w:lang w:val="en-US" w:eastAsia="zh-CN"/>
        </w:rPr>
        <w:t>206.53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1.91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本年</w:t>
      </w:r>
      <w:r>
        <w:rPr>
          <w:rFonts w:hint="eastAsia" w:ascii="仿宋_GB2312" w:hAnsi="仿宋_GB2312" w:eastAsia="仿宋_GB2312" w:cs="仿宋_GB2312"/>
          <w:color w:val="auto"/>
          <w:sz w:val="32"/>
          <w:szCs w:val="32"/>
          <w:highlight w:val="none"/>
        </w:rPr>
        <w:t>财政拨款收、支</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9816.76</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9779.24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99.62</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37.52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0.38</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10959.38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7080.30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64.60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3879.07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35.40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10903.80</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191.04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科学技术支出（主要用于发放高层次人才补贴）增加</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rPr>
        <w:t>（一）总体情况</w:t>
      </w:r>
      <w:r>
        <w:rPr>
          <w:rFonts w:hint="eastAsia" w:ascii="楷体_GB2312" w:hAnsi="楷体_GB2312" w:eastAsia="楷体_GB2312" w:cs="楷体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10868.13</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99.17</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olor w:val="auto"/>
          <w:sz w:val="32"/>
          <w:szCs w:val="24"/>
          <w:highlight w:val="none"/>
          <w:lang w:val="en-US" w:eastAsia="zh-CN"/>
        </w:rPr>
        <w:t>1713.13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olor w:val="auto"/>
          <w:sz w:val="32"/>
          <w:szCs w:val="24"/>
          <w:highlight w:val="none"/>
          <w:lang w:val="en-US" w:eastAsia="zh-CN"/>
        </w:rPr>
        <w:t>18.71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科学技术支出（主要用于发放高层次人才补贴）增加、创业贷款贴息增加</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rPr>
        <w:t>（二）结构情况</w:t>
      </w:r>
      <w:r>
        <w:rPr>
          <w:rFonts w:hint="eastAsia" w:ascii="楷体_GB2312" w:hAnsi="楷体_GB2312" w:eastAsia="楷体_GB2312" w:cs="楷体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10868.13</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186.55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1.72</w:t>
      </w:r>
      <w:r>
        <w:rPr>
          <w:rFonts w:hint="eastAsia" w:ascii="仿宋_GB2312" w:hAnsi="仿宋_GB2312" w:eastAsia="仿宋_GB2312" w:cs="仿宋_GB2312"/>
          <w:color w:val="auto"/>
          <w:sz w:val="32"/>
          <w:szCs w:val="32"/>
          <w:highlight w:val="none"/>
        </w:rPr>
        <w:t>%；科学技术支出（类）支出</w:t>
      </w:r>
      <w:r>
        <w:rPr>
          <w:rFonts w:hint="eastAsia" w:ascii="仿宋_GB2312" w:hAnsi="仿宋_GB2312" w:eastAsia="仿宋_GB2312" w:cs="仿宋_GB2312"/>
          <w:color w:val="auto"/>
          <w:sz w:val="32"/>
          <w:szCs w:val="32"/>
          <w:highlight w:val="none"/>
          <w:lang w:val="en-US" w:eastAsia="zh-CN"/>
        </w:rPr>
        <w:t>1559.73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14.36</w:t>
      </w:r>
      <w:r>
        <w:rPr>
          <w:rFonts w:hint="eastAsia" w:ascii="仿宋_GB2312" w:hAnsi="仿宋_GB2312" w:eastAsia="仿宋_GB2312" w:cs="仿宋_GB2312"/>
          <w:color w:val="auto"/>
          <w:sz w:val="32"/>
          <w:szCs w:val="32"/>
          <w:highlight w:val="none"/>
        </w:rPr>
        <w:t>%；社会保障和就业支出（类）支出</w:t>
      </w:r>
      <w:r>
        <w:rPr>
          <w:rFonts w:hint="eastAsia" w:ascii="仿宋_GB2312" w:hAnsi="仿宋_GB2312" w:eastAsia="仿宋_GB2312" w:cs="仿宋_GB2312"/>
          <w:color w:val="auto"/>
          <w:sz w:val="32"/>
          <w:szCs w:val="32"/>
          <w:highlight w:val="none"/>
          <w:lang w:val="en-US" w:eastAsia="zh-CN"/>
        </w:rPr>
        <w:t>8747.16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80.48</w:t>
      </w:r>
      <w:r>
        <w:rPr>
          <w:rFonts w:hint="eastAsia" w:ascii="仿宋_GB2312" w:hAnsi="仿宋_GB2312" w:eastAsia="仿宋_GB2312" w:cs="仿宋_GB2312"/>
          <w:color w:val="auto"/>
          <w:sz w:val="32"/>
          <w:szCs w:val="32"/>
          <w:highlight w:val="none"/>
        </w:rPr>
        <w:t>%；卫生健康支出（类）支出</w:t>
      </w:r>
      <w:r>
        <w:rPr>
          <w:rFonts w:hint="eastAsia" w:ascii="仿宋_GB2312" w:hAnsi="仿宋_GB2312" w:eastAsia="仿宋_GB2312" w:cs="仿宋_GB2312"/>
          <w:color w:val="auto"/>
          <w:sz w:val="32"/>
          <w:szCs w:val="32"/>
          <w:highlight w:val="none"/>
          <w:lang w:val="en-US" w:eastAsia="zh-CN"/>
        </w:rPr>
        <w:t>277.50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2.55</w:t>
      </w:r>
      <w:r>
        <w:rPr>
          <w:rFonts w:hint="eastAsia" w:ascii="仿宋_GB2312" w:hAnsi="仿宋_GB2312" w:eastAsia="仿宋_GB2312" w:cs="仿宋_GB2312"/>
          <w:color w:val="auto"/>
          <w:sz w:val="32"/>
          <w:szCs w:val="32"/>
          <w:highlight w:val="none"/>
        </w:rPr>
        <w:t>%；农林水支出（类）支出</w:t>
      </w:r>
      <w:r>
        <w:rPr>
          <w:rFonts w:hint="eastAsia" w:ascii="仿宋_GB2312" w:hAnsi="仿宋_GB2312" w:eastAsia="仿宋_GB2312" w:cs="仿宋_GB2312"/>
          <w:color w:val="auto"/>
          <w:sz w:val="32"/>
          <w:szCs w:val="32"/>
          <w:highlight w:val="none"/>
          <w:lang w:val="en-US" w:eastAsia="zh-CN"/>
        </w:rPr>
        <w:t>97.18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0.89</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（三）具体情况</w:t>
      </w:r>
      <w:r>
        <w:rPr>
          <w:rFonts w:hint="eastAsia" w:ascii="楷体_GB2312" w:hAnsi="楷体_GB2312" w:eastAsia="楷体_GB2312" w:cs="楷体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6338.93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10868.13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olor w:val="auto"/>
          <w:sz w:val="32"/>
          <w:szCs w:val="24"/>
          <w:highlight w:val="none"/>
          <w:lang w:val="en-US"/>
        </w:rPr>
        <w:t>171.45</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1．一般公共服务支出（类）人大事务（款）行政运行（项）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年初预算为15.06万元，支出决算为15.06万元，完成年初预算的100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%。决算数与年初预算数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2．一般公共服务支出（类）纪检监察事务（款）事业运行（项）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万元，支出决算为0.39万元。决算数与年初预算数存在差异的主要原因是</w:t>
      </w:r>
      <w:r>
        <w:rPr>
          <w:rFonts w:hint="eastAsia" w:ascii="仿宋_GB2312" w:hAnsi="仿宋_GB2312" w:eastAsia="仿宋_GB2312" w:cs="仿宋_GB2312"/>
          <w:color w:val="auto"/>
          <w:sz w:val="32"/>
          <w:szCs w:val="32"/>
          <w:highlight w:val="none"/>
          <w:lang w:eastAsia="zh-CN"/>
        </w:rPr>
        <w:t>许昌市创业贷款担保中心该项支出使用上年结转结余资金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3．一般公共服务支出（类）群众团体事务（款）工会事务（项）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年初预算为26.71万元，支出决算为26.71万元，完成年初预算的100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%。决算数与年初预算数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4．一般公共服务支出（类）组织事务（款）行政运行（项）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万元，支出决算为3.32万元。决算数与年初预算数存在差异的主要原因是</w:t>
      </w:r>
      <w:r>
        <w:rPr>
          <w:rFonts w:hint="eastAsia" w:ascii="仿宋_GB2312" w:hAnsi="仿宋_GB2312" w:eastAsia="仿宋_GB2312" w:cs="仿宋_GB2312"/>
          <w:color w:val="auto"/>
          <w:sz w:val="32"/>
          <w:szCs w:val="32"/>
          <w:highlight w:val="none"/>
          <w:lang w:eastAsia="zh-CN"/>
        </w:rPr>
        <w:t>许昌市人才交流中心该项支出使用上年结转结余资金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5．一般公共服务支出（类）组织事务（款）一般行政管理事务（项）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，支出决算为1.48万元。决算数与年初预算数存在差异的主要原因是</w:t>
      </w:r>
      <w:r>
        <w:rPr>
          <w:rFonts w:hint="eastAsia" w:ascii="仿宋_GB2312" w:hAnsi="仿宋_GB2312" w:eastAsia="仿宋_GB2312" w:cs="仿宋_GB2312"/>
          <w:color w:val="auto"/>
          <w:sz w:val="32"/>
          <w:szCs w:val="32"/>
          <w:highlight w:val="none"/>
          <w:lang w:eastAsia="zh-CN"/>
        </w:rPr>
        <w:t>许昌市人力资源和社会保障局该项支出使用上年结转结余资金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6．一般公共服务支出（类）组织事务（款）其他组织事务支出（项）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万元，支出决算为139.59万元。决算数与年初预算数存在差异的主要原因是</w:t>
      </w:r>
      <w:r>
        <w:rPr>
          <w:rFonts w:hint="eastAsia" w:ascii="仿宋_GB2312" w:hAnsi="仿宋_GB2312" w:eastAsia="仿宋_GB2312" w:cs="仿宋_GB2312"/>
          <w:color w:val="auto"/>
          <w:sz w:val="32"/>
          <w:szCs w:val="32"/>
          <w:highlight w:val="none"/>
          <w:lang w:eastAsia="zh-CN"/>
        </w:rPr>
        <w:t>许昌市人事考试中心年中追加经费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7．科学技术支出（类）其他科学技术支出（款）其他科学技术支出（项）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万元，支出决算为1559.73万元。决算数与年初预算数存在差异的主要原因是</w:t>
      </w:r>
      <w:r>
        <w:rPr>
          <w:rFonts w:hint="eastAsia" w:ascii="仿宋_GB2312" w:hAnsi="仿宋_GB2312" w:eastAsia="仿宋_GB2312" w:cs="仿宋_GB2312"/>
          <w:color w:val="auto"/>
          <w:sz w:val="32"/>
          <w:szCs w:val="32"/>
          <w:highlight w:val="none"/>
          <w:lang w:eastAsia="zh-CN"/>
        </w:rPr>
        <w:t>许昌市人才交流中心根据相关部门安排，</w:t>
      </w:r>
      <w:r>
        <w:rPr>
          <w:rFonts w:hint="eastAsia" w:ascii="仿宋_GB2312" w:hAnsi="仿宋_GB2312" w:eastAsia="仿宋_GB2312" w:cs="仿宋_GB2312"/>
          <w:color w:val="auto"/>
          <w:sz w:val="32"/>
          <w:szCs w:val="32"/>
          <w:highlight w:val="none"/>
          <w:lang w:val="en-US" w:eastAsia="zh-CN"/>
        </w:rPr>
        <w:t>2021年年末追加并发放</w:t>
      </w:r>
      <w:r>
        <w:rPr>
          <w:rFonts w:hint="eastAsia" w:ascii="仿宋_GB2312" w:hAnsi="仿宋_GB2312" w:eastAsia="仿宋_GB2312" w:cs="仿宋_GB2312"/>
          <w:color w:val="auto"/>
          <w:sz w:val="32"/>
          <w:szCs w:val="32"/>
          <w:highlight w:val="none"/>
          <w:lang w:eastAsia="zh-CN"/>
        </w:rPr>
        <w:t>高层次人才补贴资金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8．社会保障和就业支出（类）人力资源和社会保障管理事务（款）行政运行（项）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年初预算为4018.5</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万元，支出决算为4376.9</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万元，完成年初预算的108.92%。决算数与年初预算数存在差异的主要原因是</w:t>
      </w:r>
      <w:r>
        <w:rPr>
          <w:rFonts w:hint="eastAsia" w:ascii="仿宋_GB2312" w:hAnsi="仿宋_GB2312" w:eastAsia="仿宋_GB2312" w:cs="仿宋_GB2312"/>
          <w:color w:val="auto"/>
          <w:sz w:val="32"/>
          <w:szCs w:val="32"/>
          <w:highlight w:val="none"/>
          <w:lang w:eastAsia="zh-CN"/>
        </w:rPr>
        <w:t>新增人员及正常晋级晋档等原因</w:t>
      </w:r>
      <w:r>
        <w:rPr>
          <w:rFonts w:hint="eastAsia" w:ascii="仿宋_GB2312" w:hAnsi="仿宋_GB2312" w:eastAsia="仿宋_GB2312" w:cs="仿宋_GB2312"/>
          <w:color w:val="auto"/>
          <w:sz w:val="32"/>
          <w:szCs w:val="32"/>
          <w:highlight w:val="none"/>
        </w:rPr>
        <w:t>追加新增财政供养人员经费。</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9．社会保障和就业支出（类）人力资源和社会保障管理事务（款）一般行政管理事务（项）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年初预算为213.28万元，支出决算为380.98万元，完成年初预算的178.63%。决算数与年初预算数存在差异的主要原因是</w:t>
      </w:r>
      <w:r>
        <w:rPr>
          <w:rFonts w:hint="eastAsia" w:ascii="仿宋_GB2312" w:hAnsi="仿宋_GB2312" w:eastAsia="仿宋_GB2312" w:cs="仿宋_GB2312"/>
          <w:color w:val="auto"/>
          <w:sz w:val="32"/>
          <w:szCs w:val="32"/>
          <w:highlight w:val="none"/>
          <w:lang w:eastAsia="zh-CN"/>
        </w:rPr>
        <w:t>许昌市人事考试中心年中追加项目经费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10．社会保障和就业支出（类）人力资源和社会保障管理事务（款）就业管理事务（项）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年初预算为47.7</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万元，支出决算为46.51万元，完成年初预算的97.51%。决算数与年初预算数存在差异的主要原因是</w:t>
      </w:r>
      <w:r>
        <w:rPr>
          <w:rFonts w:hint="eastAsia" w:ascii="仿宋_GB2312" w:hAnsi="仿宋_GB2312" w:eastAsia="仿宋_GB2312" w:cs="仿宋_GB2312"/>
          <w:color w:val="auto"/>
          <w:sz w:val="32"/>
          <w:szCs w:val="32"/>
          <w:highlight w:val="none"/>
          <w:lang w:eastAsia="zh-CN"/>
        </w:rPr>
        <w:t>许昌市创业贷款担保中心从严控制开支，节约部分经费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11．社会保障和就业支出（类）人力资源和社会保障管理事务（款）信息化建设（项）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年初预算为174.96万元，支出决算为179.07万元，完成年初预算的102.35%。决算数与年初预算数存在差异的主要原因是许昌市人力资源社会保障电子政务中心</w:t>
      </w:r>
      <w:r>
        <w:rPr>
          <w:rFonts w:hint="eastAsia" w:ascii="仿宋_GB2312" w:hAnsi="仿宋_GB2312" w:eastAsia="仿宋_GB2312" w:cs="仿宋_GB2312"/>
          <w:color w:val="auto"/>
          <w:sz w:val="32"/>
          <w:szCs w:val="32"/>
          <w:highlight w:val="none"/>
          <w:lang w:eastAsia="zh-CN"/>
        </w:rPr>
        <w:t>支出增加</w:t>
      </w:r>
      <w:r>
        <w:rPr>
          <w:rFonts w:hint="eastAsia" w:ascii="仿宋_GB2312" w:hAnsi="仿宋_GB2312" w:eastAsia="仿宋_GB2312" w:cs="仿宋_GB2312"/>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12．社会保障和就业支出（类）人力资源和社会保障管理事务（款）公共就业服务和职业技能鉴定机构（项）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年初预算为575.78万元，支出决算为610.86万元，完成年初预算的106.09%。决算数与年初预算数存在差异的主要原因是</w:t>
      </w:r>
      <w:r>
        <w:rPr>
          <w:rFonts w:hint="eastAsia" w:ascii="仿宋_GB2312" w:hAnsi="仿宋_GB2312" w:eastAsia="仿宋_GB2312" w:cs="仿宋_GB2312"/>
          <w:color w:val="auto"/>
          <w:sz w:val="32"/>
          <w:szCs w:val="32"/>
          <w:highlight w:val="none"/>
          <w:lang w:eastAsia="zh-CN"/>
        </w:rPr>
        <w:t>许昌市公共就业服务中心</w:t>
      </w:r>
      <w:r>
        <w:rPr>
          <w:rFonts w:hint="eastAsia" w:ascii="仿宋_GB2312" w:hAnsi="仿宋_GB2312" w:eastAsia="仿宋_GB2312" w:cs="仿宋_GB2312"/>
          <w:color w:val="auto"/>
          <w:sz w:val="32"/>
          <w:szCs w:val="32"/>
          <w:highlight w:val="none"/>
          <w:lang w:val="en-US" w:eastAsia="zh-CN"/>
        </w:rPr>
        <w:t>年中追加项目经费，包含：求职创业补贴、创业培训补贴、人力资源市场信息化建设、其他就业补助支出。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13．社会保障和就业支出（类）人力资源和社会保障管理事务（款）劳动人事争议调解仲裁（项）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年初预算为101.77万元，支出决算为109.43万元，完成年初预算的107.53%。决算数与年初预算数存在差异的主要原因是</w:t>
      </w:r>
      <w:r>
        <w:rPr>
          <w:rFonts w:hint="eastAsia" w:ascii="仿宋_GB2312" w:hAnsi="仿宋_GB2312" w:eastAsia="仿宋_GB2312" w:cs="仿宋_GB2312"/>
          <w:color w:val="auto"/>
          <w:sz w:val="32"/>
          <w:szCs w:val="32"/>
          <w:highlight w:val="none"/>
          <w:lang w:eastAsia="zh-CN"/>
        </w:rPr>
        <w:t>许昌市劳动人事争议仲裁院</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eastAsia="zh-CN"/>
        </w:rPr>
        <w:t>经费</w:t>
      </w:r>
      <w:r>
        <w:rPr>
          <w:rFonts w:hint="eastAsia" w:ascii="仿宋_GB2312" w:hAnsi="仿宋_GB2312" w:eastAsia="仿宋_GB2312" w:cs="仿宋_GB2312"/>
          <w:color w:val="auto"/>
          <w:sz w:val="32"/>
          <w:szCs w:val="32"/>
          <w:highlight w:val="none"/>
        </w:rPr>
        <w:t>增</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14．社会保障和就业支出（类）人力资源和社会保障管理事务（款）其他人力资源和社会保障管理事务支出（项）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年初预算为46.96万元，支出决算为153.26万元，完成年初预算的326.36%。决算数与年初预算数存在差异的主要原因是</w:t>
      </w:r>
      <w:r>
        <w:rPr>
          <w:rFonts w:hint="eastAsia" w:ascii="仿宋_GB2312" w:hAnsi="仿宋_GB2312" w:eastAsia="仿宋_GB2312" w:cs="仿宋_GB2312"/>
          <w:color w:val="auto"/>
          <w:sz w:val="32"/>
          <w:szCs w:val="32"/>
          <w:highlight w:val="none"/>
          <w:lang w:eastAsia="zh-CN"/>
        </w:rPr>
        <w:t>许昌市人力资源和社会保障局追加许昌市抗击新冠肺炎疫情市级表彰资金及“三支一扶”相关经费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15．社会保障和就业支出（类）行政事业单位养老支出（款）行政单位离退休（项）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年初预算为283.6万元，支出决算为366.01万元，完成年初预算的129.06%。决算数与年初预算数存在差异的主要原因是</w:t>
      </w:r>
      <w:r>
        <w:rPr>
          <w:rFonts w:hint="eastAsia" w:ascii="仿宋_GB2312" w:hAnsi="仿宋_GB2312" w:eastAsia="仿宋_GB2312" w:cs="仿宋_GB2312"/>
          <w:color w:val="auto"/>
          <w:sz w:val="32"/>
          <w:szCs w:val="32"/>
          <w:highlight w:val="none"/>
          <w:lang w:eastAsia="zh-CN"/>
        </w:rPr>
        <w:t>部分支出使用上年结转结余资金及追加离退休人员经费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16．社会保障和就业支出（类）行政事业单位养老支出（款）事业单位离退休（项）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年初预算为124.74万元，支出决算为516.82万元，完成年初预算的414.32%。决算数与年初预算数存在差异的主要原因是</w:t>
      </w:r>
      <w:r>
        <w:rPr>
          <w:rFonts w:hint="eastAsia" w:ascii="仿宋_GB2312" w:hAnsi="仿宋_GB2312" w:eastAsia="仿宋_GB2312" w:cs="仿宋_GB2312"/>
          <w:color w:val="auto"/>
          <w:sz w:val="32"/>
          <w:szCs w:val="32"/>
          <w:highlight w:val="none"/>
          <w:lang w:eastAsia="zh-CN"/>
        </w:rPr>
        <w:t>许昌市社会养老保险中心</w:t>
      </w:r>
      <w:r>
        <w:rPr>
          <w:rFonts w:hint="eastAsia" w:ascii="仿宋_GB2312" w:hAnsi="仿宋_GB2312" w:eastAsia="仿宋_GB2312" w:cs="仿宋_GB2312"/>
          <w:color w:val="auto"/>
          <w:sz w:val="32"/>
          <w:szCs w:val="32"/>
          <w:highlight w:val="none"/>
          <w:lang w:val="en-US" w:eastAsia="zh-CN"/>
        </w:rPr>
        <w:t>基金户代发市直企业退休教师生活补贴和增资差额</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17．社会保障和就业支出（类）行政事业单位养老支出（款）机关事业单位基本养老保险缴费支出（项）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年初预算为321.38万元，支出决算为332.65万元，完成年初预算的103.51%。决算数与年初预算数存在差异的主要原因是</w:t>
      </w:r>
      <w:r>
        <w:rPr>
          <w:rFonts w:hint="eastAsia" w:ascii="仿宋_GB2312" w:hAnsi="仿宋_GB2312" w:eastAsia="仿宋_GB2312" w:cs="仿宋_GB2312"/>
          <w:color w:val="auto"/>
          <w:sz w:val="32"/>
          <w:szCs w:val="32"/>
          <w:highlight w:val="none"/>
          <w:lang w:eastAsia="zh-CN"/>
        </w:rPr>
        <w:t>离退休人员养老支出增加</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18．社会保障和就业支出（类）企业改革补助（款）其他企业改革发展补助（项）。</w:t>
      </w:r>
      <w:r>
        <w:rPr>
          <w:rFonts w:hint="eastAsia" w:ascii="仿宋_GB2312" w:hAnsi="仿宋_GB2312" w:eastAsia="仿宋_GB2312" w:cs="仿宋_GB2312"/>
          <w:b w:val="0"/>
          <w:bCs w:val="0"/>
          <w:color w:val="auto"/>
          <w:sz w:val="32"/>
          <w:szCs w:val="32"/>
          <w:highlight w:val="none"/>
        </w:rPr>
        <w:t>年初预算为0.00万元，支出决算为965.75万元。决算数与年初预算数存在差异的主要原因是</w:t>
      </w:r>
      <w:r>
        <w:rPr>
          <w:rFonts w:hint="eastAsia" w:ascii="仿宋_GB2312" w:hAnsi="仿宋_GB2312" w:eastAsia="仿宋_GB2312" w:cs="仿宋_GB2312"/>
          <w:color w:val="auto"/>
          <w:sz w:val="32"/>
          <w:szCs w:val="32"/>
          <w:highlight w:val="none"/>
          <w:lang w:eastAsia="zh-CN"/>
        </w:rPr>
        <w:t>许昌市社会养老保险中心</w:t>
      </w:r>
      <w:r>
        <w:rPr>
          <w:rFonts w:hint="eastAsia" w:ascii="仿宋_GB2312" w:hAnsi="仿宋_GB2312" w:eastAsia="仿宋_GB2312" w:cs="仿宋_GB2312"/>
          <w:b w:val="0"/>
          <w:bCs w:val="0"/>
          <w:color w:val="auto"/>
          <w:sz w:val="32"/>
          <w:szCs w:val="32"/>
          <w:highlight w:val="none"/>
        </w:rPr>
        <w:t>追加基金支出户代发2021年度职教幼教退休教师待遇补助、差额自收自支事业单位离休干部离休费及公用特需、企业离休干部生活补助。</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19．社会保障和就业支出（类）就业补助（款）就业创业服务补贴（项）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万元，支出决算为14.51万元。决算数与年初预算数存在差异的主要原因是</w:t>
      </w:r>
      <w:r>
        <w:rPr>
          <w:rFonts w:hint="eastAsia" w:ascii="仿宋_GB2312" w:hAnsi="仿宋_GB2312" w:eastAsia="仿宋_GB2312" w:cs="仿宋_GB2312"/>
          <w:color w:val="auto"/>
          <w:sz w:val="32"/>
          <w:szCs w:val="32"/>
          <w:highlight w:val="none"/>
          <w:lang w:eastAsia="zh-CN"/>
        </w:rPr>
        <w:t>许昌市人力资源和社会保障局追加就业创业服务补贴资金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20．社会保障和就业支出（类）就业补助（款）职业培训补贴（项）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，支出决算为48.68万元。决算数与年初预算数存在差异的主要原因是</w:t>
      </w:r>
      <w:r>
        <w:rPr>
          <w:rFonts w:hint="eastAsia" w:ascii="仿宋_GB2312" w:hAnsi="仿宋_GB2312" w:eastAsia="仿宋_GB2312" w:cs="仿宋_GB2312"/>
          <w:color w:val="auto"/>
          <w:sz w:val="32"/>
          <w:szCs w:val="32"/>
          <w:highlight w:val="none"/>
          <w:lang w:eastAsia="zh-CN"/>
        </w:rPr>
        <w:t>许昌市人力资源和社会保障局追加就业创业</w:t>
      </w:r>
      <w:r>
        <w:rPr>
          <w:rFonts w:hint="eastAsia" w:ascii="仿宋_GB2312" w:hAnsi="仿宋_GB2312" w:eastAsia="仿宋_GB2312" w:cs="仿宋_GB2312"/>
          <w:color w:val="auto"/>
          <w:sz w:val="32"/>
          <w:szCs w:val="32"/>
          <w:highlight w:val="none"/>
        </w:rPr>
        <w:t>职业培训补贴</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21．社会保障和就业支出（类）就业补助（款）促进创业补贴（项）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，支出决算为415.8</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lang w:eastAsia="zh-CN"/>
        </w:rPr>
        <w:t>许昌市公共就业服务中心追加</w:t>
      </w:r>
      <w:r>
        <w:rPr>
          <w:rFonts w:hint="eastAsia" w:ascii="仿宋_GB2312" w:hAnsi="仿宋_GB2312" w:eastAsia="仿宋_GB2312" w:cs="仿宋_GB2312"/>
          <w:color w:val="auto"/>
          <w:sz w:val="32"/>
          <w:szCs w:val="32"/>
          <w:highlight w:val="none"/>
          <w:lang w:val="en-US" w:eastAsia="zh-CN"/>
        </w:rPr>
        <w:t>创业培训补贴资金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22．社会保障和就业支出（类）就业补助（款）其他就业补助支出（项）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，支出决算为187.54万元。决算数与年初预算数存在差异的主要原因是</w:t>
      </w:r>
      <w:r>
        <w:rPr>
          <w:rFonts w:hint="eastAsia" w:ascii="仿宋_GB2312" w:hAnsi="仿宋_GB2312" w:eastAsia="仿宋_GB2312" w:cs="仿宋_GB2312"/>
          <w:color w:val="auto"/>
          <w:sz w:val="32"/>
          <w:szCs w:val="32"/>
          <w:highlight w:val="none"/>
          <w:lang w:eastAsia="zh-CN"/>
        </w:rPr>
        <w:t>许昌市人力资源和社会保障局和许昌市公共就业服务中心追加就业补助资金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23．社会保障和就业支出（类）抚恤（款）死亡抚恤（项）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，支出决算为42.39万元。决算数与年初预算数存在差异的主要原因是</w:t>
      </w:r>
      <w:r>
        <w:rPr>
          <w:rFonts w:hint="eastAsia" w:ascii="仿宋_GB2312" w:hAnsi="仿宋_GB2312" w:eastAsia="仿宋_GB2312" w:cs="仿宋_GB2312"/>
          <w:color w:val="auto"/>
          <w:sz w:val="32"/>
          <w:szCs w:val="32"/>
          <w:highlight w:val="none"/>
          <w:lang w:eastAsia="zh-CN"/>
        </w:rPr>
        <w:t>追加丧葬费和死亡抚恤金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24．卫生健康支出（类）行政事业单位医疗（款）行政单位医疗（项）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年初预算为124.44万元，支出决算为113.39万元，完成年初预算的91.12%。决算数与年初预算数存在差异的主要原因是</w:t>
      </w:r>
      <w:r>
        <w:rPr>
          <w:rFonts w:hint="eastAsia" w:ascii="仿宋_GB2312" w:hAnsi="仿宋_GB2312" w:eastAsia="仿宋_GB2312" w:cs="仿宋_GB2312"/>
          <w:color w:val="auto"/>
          <w:sz w:val="32"/>
          <w:szCs w:val="32"/>
          <w:highlight w:val="none"/>
          <w:lang w:eastAsia="zh-CN"/>
        </w:rPr>
        <w:t>部分支出使用上年结转结余资金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25．卫生健康支出（类）行政事业单位医疗（款）事业单位医疗（项）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年初预算为43.8</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万元，支出决算为43.46万元，完成年初预算的99.22%。决算数与年初预算数</w:t>
      </w:r>
      <w:r>
        <w:rPr>
          <w:rFonts w:hint="eastAsia" w:ascii="仿宋_GB2312" w:hAnsi="仿宋_GB2312" w:eastAsia="仿宋_GB2312" w:cs="仿宋_GB2312"/>
          <w:color w:val="auto"/>
          <w:sz w:val="32"/>
          <w:szCs w:val="32"/>
          <w:highlight w:val="none"/>
          <w:lang w:eastAsia="zh-CN"/>
        </w:rPr>
        <w:t>基本不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26．卫生健康支出（类）行政事业单位医疗（款）公务员医疗补助（项）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年初预算为160.26万元，支出决算为120.64万元，完成年初预算的75.28%。决算数与年初预算数存在差异的主要原因是</w:t>
      </w:r>
      <w:r>
        <w:rPr>
          <w:rFonts w:hint="eastAsia" w:ascii="仿宋_GB2312" w:hAnsi="仿宋_GB2312" w:eastAsia="仿宋_GB2312" w:cs="仿宋_GB2312"/>
          <w:color w:val="auto"/>
          <w:sz w:val="32"/>
          <w:szCs w:val="32"/>
          <w:highlight w:val="none"/>
          <w:lang w:eastAsia="zh-CN"/>
        </w:rPr>
        <w:t>部分支出使用上年结转结余资金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27．农林水支出（类）普惠金融发展支出（款）创业担保贷款贴息（项）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，支出决算为97.18万元。决算数与年初预算数存在差异的主要原因是</w:t>
      </w:r>
      <w:r>
        <w:rPr>
          <w:rFonts w:hint="eastAsia" w:ascii="仿宋_GB2312" w:hAnsi="仿宋_GB2312" w:eastAsia="仿宋_GB2312" w:cs="仿宋_GB2312"/>
          <w:color w:val="auto"/>
          <w:sz w:val="32"/>
          <w:szCs w:val="32"/>
          <w:highlight w:val="none"/>
          <w:lang w:eastAsia="zh-CN"/>
        </w:rPr>
        <w:t>许昌市</w:t>
      </w:r>
      <w:r>
        <w:rPr>
          <w:rFonts w:hint="eastAsia" w:ascii="仿宋_GB2312" w:hAnsi="仿宋_GB2312" w:eastAsia="仿宋_GB2312" w:cs="仿宋_GB2312"/>
          <w:color w:val="auto"/>
          <w:sz w:val="32"/>
          <w:szCs w:val="32"/>
          <w:highlight w:val="none"/>
          <w:lang w:val="en-US" w:eastAsia="zh-CN"/>
        </w:rPr>
        <w:t>创业贷款担中心上级年中下达保贴息资金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7080.06</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6534.51</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 xml:space="preserve"> 职工基本医疗保险缴费、公务员医疗补助缴费、</w:t>
      </w:r>
      <w:r>
        <w:rPr>
          <w:rFonts w:hint="eastAsia" w:ascii="仿宋_GB2312" w:hAnsi="仿宋_GB2312" w:eastAsia="仿宋_GB2312" w:cs="仿宋_GB2312"/>
          <w:color w:val="auto"/>
          <w:sz w:val="32"/>
          <w:szCs w:val="32"/>
          <w:highlight w:val="none"/>
        </w:rPr>
        <w:t>其他社会保障缴费、住房公积金、其他工资福利支出、离休费、退休费、抚恤金、生活补助、奖励金、其他对个人和家庭的补助支出；公用经费</w:t>
      </w:r>
      <w:r>
        <w:rPr>
          <w:rFonts w:hint="eastAsia" w:ascii="仿宋_GB2312" w:hAnsi="仿宋_GB2312" w:eastAsia="仿宋_GB2312" w:cs="仿宋_GB2312"/>
          <w:color w:val="auto"/>
          <w:sz w:val="32"/>
          <w:szCs w:val="32"/>
          <w:highlight w:val="none"/>
          <w:lang w:val="en-US" w:eastAsia="zh-CN"/>
        </w:rPr>
        <w:t>545.55</w:t>
      </w:r>
      <w:r>
        <w:rPr>
          <w:rFonts w:hint="eastAsia" w:ascii="仿宋_GB2312" w:hAnsi="仿宋_GB2312" w:eastAsia="仿宋_GB2312" w:cs="仿宋_GB2312"/>
          <w:color w:val="auto"/>
          <w:sz w:val="32"/>
          <w:szCs w:val="32"/>
          <w:highlight w:val="none"/>
        </w:rPr>
        <w:t>万元，主要包括：办公费、印刷费、咨询费、电费、邮电费、差旅费、维修（护）费、租赁费、会议费、培训费、公务接待费、被装购置费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劳务费、委托业务费、工会经费、福利费、公务用车运行维护费、其他交通费用、其他商品和服务支出、办公设备购置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无形资产购置。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kinsoku/>
        <w:wordWrap/>
        <w:overflowPunct/>
        <w:topLinePunct w:val="0"/>
        <w:autoSpaceDE/>
        <w:autoSpaceDN/>
        <w:bidi w:val="0"/>
        <w:adjustRightInd/>
        <w:snapToGrid/>
        <w:spacing w:beforeLines="0" w:afterLines="0" w:line="240" w:lineRule="auto"/>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zh-CN"/>
        </w:rPr>
        <w:t>26.43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9.20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34.82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zh-CN"/>
        </w:rPr>
        <w:t>严格控制公车、公务接待开支。</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8.26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40.04</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olor w:val="auto"/>
          <w:sz w:val="32"/>
          <w:szCs w:val="24"/>
          <w:highlight w:val="none"/>
          <w:lang w:val="en-US"/>
        </w:rPr>
        <w:t>89.7</w:t>
      </w:r>
      <w:r>
        <w:rPr>
          <w:rFonts w:hint="eastAsia" w:ascii="仿宋_GB2312" w:hAnsi="仿宋_GB2312" w:eastAsia="仿宋_GB2312"/>
          <w:color w:val="auto"/>
          <w:sz w:val="32"/>
          <w:szCs w:val="24"/>
          <w:highlight w:val="none"/>
          <w:lang w:val="en-US" w:eastAsia="zh-CN"/>
        </w:rPr>
        <w:t>8</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olor w:val="auto"/>
          <w:sz w:val="32"/>
          <w:szCs w:val="24"/>
          <w:highlight w:val="none"/>
          <w:lang w:val="en-US"/>
        </w:rPr>
        <w:t>0.94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lang w:val="en-US"/>
        </w:rPr>
        <w:t>16.2</w:t>
      </w:r>
      <w:r>
        <w:rPr>
          <w:rFonts w:hint="eastAsia" w:ascii="仿宋_GB2312" w:hAnsi="仿宋_GB2312" w:eastAsia="仿宋_GB2312"/>
          <w:color w:val="auto"/>
          <w:sz w:val="32"/>
          <w:szCs w:val="24"/>
          <w:highlight w:val="none"/>
          <w:lang w:val="en-US" w:eastAsia="zh-CN"/>
        </w:rPr>
        <w:t>1</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10.22</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b/>
          <w:sz w:val="32"/>
          <w:szCs w:val="24"/>
          <w:highlight w:val="none"/>
          <w:lang w:val="en-US"/>
        </w:rPr>
        <w:t>1．因公出国（境）费</w:t>
      </w:r>
      <w:r>
        <w:rPr>
          <w:rFonts w:hint="eastAsia" w:ascii="仿宋_GB2312" w:hAnsi="仿宋_GB2312" w:eastAsia="仿宋_GB2312"/>
          <w:sz w:val="32"/>
          <w:szCs w:val="24"/>
          <w:highlight w:val="none"/>
          <w:lang w:val="en-US"/>
        </w:rPr>
        <w:t>预算为0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万元，支出决算为0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万元。决算数与预算数不存在差异。</w:t>
      </w:r>
      <w:r>
        <w:rPr>
          <w:rFonts w:hint="eastAsia" w:ascii="仿宋_GB2312" w:hAnsi="仿宋_GB2312" w:eastAsia="仿宋_GB2312"/>
          <w:sz w:val="32"/>
          <w:szCs w:val="24"/>
          <w:highlight w:val="none"/>
          <w:lang w:val="en-US" w:eastAsia="zh-CN"/>
        </w:rPr>
        <w:t>全年</w:t>
      </w:r>
      <w:r>
        <w:rPr>
          <w:rFonts w:hint="eastAsia" w:ascii="仿宋_GB2312" w:hAnsi="仿宋_GB2312" w:eastAsia="仿宋_GB2312"/>
          <w:sz w:val="32"/>
          <w:szCs w:val="24"/>
          <w:highlight w:val="none"/>
          <w:lang w:val="en-US"/>
        </w:rPr>
        <w:t>因公出国（境）团组数0个，</w:t>
      </w:r>
      <w:r>
        <w:rPr>
          <w:rFonts w:hint="eastAsia" w:ascii="仿宋_GB2312" w:hAnsi="仿宋_GB2312" w:eastAsia="仿宋_GB2312"/>
          <w:sz w:val="32"/>
          <w:szCs w:val="24"/>
          <w:highlight w:val="none"/>
          <w:lang w:val="en-US" w:eastAsia="zh-CN"/>
        </w:rPr>
        <w:t>累计</w:t>
      </w:r>
      <w:r>
        <w:rPr>
          <w:rFonts w:hint="eastAsia" w:ascii="仿宋_GB2312" w:hAnsi="仿宋_GB2312" w:eastAsia="仿宋_GB2312"/>
          <w:sz w:val="32"/>
          <w:szCs w:val="24"/>
          <w:highlight w:val="none"/>
          <w:lang w:val="en-US"/>
        </w:rPr>
        <w:t>0人</w:t>
      </w:r>
      <w:r>
        <w:rPr>
          <w:rFonts w:hint="eastAsia" w:ascii="仿宋_GB2312" w:hAnsi="仿宋_GB2312" w:eastAsia="仿宋_GB2312"/>
          <w:sz w:val="32"/>
          <w:szCs w:val="24"/>
          <w:highlight w:val="none"/>
          <w:lang w:val="en-US" w:eastAsia="zh-CN"/>
        </w:rPr>
        <w:t>次</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20.63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8.26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40.04</w:t>
      </w:r>
      <w:r>
        <w:rPr>
          <w:rFonts w:hint="eastAsia" w:ascii="仿宋_GB2312" w:hAnsi="仿宋_GB2312" w:eastAsia="仿宋_GB2312" w:cs="仿宋_GB2312"/>
          <w:color w:val="auto"/>
          <w:sz w:val="32"/>
          <w:szCs w:val="32"/>
          <w:highlight w:val="none"/>
        </w:rPr>
        <w:t>%。决算数与预算数存在差异的主要原因是节约公车运行开支。其中：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8.26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公务用车</w:t>
      </w:r>
      <w:r>
        <w:rPr>
          <w:rFonts w:hint="eastAsia" w:ascii="仿宋_GB2312" w:hAnsi="仿宋_GB2312" w:eastAsia="仿宋_GB2312" w:cs="仿宋_GB2312"/>
          <w:color w:val="auto"/>
          <w:sz w:val="32"/>
          <w:szCs w:val="32"/>
          <w:highlight w:val="none"/>
          <w:lang w:val="en-US" w:eastAsia="zh-CN"/>
        </w:rPr>
        <w:t>汽油费和保养修理</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8辆</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5.80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16.21</w:t>
      </w:r>
      <w:r>
        <w:rPr>
          <w:rFonts w:hint="eastAsia" w:ascii="仿宋_GB2312" w:hAnsi="仿宋_GB2312" w:eastAsia="仿宋_GB2312" w:cs="仿宋_GB2312"/>
          <w:color w:val="auto"/>
          <w:sz w:val="32"/>
          <w:szCs w:val="32"/>
          <w:highlight w:val="none"/>
        </w:rPr>
        <w:t>%。决算数与预算数存在差异的主要原因是减少公务接待次数</w:t>
      </w:r>
      <w:r>
        <w:rPr>
          <w:rFonts w:hint="eastAsia" w:ascii="仿宋_GB2312" w:hAnsi="仿宋_GB2312" w:eastAsia="仿宋_GB2312" w:cs="仿宋_GB2312"/>
          <w:color w:val="auto"/>
          <w:sz w:val="32"/>
          <w:szCs w:val="32"/>
          <w:highlight w:val="none"/>
          <w:lang w:eastAsia="zh-CN"/>
        </w:rPr>
        <w:t>，节省公务接待费支出</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0.94</w:t>
      </w:r>
      <w:r>
        <w:rPr>
          <w:rFonts w:hint="eastAsia" w:ascii="仿宋_GB2312" w:hAnsi="仿宋_GB2312" w:eastAsia="仿宋_GB2312" w:cs="仿宋_GB2312"/>
          <w:color w:val="auto"/>
          <w:sz w:val="32"/>
          <w:szCs w:val="32"/>
          <w:highlight w:val="none"/>
        </w:rPr>
        <w:t>万元。主要用于公务接待用餐费。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人次（包括陪同人员）。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说明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我部门</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633.15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545.55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86.16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预算数存在差异的主要原因是节约开支，减少运行经费支出。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i w:val="0"/>
          <w:iCs w:val="0"/>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r>
        <w:rPr>
          <w:rFonts w:hint="eastAsia" w:ascii="仿宋_GB2312" w:hAnsi="仿宋_GB2312" w:eastAsia="仿宋_GB2312" w:cs="仿宋_GB2312"/>
          <w:i w:val="0"/>
          <w:iCs w:val="0"/>
          <w:color w:val="auto"/>
          <w:kern w:val="2"/>
          <w:sz w:val="32"/>
          <w:szCs w:val="32"/>
          <w:highlight w:val="none"/>
          <w:u w:val="none" w:color="auto"/>
          <w:lang w:val="en-US" w:eastAsia="zh-CN" w:bidi="ar-SA"/>
        </w:rPr>
        <w:t>严格履行预算绩效管理主体责任，组织相关科室进行线上实操培训，以绩效目标为导向，做好绩效运行监控，提升绩效自评质量，不断提高绩效管理工作水平，充分发挥财政资金使用效益。</w:t>
      </w:r>
      <w:r>
        <w:rPr>
          <w:rFonts w:hint="eastAsia" w:ascii="仿宋_GB2312" w:hAnsi="仿宋_GB2312" w:eastAsia="仿宋_GB2312" w:cs="仿宋_GB2312"/>
          <w:color w:val="auto"/>
          <w:sz w:val="32"/>
          <w:szCs w:val="32"/>
          <w:highlight w:val="none"/>
          <w:lang w:val="en-US" w:eastAsia="zh-CN"/>
        </w:rPr>
        <w:t>同时，我部门积极参加绩效管理培训，进一步健全绩效管理制度，明确绩效考核工作目标，明确考核责任，确保绩效管理工作稳步推进。</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lang w:val="en-US" w:eastAsia="zh-CN"/>
        </w:rPr>
        <w:t>部门</w:t>
      </w:r>
      <w:r>
        <w:rPr>
          <w:rFonts w:hint="eastAsia" w:ascii="楷体_GB2312" w:hAnsi="楷体_GB2312" w:eastAsia="楷体_GB2312" w:cs="楷体_GB2312"/>
          <w:b/>
          <w:bCs/>
          <w:color w:val="auto"/>
          <w:sz w:val="32"/>
          <w:szCs w:val="32"/>
          <w:highlight w:val="none"/>
          <w:lang w:val="en-US" w:eastAsia="zh-CN"/>
        </w:rPr>
        <w:t>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许昌市财政局关于开展2021年度市级预算绩效自评工作的通知》（许财效）〔2021〕1号）等文件精神，对本部门整体绩效目标和项目支出绩效目标进行了自评。一是部门整体绩效自评情况良好。二是项目绩效自评情况。我部门共有18个项目批复了绩效目标，项目金额2043.09万元。其中：</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许昌市人力资源和社会保障局6个，项目金额316.49万元；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许昌市社会养老保险中心3个，项目金额965.75万元；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许昌市创业贷款担保中心1个，项目金额104.21万元；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许昌市公共就业服务中心4个，项目金额566.96万元；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许昌市人才交流中心2个，项目金额62.28万元；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许昌市创业保障中心1个，项目金额15.57万元；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eastAsia="仿宋_GB2312"/>
          <w:highlight w:val="none"/>
          <w:lang w:val="en-US" w:eastAsia="zh-CN"/>
        </w:rPr>
      </w:pPr>
      <w:r>
        <w:rPr>
          <w:rFonts w:hint="eastAsia" w:ascii="仿宋_GB2312" w:hAnsi="仿宋_GB2312" w:eastAsia="仿宋_GB2312" w:cs="仿宋_GB2312"/>
          <w:color w:val="auto"/>
          <w:sz w:val="32"/>
          <w:szCs w:val="32"/>
          <w:highlight w:val="none"/>
          <w:lang w:val="en-US" w:eastAsia="zh-CN"/>
        </w:rPr>
        <w:t>许昌市人事考试中心1个，项目金额11.83万元。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13个项目评价等级为“优”、5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许昌市财政局和我单位主管部门共选取我部门1个项目开展重点绩效评价：0个项目等次为“优”、1个项目等次为“良”、0个项目等次为“中”、0个项目等次为“差”。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其中：就业补助资金（中央转移支付资金）项目评价得分：82.5分，等次为“良”。</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lang w:val="en-US" w:eastAsia="zh-CN"/>
        </w:rPr>
        <w:t>将对照重点绩效评价发现问题进行整改，不断提高我单位项目和预算管理水平，提升财政资金使用效益。</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78702A"/>
    <w:rsid w:val="03C75F80"/>
    <w:rsid w:val="0478364D"/>
    <w:rsid w:val="053D4C0D"/>
    <w:rsid w:val="0557532E"/>
    <w:rsid w:val="076F215E"/>
    <w:rsid w:val="0799329C"/>
    <w:rsid w:val="081E1A47"/>
    <w:rsid w:val="08397436"/>
    <w:rsid w:val="086F16A7"/>
    <w:rsid w:val="09121EF1"/>
    <w:rsid w:val="0A0F7225"/>
    <w:rsid w:val="0A2B7D82"/>
    <w:rsid w:val="0ADC40E9"/>
    <w:rsid w:val="0AE607F4"/>
    <w:rsid w:val="0B386127"/>
    <w:rsid w:val="0B451598"/>
    <w:rsid w:val="0BEC73F4"/>
    <w:rsid w:val="0C392698"/>
    <w:rsid w:val="0CF238BD"/>
    <w:rsid w:val="0D3D3AF9"/>
    <w:rsid w:val="10BD36F6"/>
    <w:rsid w:val="11BF0649"/>
    <w:rsid w:val="123E3E08"/>
    <w:rsid w:val="133212F4"/>
    <w:rsid w:val="13D22E22"/>
    <w:rsid w:val="161C2DFF"/>
    <w:rsid w:val="1635107A"/>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E13909"/>
    <w:rsid w:val="20F614FE"/>
    <w:rsid w:val="21302EEA"/>
    <w:rsid w:val="22376FB5"/>
    <w:rsid w:val="232C24F7"/>
    <w:rsid w:val="23E152D7"/>
    <w:rsid w:val="23EE2489"/>
    <w:rsid w:val="255D43C8"/>
    <w:rsid w:val="26714EF8"/>
    <w:rsid w:val="26876BDD"/>
    <w:rsid w:val="2714632A"/>
    <w:rsid w:val="27541E73"/>
    <w:rsid w:val="278F197C"/>
    <w:rsid w:val="27B0539E"/>
    <w:rsid w:val="29365CF8"/>
    <w:rsid w:val="299469B3"/>
    <w:rsid w:val="2A805789"/>
    <w:rsid w:val="2ADC0D75"/>
    <w:rsid w:val="2AF15170"/>
    <w:rsid w:val="2B4A0E52"/>
    <w:rsid w:val="2C975890"/>
    <w:rsid w:val="2DDF584D"/>
    <w:rsid w:val="2DEF21BB"/>
    <w:rsid w:val="2E4A2F05"/>
    <w:rsid w:val="2ECC1061"/>
    <w:rsid w:val="2FA476AD"/>
    <w:rsid w:val="303F7540"/>
    <w:rsid w:val="31DD00BF"/>
    <w:rsid w:val="326E58E5"/>
    <w:rsid w:val="3293174C"/>
    <w:rsid w:val="32BB38D4"/>
    <w:rsid w:val="32C9376D"/>
    <w:rsid w:val="33527BA2"/>
    <w:rsid w:val="33780472"/>
    <w:rsid w:val="33A03622"/>
    <w:rsid w:val="33AF0905"/>
    <w:rsid w:val="345200D7"/>
    <w:rsid w:val="355932F4"/>
    <w:rsid w:val="35611882"/>
    <w:rsid w:val="36746FC3"/>
    <w:rsid w:val="368763AE"/>
    <w:rsid w:val="379A1A9D"/>
    <w:rsid w:val="395D59E7"/>
    <w:rsid w:val="39A93932"/>
    <w:rsid w:val="3A915562"/>
    <w:rsid w:val="3B8D4765"/>
    <w:rsid w:val="3C000DBA"/>
    <w:rsid w:val="3DC045D3"/>
    <w:rsid w:val="3E504FFB"/>
    <w:rsid w:val="3E615CD0"/>
    <w:rsid w:val="3E9C47F6"/>
    <w:rsid w:val="3F8B0112"/>
    <w:rsid w:val="3FAB3095"/>
    <w:rsid w:val="3FE45947"/>
    <w:rsid w:val="40720AF1"/>
    <w:rsid w:val="41242965"/>
    <w:rsid w:val="435671EA"/>
    <w:rsid w:val="440809E9"/>
    <w:rsid w:val="4413480F"/>
    <w:rsid w:val="442407A6"/>
    <w:rsid w:val="44805EA1"/>
    <w:rsid w:val="45710696"/>
    <w:rsid w:val="46142B1B"/>
    <w:rsid w:val="47E60DD0"/>
    <w:rsid w:val="47E70828"/>
    <w:rsid w:val="48735039"/>
    <w:rsid w:val="492C684B"/>
    <w:rsid w:val="49500594"/>
    <w:rsid w:val="49E7604E"/>
    <w:rsid w:val="4A365830"/>
    <w:rsid w:val="4BF67CDD"/>
    <w:rsid w:val="4C6F0EBF"/>
    <w:rsid w:val="4D173441"/>
    <w:rsid w:val="4D603DD6"/>
    <w:rsid w:val="4EBF010F"/>
    <w:rsid w:val="4F471EB0"/>
    <w:rsid w:val="51331326"/>
    <w:rsid w:val="51740A7F"/>
    <w:rsid w:val="51A5541E"/>
    <w:rsid w:val="51C96242"/>
    <w:rsid w:val="52CF003C"/>
    <w:rsid w:val="53906AE1"/>
    <w:rsid w:val="54F46F60"/>
    <w:rsid w:val="55A37BEA"/>
    <w:rsid w:val="56362CD2"/>
    <w:rsid w:val="5784687B"/>
    <w:rsid w:val="57846959"/>
    <w:rsid w:val="578E6A87"/>
    <w:rsid w:val="5AC2203A"/>
    <w:rsid w:val="5CBB3334"/>
    <w:rsid w:val="5D115FAF"/>
    <w:rsid w:val="5DCD7DF2"/>
    <w:rsid w:val="62811722"/>
    <w:rsid w:val="62A93F5D"/>
    <w:rsid w:val="62D32CD6"/>
    <w:rsid w:val="62E75A72"/>
    <w:rsid w:val="64571880"/>
    <w:rsid w:val="649125B6"/>
    <w:rsid w:val="652F4C1A"/>
    <w:rsid w:val="666D37F1"/>
    <w:rsid w:val="66DE35F8"/>
    <w:rsid w:val="67087D8F"/>
    <w:rsid w:val="671F687E"/>
    <w:rsid w:val="67F415F8"/>
    <w:rsid w:val="682640D1"/>
    <w:rsid w:val="684B73E5"/>
    <w:rsid w:val="6A047A2A"/>
    <w:rsid w:val="6C7910EA"/>
    <w:rsid w:val="6EFB7548"/>
    <w:rsid w:val="6F3831C3"/>
    <w:rsid w:val="6F8B71C1"/>
    <w:rsid w:val="70753482"/>
    <w:rsid w:val="707B522A"/>
    <w:rsid w:val="73194D05"/>
    <w:rsid w:val="73A83B0E"/>
    <w:rsid w:val="744D3EF9"/>
    <w:rsid w:val="7463097A"/>
    <w:rsid w:val="74794411"/>
    <w:rsid w:val="75867C40"/>
    <w:rsid w:val="75B10B26"/>
    <w:rsid w:val="76432199"/>
    <w:rsid w:val="76F44829"/>
    <w:rsid w:val="77A267C0"/>
    <w:rsid w:val="78882278"/>
    <w:rsid w:val="78931D69"/>
    <w:rsid w:val="78B118A6"/>
    <w:rsid w:val="79135044"/>
    <w:rsid w:val="7A7D0F99"/>
    <w:rsid w:val="7E4A0E7C"/>
    <w:rsid w:val="7EBF7F17"/>
    <w:rsid w:val="7EFD449D"/>
    <w:rsid w:val="A5FD9908"/>
    <w:rsid w:val="FD3F18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4"/>
    <w:unhideWhenUsed/>
    <w:qFormat/>
    <w:uiPriority w:val="99"/>
    <w:pPr>
      <w:spacing w:after="120"/>
    </w:pPr>
  </w:style>
  <w:style w:type="paragraph" w:styleId="4">
    <w:name w:val="footer"/>
    <w:basedOn w:val="1"/>
    <w:next w:val="1"/>
    <w:link w:val="13"/>
    <w:unhideWhenUsed/>
    <w:qFormat/>
    <w:uiPriority w:val="99"/>
    <w:pPr>
      <w:tabs>
        <w:tab w:val="center" w:pos="4153"/>
        <w:tab w:val="right" w:pos="8306"/>
      </w:tabs>
      <w:snapToGrid w:val="0"/>
      <w:jc w:val="left"/>
    </w:pPr>
    <w:rPr>
      <w:sz w:val="18"/>
      <w:szCs w:val="18"/>
    </w:rPr>
  </w:style>
  <w:style w:type="paragraph" w:styleId="5">
    <w:name w:val="Balloon Text"/>
    <w:basedOn w:val="1"/>
    <w:link w:val="14"/>
    <w:unhideWhenUsed/>
    <w:qFormat/>
    <w:uiPriority w:val="99"/>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页脚 Char"/>
    <w:link w:val="4"/>
    <w:qFormat/>
    <w:uiPriority w:val="99"/>
    <w:rPr>
      <w:kern w:val="2"/>
      <w:sz w:val="18"/>
      <w:szCs w:val="18"/>
    </w:rPr>
  </w:style>
  <w:style w:type="character" w:customStyle="1" w:styleId="14">
    <w:name w:val="批注框文本 Char"/>
    <w:link w:val="5"/>
    <w:semiHidden/>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 w:type="paragraph" w:customStyle="1" w:styleId="2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43</Pages>
  <Words>12959</Words>
  <Characters>16821</Characters>
  <Lines>60</Lines>
  <Paragraphs>16</Paragraphs>
  <TotalTime>19</TotalTime>
  <ScaleCrop>false</ScaleCrop>
  <LinksUpToDate>false</LinksUpToDate>
  <CharactersWithSpaces>17162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huanghe</cp:lastModifiedBy>
  <cp:lastPrinted>2022-09-17T00:32:00Z</cp:lastPrinted>
  <dcterms:modified xsi:type="dcterms:W3CDTF">2023-05-10T09:25:27Z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16804D7F8FBE4B0CB7C88B827AF8DE05_13</vt:lpwstr>
  </property>
</Properties>
</file>