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both"/>
        <w:rPr>
          <w:rFonts w:hint="eastAsia" w:ascii="黑体" w:hAnsi="黑体" w:eastAsia="黑体" w:cs="黑体"/>
          <w:color w:val="auto"/>
          <w:sz w:val="52"/>
          <w:szCs w:val="52"/>
          <w:highlight w:val="none"/>
          <w:lang w:eastAsia="zh-CN"/>
        </w:rPr>
      </w:pPr>
    </w:p>
    <w:p>
      <w:pPr>
        <w:keepNext w:val="0"/>
        <w:keepLines w:val="0"/>
        <w:pageBreakBefore w:val="0"/>
        <w:kinsoku/>
        <w:wordWrap/>
        <w:overflowPunct/>
        <w:topLinePunct w:val="0"/>
        <w:autoSpaceDE/>
        <w:autoSpaceDN/>
        <w:bidi w:val="0"/>
        <w:adjustRightInd/>
        <w:snapToGrid/>
        <w:spacing w:line="360" w:lineRule="auto"/>
        <w:jc w:val="both"/>
        <w:rPr>
          <w:rFonts w:hint="eastAsia" w:ascii="黑体" w:hAnsi="黑体" w:eastAsia="黑体" w:cs="黑体"/>
          <w:color w:val="auto"/>
          <w:sz w:val="52"/>
          <w:szCs w:val="52"/>
          <w:highlight w:val="none"/>
          <w:lang w:eastAsia="zh-CN"/>
        </w:rPr>
      </w:pPr>
    </w:p>
    <w:p>
      <w:pPr>
        <w:keepNext w:val="0"/>
        <w:keepLines w:val="0"/>
        <w:pageBreakBefore w:val="0"/>
        <w:kinsoku/>
        <w:wordWrap/>
        <w:overflowPunct/>
        <w:topLinePunct w:val="0"/>
        <w:autoSpaceDE/>
        <w:autoSpaceDN/>
        <w:bidi w:val="0"/>
        <w:adjustRightInd/>
        <w:snapToGrid/>
        <w:spacing w:line="360" w:lineRule="auto"/>
        <w:jc w:val="both"/>
        <w:rPr>
          <w:rFonts w:hint="eastAsia" w:ascii="黑体" w:hAnsi="黑体" w:eastAsia="黑体" w:cs="黑体"/>
          <w:color w:val="auto"/>
          <w:sz w:val="52"/>
          <w:szCs w:val="52"/>
          <w:highlight w:val="none"/>
          <w:lang w:eastAsia="zh-CN"/>
        </w:rPr>
      </w:pPr>
    </w:p>
    <w:p>
      <w:pPr>
        <w:pStyle w:val="2"/>
        <w:keepNext w:val="0"/>
        <w:keepLines w:val="0"/>
        <w:pageBreakBefore w:val="0"/>
        <w:kinsoku/>
        <w:wordWrap/>
        <w:overflowPunct/>
        <w:topLinePunct w:val="0"/>
        <w:autoSpaceDE/>
        <w:autoSpaceDN/>
        <w:bidi w:val="0"/>
        <w:adjustRightInd/>
        <w:snapToGrid/>
        <w:spacing w:before="0" w:after="0" w:line="240" w:lineRule="auto"/>
        <w:jc w:val="center"/>
        <w:rPr>
          <w:rFonts w:hint="eastAsia" w:ascii="黑体" w:hAnsi="黑体" w:eastAsia="黑体" w:cs="黑体"/>
          <w:b w:val="0"/>
          <w:bCs w:val="0"/>
          <w:color w:val="auto"/>
          <w:sz w:val="52"/>
          <w:szCs w:val="52"/>
          <w:highlight w:val="none"/>
        </w:rPr>
      </w:pPr>
      <w:r>
        <w:rPr>
          <w:rFonts w:hint="eastAsia" w:ascii="黑体" w:hAnsi="黑体" w:eastAsia="黑体" w:cs="黑体"/>
          <w:b w:val="0"/>
          <w:bCs w:val="0"/>
          <w:color w:val="auto"/>
          <w:sz w:val="52"/>
          <w:szCs w:val="52"/>
          <w:highlight w:val="none"/>
          <w:lang w:eastAsia="zh-CN"/>
        </w:rPr>
        <w:t>20</w:t>
      </w:r>
      <w:r>
        <w:rPr>
          <w:rFonts w:hint="eastAsia" w:ascii="黑体" w:hAnsi="黑体" w:eastAsia="黑体" w:cs="黑体"/>
          <w:b w:val="0"/>
          <w:bCs w:val="0"/>
          <w:color w:val="auto"/>
          <w:sz w:val="52"/>
          <w:szCs w:val="52"/>
          <w:highlight w:val="none"/>
          <w:lang w:val="en-US" w:eastAsia="zh-CN"/>
        </w:rPr>
        <w:t>21</w:t>
      </w:r>
      <w:r>
        <w:rPr>
          <w:rFonts w:hint="eastAsia" w:ascii="黑体" w:hAnsi="黑体" w:eastAsia="黑体" w:cs="黑体"/>
          <w:b w:val="0"/>
          <w:bCs w:val="0"/>
          <w:color w:val="auto"/>
          <w:sz w:val="52"/>
          <w:szCs w:val="52"/>
          <w:highlight w:val="none"/>
          <w:lang w:eastAsia="zh-CN"/>
        </w:rPr>
        <w:t>年度</w:t>
      </w:r>
    </w:p>
    <w:p>
      <w:pPr>
        <w:pStyle w:val="2"/>
        <w:keepNext w:val="0"/>
        <w:keepLines w:val="0"/>
        <w:pageBreakBefore w:val="0"/>
        <w:kinsoku/>
        <w:wordWrap/>
        <w:overflowPunct/>
        <w:topLinePunct w:val="0"/>
        <w:autoSpaceDE/>
        <w:autoSpaceDN/>
        <w:bidi w:val="0"/>
        <w:adjustRightInd/>
        <w:snapToGrid/>
        <w:spacing w:before="0" w:after="0" w:line="240" w:lineRule="auto"/>
        <w:jc w:val="center"/>
        <w:rPr>
          <w:rFonts w:hint="eastAsia" w:ascii="黑体" w:hAnsi="黑体" w:eastAsia="黑体" w:cs="黑体"/>
          <w:b w:val="0"/>
          <w:bCs w:val="0"/>
          <w:color w:val="auto"/>
          <w:sz w:val="52"/>
          <w:szCs w:val="52"/>
          <w:highlight w:val="none"/>
          <w:lang w:eastAsia="zh-CN"/>
        </w:rPr>
      </w:pPr>
      <w:r>
        <w:rPr>
          <w:rFonts w:hint="eastAsia" w:ascii="黑体" w:hAnsi="黑体" w:eastAsia="黑体" w:cs="黑体"/>
          <w:b w:val="0"/>
          <w:bCs w:val="0"/>
          <w:color w:val="auto"/>
          <w:sz w:val="52"/>
          <w:szCs w:val="52"/>
          <w:highlight w:val="none"/>
          <w:lang w:eastAsia="zh-CN"/>
        </w:rPr>
        <w:t>中国民主同盟许昌市委员会</w:t>
      </w:r>
    </w:p>
    <w:p>
      <w:pPr>
        <w:pStyle w:val="2"/>
        <w:keepNext w:val="0"/>
        <w:keepLines w:val="0"/>
        <w:pageBreakBefore w:val="0"/>
        <w:kinsoku/>
        <w:wordWrap/>
        <w:overflowPunct/>
        <w:topLinePunct w:val="0"/>
        <w:autoSpaceDE/>
        <w:autoSpaceDN/>
        <w:bidi w:val="0"/>
        <w:adjustRightInd/>
        <w:snapToGrid/>
        <w:spacing w:before="0" w:after="0" w:line="240" w:lineRule="auto"/>
        <w:jc w:val="center"/>
        <w:rPr>
          <w:rFonts w:hint="eastAsia" w:ascii="黑体" w:hAnsi="黑体" w:eastAsia="黑体" w:cs="黑体"/>
          <w:b w:val="0"/>
          <w:bCs w:val="0"/>
          <w:color w:val="auto"/>
          <w:sz w:val="52"/>
          <w:szCs w:val="52"/>
          <w:highlight w:val="none"/>
          <w:lang w:val="en-US" w:eastAsia="zh-CN"/>
        </w:rPr>
      </w:pPr>
      <w:r>
        <w:rPr>
          <w:rFonts w:hint="eastAsia" w:ascii="黑体" w:hAnsi="黑体" w:eastAsia="黑体" w:cs="黑体"/>
          <w:b w:val="0"/>
          <w:bCs w:val="0"/>
          <w:color w:val="auto"/>
          <w:sz w:val="52"/>
          <w:szCs w:val="52"/>
          <w:highlight w:val="none"/>
        </w:rPr>
        <w:t>部门决算</w:t>
      </w:r>
    </w:p>
    <w:p>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方正小标宋简体" w:cs="楷体"/>
          <w:b/>
          <w:bCs/>
          <w:color w:val="FFFF00"/>
          <w:sz w:val="24"/>
          <w:szCs w:val="24"/>
          <w:highlight w:val="red"/>
          <w:lang w:eastAsia="zh-CN"/>
        </w:rPr>
      </w:pPr>
    </w:p>
    <w:p>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方正小标宋简体" w:cs="楷体"/>
          <w:b/>
          <w:bCs/>
          <w:color w:val="FFFF00"/>
          <w:sz w:val="24"/>
          <w:szCs w:val="24"/>
          <w:highlight w:val="red"/>
          <w:lang w:eastAsia="zh-CN"/>
        </w:rPr>
      </w:pPr>
    </w:p>
    <w:p>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方正小标宋简体" w:cs="楷体"/>
          <w:b/>
          <w:bCs/>
          <w:color w:val="FFFF00"/>
          <w:sz w:val="24"/>
          <w:szCs w:val="24"/>
          <w:highlight w:val="red"/>
          <w:lang w:eastAsia="zh-CN"/>
        </w:rPr>
      </w:pPr>
    </w:p>
    <w:p>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b/>
          <w:bCs/>
          <w:color w:val="FF0000"/>
          <w:sz w:val="24"/>
          <w:szCs w:val="24"/>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eastAsia" w:ascii="楷体" w:hAnsi="楷体" w:eastAsia="楷体" w:cs="楷体"/>
          <w:b/>
          <w:bCs/>
          <w:color w:val="FF0000"/>
          <w:sz w:val="24"/>
          <w:szCs w:val="24"/>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eastAsia" w:ascii="楷体" w:hAnsi="楷体" w:eastAsia="楷体" w:cs="楷体"/>
          <w:b/>
          <w:bCs/>
          <w:color w:val="FF0000"/>
          <w:sz w:val="24"/>
          <w:szCs w:val="24"/>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eastAsia" w:ascii="楷体" w:hAnsi="楷体" w:eastAsia="楷体" w:cs="楷体"/>
          <w:b/>
          <w:bCs/>
          <w:color w:val="FF0000"/>
          <w:sz w:val="24"/>
          <w:szCs w:val="24"/>
          <w:highlight w:val="none"/>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1" w:firstLineChars="200"/>
        <w:jc w:val="both"/>
        <w:textAlignment w:val="auto"/>
        <w:rPr>
          <w:rFonts w:hint="default" w:ascii="楷体" w:hAnsi="楷体" w:eastAsia="楷体" w:cs="楷体"/>
          <w:b/>
          <w:bCs/>
          <w:color w:val="FF0000"/>
          <w:kern w:val="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1" w:firstLineChars="200"/>
        <w:jc w:val="both"/>
        <w:textAlignment w:val="auto"/>
        <w:rPr>
          <w:rFonts w:hint="default" w:ascii="楷体" w:hAnsi="楷体" w:eastAsia="楷体" w:cs="楷体"/>
          <w:b/>
          <w:bCs/>
          <w:color w:val="FF0000"/>
          <w:kern w:val="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1" w:firstLineChars="200"/>
        <w:jc w:val="both"/>
        <w:textAlignment w:val="auto"/>
        <w:rPr>
          <w:rFonts w:hint="default" w:ascii="楷体" w:hAnsi="楷体" w:eastAsia="楷体" w:cs="楷体"/>
          <w:b/>
          <w:bCs/>
          <w:color w:val="FF0000"/>
          <w:kern w:val="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1" w:firstLineChars="200"/>
        <w:jc w:val="both"/>
        <w:textAlignment w:val="auto"/>
        <w:rPr>
          <w:rFonts w:hint="default" w:ascii="楷体" w:hAnsi="楷体" w:eastAsia="楷体" w:cs="楷体"/>
          <w:b/>
          <w:bCs/>
          <w:color w:val="FF0000"/>
          <w:kern w:val="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1" w:firstLineChars="200"/>
        <w:jc w:val="both"/>
        <w:textAlignment w:val="auto"/>
        <w:rPr>
          <w:rFonts w:hint="default" w:ascii="楷体" w:hAnsi="楷体" w:eastAsia="楷体" w:cs="楷体"/>
          <w:b/>
          <w:bCs/>
          <w:color w:val="FF0000"/>
          <w:kern w:val="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1" w:firstLineChars="200"/>
        <w:jc w:val="both"/>
        <w:textAlignment w:val="auto"/>
        <w:rPr>
          <w:rFonts w:hint="default" w:ascii="楷体" w:hAnsi="楷体" w:eastAsia="楷体" w:cs="楷体"/>
          <w:b/>
          <w:bCs/>
          <w:color w:val="FF0000"/>
          <w:kern w:val="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1" w:firstLineChars="200"/>
        <w:jc w:val="both"/>
        <w:textAlignment w:val="auto"/>
        <w:rPr>
          <w:rFonts w:hint="default" w:ascii="楷体" w:hAnsi="楷体" w:eastAsia="楷体" w:cs="楷体"/>
          <w:b/>
          <w:bCs/>
          <w:color w:val="FF0000"/>
          <w:kern w:val="2"/>
          <w:sz w:val="24"/>
          <w:szCs w:val="24"/>
          <w:highlight w:val="yellow"/>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1" w:firstLineChars="200"/>
        <w:jc w:val="both"/>
        <w:textAlignment w:val="auto"/>
        <w:rPr>
          <w:rFonts w:hint="default" w:ascii="楷体" w:hAnsi="楷体" w:eastAsia="楷体" w:cs="楷体"/>
          <w:b/>
          <w:bCs/>
          <w:color w:val="FF0000"/>
          <w:kern w:val="2"/>
          <w:sz w:val="24"/>
          <w:szCs w:val="24"/>
          <w:highlight w:val="yellow"/>
          <w:lang w:val="en-US" w:eastAsia="zh-CN" w:bidi="ar"/>
        </w:rPr>
      </w:pPr>
    </w:p>
    <w:p>
      <w:pPr>
        <w:pStyle w:val="4"/>
        <w:numPr>
          <w:ilvl w:val="0"/>
          <w:numId w:val="0"/>
        </w:numPr>
        <w:rPr>
          <w:rFonts w:hint="eastAsia" w:ascii="楷体" w:hAnsi="楷体" w:eastAsia="楷体" w:cs="楷体"/>
          <w:b/>
          <w:bCs/>
          <w:color w:val="FF0000"/>
          <w:sz w:val="24"/>
          <w:szCs w:val="24"/>
          <w:highlight w:val="none"/>
          <w:lang w:val="en-US" w:eastAsia="zh-CN"/>
        </w:rPr>
      </w:pPr>
    </w:p>
    <w:p>
      <w:pPr>
        <w:pStyle w:val="4"/>
        <w:numPr>
          <w:ilvl w:val="0"/>
          <w:numId w:val="0"/>
        </w:numPr>
        <w:rPr>
          <w:rFonts w:hint="eastAsia" w:ascii="楷体" w:hAnsi="楷体" w:eastAsia="楷体" w:cs="楷体"/>
          <w:b/>
          <w:bCs/>
          <w:color w:val="FF0000"/>
          <w:sz w:val="24"/>
          <w:szCs w:val="24"/>
          <w:highlight w:val="none"/>
          <w:lang w:val="en-US" w:eastAsia="zh-CN"/>
        </w:rPr>
      </w:pPr>
    </w:p>
    <w:p>
      <w:pPr>
        <w:pStyle w:val="4"/>
        <w:numPr>
          <w:ilvl w:val="0"/>
          <w:numId w:val="0"/>
        </w:numPr>
        <w:rPr>
          <w:rFonts w:hint="eastAsia" w:ascii="楷体" w:hAnsi="楷体" w:eastAsia="楷体" w:cs="楷体"/>
          <w:b/>
          <w:bCs/>
          <w:color w:val="FF0000"/>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pPr>
      <w:r>
        <w:rPr>
          <w:rFonts w:hint="eastAsia" w:ascii="黑体" w:hAnsi="黑体" w:eastAsia="黑体" w:cs="黑体"/>
          <w:color w:val="auto"/>
          <w:sz w:val="32"/>
          <w:szCs w:val="32"/>
          <w:highlight w:val="none"/>
          <w:lang w:eastAsia="zh-CN"/>
        </w:rPr>
        <w:t>二〇二二年九月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b/>
          <w:bCs/>
          <w:color w:val="FF0000"/>
          <w:sz w:val="22"/>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b/>
          <w:bCs/>
          <w:color w:val="FF0000"/>
          <w:sz w:val="22"/>
          <w:szCs w:val="24"/>
          <w:lang w:eastAsia="zh-CN"/>
        </w:rPr>
      </w:pPr>
    </w:p>
    <w:p>
      <w:pPr>
        <w:pStyle w:val="2"/>
        <w:keepNext w:val="0"/>
        <w:keepLines w:val="0"/>
        <w:pageBreakBefore w:val="0"/>
        <w:kinsoku/>
        <w:wordWrap/>
        <w:overflowPunct/>
        <w:topLinePunct w:val="0"/>
        <w:autoSpaceDE/>
        <w:autoSpaceDN/>
        <w:bidi w:val="0"/>
        <w:adjustRightInd/>
        <w:snapToGrid/>
        <w:spacing w:line="360" w:lineRule="auto"/>
        <w:jc w:val="center"/>
        <w:rPr>
          <w:rFonts w:hint="default"/>
          <w:lang w:val="en-US" w:eastAsia="zh-CN"/>
        </w:rPr>
      </w:pPr>
      <w:r>
        <w:rPr>
          <w:rFonts w:hint="eastAsia" w:ascii="黑体" w:hAnsi="黑体" w:eastAsia="黑体" w:cs="黑体"/>
          <w:b w:val="0"/>
          <w:bCs w:val="0"/>
          <w:color w:val="auto"/>
          <w:kern w:val="2"/>
          <w:sz w:val="32"/>
          <w:szCs w:val="32"/>
          <w:highlight w:val="none"/>
          <w:lang w:val="en-US" w:eastAsia="zh-CN" w:bidi="ar-SA"/>
        </w:rPr>
        <w:t xml:space="preserve"> </w:t>
      </w:r>
      <w:r>
        <w:rPr>
          <w:rFonts w:hint="eastAsia" w:ascii="黑体" w:hAnsi="黑体" w:eastAsia="黑体" w:cs="黑体"/>
          <w:b w:val="0"/>
          <w:bCs w:val="0"/>
          <w:color w:val="auto"/>
          <w:kern w:val="2"/>
          <w:sz w:val="36"/>
          <w:szCs w:val="36"/>
          <w:highlight w:val="none"/>
          <w:lang w:val="en-US" w:eastAsia="zh-CN" w:bidi="ar-SA"/>
        </w:rPr>
        <w:t xml:space="preserve"> 目　　录 </w:t>
      </w:r>
      <w:r>
        <w:rPr>
          <w:rFonts w:hint="eastAsia" w:ascii="黑体" w:hAnsi="黑体" w:eastAsia="黑体" w:cs="黑体"/>
          <w:b w:val="0"/>
          <w:bCs w:val="0"/>
          <w:color w:val="auto"/>
          <w:kern w:val="2"/>
          <w:sz w:val="32"/>
          <w:szCs w:val="32"/>
          <w:highlight w:val="none"/>
          <w:lang w:val="en-US" w:eastAsia="zh-CN" w:bidi="ar-SA"/>
        </w:rPr>
        <w:t xml:space="preserve">  </w:t>
      </w: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jc w:val="left"/>
        <w:rPr>
          <w:rFonts w:hint="default" w:ascii="楷体" w:hAnsi="楷体" w:eastAsia="楷体" w:cs="楷体"/>
          <w:color w:val="auto"/>
          <w:sz w:val="32"/>
          <w:szCs w:val="32"/>
          <w:highlight w:val="none"/>
          <w:lang w:val="en-US" w:eastAsia="zh-CN"/>
        </w:rPr>
      </w:pPr>
      <w:r>
        <w:rPr>
          <w:rFonts w:hint="eastAsia" w:ascii="黑体" w:hAnsi="黑体" w:eastAsia="黑体" w:cs="黑体"/>
          <w:color w:val="auto"/>
          <w:sz w:val="32"/>
          <w:szCs w:val="32"/>
          <w:highlight w:val="none"/>
        </w:rPr>
        <w:t>第一部分　　中国民主同盟许昌市委员会概况</w:t>
      </w:r>
      <w:r>
        <w:rPr>
          <w:rFonts w:hint="eastAsia"/>
          <w:highlight w:val="none"/>
          <w:lang w:val="en-US" w:eastAsia="zh-CN"/>
        </w:rPr>
        <w:t xml:space="preserve">   </w:t>
      </w:r>
    </w:p>
    <w:p>
      <w:pPr>
        <w:keepNext w:val="0"/>
        <w:keepLines w:val="0"/>
        <w:pageBreakBefore w:val="0"/>
        <w:numPr>
          <w:ilvl w:val="0"/>
          <w:numId w:val="1"/>
        </w:numPr>
        <w:kinsoku/>
        <w:wordWrap/>
        <w:overflowPunct/>
        <w:topLinePunct w:val="0"/>
        <w:autoSpaceDE/>
        <w:autoSpaceDN/>
        <w:bidi w:val="0"/>
        <w:adjustRightInd/>
        <w:snapToGrid/>
        <w:spacing w:line="360" w:lineRule="auto"/>
        <w:ind w:left="-10" w:leftChars="0" w:firstLine="640" w:firstLineChars="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部门职责</w:t>
      </w:r>
      <w:r>
        <w:rPr>
          <w:rFonts w:hint="eastAsia" w:ascii="宋体" w:hAnsi="宋体" w:eastAsia="宋体" w:cs="宋体"/>
          <w:color w:val="auto"/>
          <w:sz w:val="32"/>
          <w:szCs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left="630" w:leftChars="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二、机构设置</w:t>
      </w:r>
      <w:r>
        <w:rPr>
          <w:rFonts w:hint="eastAsia" w:ascii="宋体" w:hAnsi="宋体" w:eastAsia="宋体" w:cs="宋体"/>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jc w:val="left"/>
        <w:rPr>
          <w:rFonts w:hint="default" w:ascii="黑体" w:hAnsi="黑体" w:eastAsia="宋体" w:cs="黑体"/>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2021年度</w:t>
      </w:r>
      <w:r>
        <w:rPr>
          <w:rFonts w:hint="eastAsia" w:ascii="黑体" w:hAnsi="黑体" w:eastAsia="黑体" w:cs="黑体"/>
          <w:color w:val="auto"/>
          <w:sz w:val="32"/>
          <w:szCs w:val="32"/>
          <w:highlight w:val="none"/>
        </w:rPr>
        <w:t>部门决算表</w:t>
      </w:r>
      <w:r>
        <w:rPr>
          <w:rFonts w:hint="eastAsia"/>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一、收入支出决算总表</w:t>
      </w:r>
      <w:r>
        <w:rPr>
          <w:rFonts w:hint="eastAsia" w:ascii="宋体" w:hAnsi="宋体" w:eastAsia="宋体" w:cs="宋体"/>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r>
        <w:rPr>
          <w:rFonts w:hint="eastAsia" w:ascii="宋体" w:hAnsi="宋体" w:eastAsia="宋体" w:cs="宋体"/>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w:t>
      </w:r>
      <w:r>
        <w:rPr>
          <w:rFonts w:hint="eastAsia" w:ascii="宋体" w:hAnsi="宋体" w:cs="宋体"/>
          <w:color w:val="auto"/>
          <w:sz w:val="32"/>
          <w:szCs w:val="32"/>
          <w:highlight w:val="none"/>
          <w:lang w:eastAsia="zh-CN"/>
        </w:rPr>
        <w:t>明细</w:t>
      </w:r>
      <w:r>
        <w:rPr>
          <w:rFonts w:hint="eastAsia" w:ascii="宋体" w:hAnsi="宋体" w:eastAsia="宋体" w:cs="宋体"/>
          <w:color w:val="auto"/>
          <w:sz w:val="32"/>
          <w:szCs w:val="32"/>
          <w:highlight w:val="none"/>
        </w:rPr>
        <w:t>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keepNext w:val="0"/>
        <w:keepLines w:val="0"/>
        <w:pageBreakBefore w:val="0"/>
        <w:kinsoku/>
        <w:wordWrap/>
        <w:overflowPunct/>
        <w:topLinePunct w:val="0"/>
        <w:autoSpaceDE/>
        <w:autoSpaceDN/>
        <w:bidi w:val="0"/>
        <w:adjustRightInd/>
        <w:snapToGrid/>
        <w:spacing w:line="360" w:lineRule="auto"/>
        <w:jc w:val="left"/>
        <w:rPr>
          <w:rFonts w:hint="default" w:ascii="黑体" w:hAnsi="黑体" w:eastAsia="黑体" w:cs="黑体"/>
          <w:color w:val="FF0000"/>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2021年度</w:t>
      </w:r>
      <w:r>
        <w:rPr>
          <w:rFonts w:hint="eastAsia" w:ascii="黑体" w:hAnsi="黑体" w:eastAsia="黑体" w:cs="黑体"/>
          <w:color w:val="auto"/>
          <w:sz w:val="32"/>
          <w:szCs w:val="32"/>
          <w:highlight w:val="none"/>
        </w:rPr>
        <w:t>部门决算情况说明</w:t>
      </w:r>
      <w:r>
        <w:rPr>
          <w:rFonts w:hint="eastAsia" w:ascii="黑体" w:hAnsi="黑体" w:eastAsia="黑体" w:cs="黑体"/>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一、收入支出决算总体情况说明</w:t>
      </w:r>
      <w:r>
        <w:rPr>
          <w:rFonts w:hint="eastAsia" w:ascii="宋体" w:hAnsi="宋体" w:cs="宋体"/>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八</w:t>
      </w:r>
      <w:r>
        <w:rPr>
          <w:rFonts w:hint="eastAsia" w:ascii="宋体" w:hAnsi="宋体" w:eastAsia="宋体" w:cs="宋体"/>
          <w:color w:val="auto"/>
          <w:sz w:val="32"/>
          <w:szCs w:val="32"/>
          <w:highlight w:val="none"/>
        </w:rPr>
        <w:t>、政府性基金预算财政拨款支出决算情况说明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九</w:t>
      </w:r>
      <w:r>
        <w:rPr>
          <w:rFonts w:hint="eastAsia" w:ascii="宋体" w:hAnsi="宋体" w:eastAsia="宋体" w:cs="宋体"/>
          <w:color w:val="auto"/>
          <w:sz w:val="32"/>
          <w:szCs w:val="32"/>
          <w:highlight w:val="none"/>
        </w:rPr>
        <w:t>、机关运行经费支出情况</w:t>
      </w:r>
      <w:r>
        <w:rPr>
          <w:rFonts w:hint="eastAsia" w:ascii="宋体" w:hAnsi="宋体" w:eastAsia="宋体" w:cs="宋体"/>
          <w:color w:val="auto"/>
          <w:sz w:val="32"/>
          <w:szCs w:val="32"/>
          <w:highlight w:val="none"/>
          <w:lang w:eastAsia="zh-CN"/>
        </w:rPr>
        <w:t>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、国有资产占用情况说明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32"/>
          <w:szCs w:val="32"/>
          <w:highlight w:val="none"/>
          <w:lang w:eastAsia="zh-CN"/>
        </w:rPr>
        <w:t>十二</w:t>
      </w:r>
      <w:r>
        <w:rPr>
          <w:rFonts w:hint="eastAsia" w:ascii="宋体" w:hAnsi="宋体" w:eastAsia="宋体" w:cs="宋体"/>
          <w:color w:val="auto"/>
          <w:sz w:val="32"/>
          <w:szCs w:val="32"/>
          <w:highlight w:val="none"/>
        </w:rPr>
        <w:t>、预算绩效情况说明</w:t>
      </w:r>
      <w:r>
        <w:rPr>
          <w:rFonts w:hint="eastAsia" w:ascii="宋体" w:hAnsi="宋体" w:cs="宋体"/>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jc w:val="left"/>
        <w:rPr>
          <w:rFonts w:hint="default" w:ascii="黑体" w:hAnsi="黑体" w:eastAsia="黑体" w:cs="黑体"/>
          <w:color w:val="FF0000"/>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r>
        <w:rPr>
          <w:rFonts w:hint="eastAsia" w:ascii="黑体" w:hAnsi="黑体" w:eastAsia="黑体" w:cs="黑体"/>
          <w:color w:val="auto"/>
          <w:sz w:val="32"/>
          <w:szCs w:val="32"/>
          <w:highlight w:val="none"/>
          <w:lang w:val="en-US" w:eastAsia="zh-CN"/>
        </w:rPr>
        <w:t xml:space="preserve">   </w:t>
      </w: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rPr>
          <w:rFonts w:hint="eastAsia" w:ascii="黑体" w:hAnsi="黑体" w:eastAsia="黑体" w:cs="黑体"/>
          <w:sz w:val="48"/>
          <w:szCs w:val="48"/>
          <w:highlight w:val="none"/>
        </w:rPr>
      </w:pPr>
      <w:r>
        <w:rPr>
          <w:rFonts w:hint="eastAsia" w:ascii="黑体" w:hAnsi="黑体" w:eastAsia="黑体" w:cs="黑体"/>
          <w:sz w:val="48"/>
          <w:szCs w:val="48"/>
          <w:highlight w:val="none"/>
        </w:rPr>
        <w:br w:type="page"/>
      </w: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黑体" w:hAnsi="宋体" w:eastAsia="黑体" w:cs="宋体"/>
          <w:color w:val="auto"/>
          <w:kern w:val="0"/>
          <w:sz w:val="28"/>
          <w:szCs w:val="28"/>
          <w:highlight w:val="none"/>
          <w:lang w:val="en-US" w:eastAsia="zh-CN"/>
        </w:rPr>
      </w:pP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center"/>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中国民主同盟许昌市</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4080" w:firstLineChars="850"/>
        <w:jc w:val="both"/>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eastAsia="zh-CN"/>
        </w:rPr>
        <w:t>委员会概况</w:t>
      </w:r>
      <w:r>
        <w:rPr>
          <w:rFonts w:hint="eastAsia" w:ascii="黑体" w:hAnsi="黑体" w:eastAsia="黑体" w:cs="黑体"/>
          <w:color w:val="auto"/>
          <w:sz w:val="48"/>
          <w:szCs w:val="48"/>
          <w:highlight w:val="none"/>
          <w:lang w:val="en-US" w:eastAsia="zh-CN"/>
        </w:rPr>
        <w:t xml:space="preserve"> </w:t>
      </w:r>
    </w:p>
    <w:p>
      <w:pPr>
        <w:pStyle w:val="4"/>
        <w:keepNext w:val="0"/>
        <w:keepLines w:val="0"/>
        <w:pageBreakBefore w:val="0"/>
        <w:kinsoku/>
        <w:wordWrap/>
        <w:overflowPunct/>
        <w:topLinePunct w:val="0"/>
        <w:autoSpaceDE/>
        <w:autoSpaceDN/>
        <w:bidi w:val="0"/>
        <w:adjustRightInd/>
        <w:snapToGrid/>
        <w:spacing w:line="380" w:lineRule="exact"/>
        <w:ind w:firstLine="642"/>
        <w:textAlignment w:val="auto"/>
        <w:rPr>
          <w:rFonts w:hint="eastAsia" w:ascii="楷体" w:hAnsi="楷体" w:eastAsia="楷体" w:cs="楷体"/>
          <w:b/>
          <w:bCs/>
          <w:i w:val="0"/>
          <w:iCs w:val="0"/>
          <w:color w:val="FF0000"/>
          <w:kern w:val="0"/>
          <w:sz w:val="28"/>
          <w:szCs w:val="28"/>
          <w:highlight w:val="none"/>
          <w:u w:val="none"/>
          <w:lang w:val="en-US" w:eastAsia="zh-CN" w:bidi="ar-SA"/>
        </w:rPr>
      </w:pPr>
    </w:p>
    <w:p>
      <w:pPr>
        <w:pStyle w:val="4"/>
        <w:keepNext w:val="0"/>
        <w:keepLines w:val="0"/>
        <w:pageBreakBefore w:val="0"/>
        <w:kinsoku/>
        <w:wordWrap/>
        <w:overflowPunct/>
        <w:topLinePunct w:val="0"/>
        <w:autoSpaceDE/>
        <w:autoSpaceDN/>
        <w:bidi w:val="0"/>
        <w:adjustRightInd/>
        <w:snapToGrid/>
        <w:spacing w:line="380" w:lineRule="exact"/>
        <w:ind w:firstLine="642"/>
        <w:textAlignment w:val="auto"/>
        <w:rPr>
          <w:rFonts w:hint="eastAsia" w:ascii="楷体" w:hAnsi="楷体" w:eastAsia="楷体" w:cs="楷体"/>
          <w:b/>
          <w:bCs/>
          <w:i w:val="0"/>
          <w:iCs w:val="0"/>
          <w:color w:val="FF0000"/>
          <w:kern w:val="0"/>
          <w:sz w:val="28"/>
          <w:szCs w:val="28"/>
          <w:highlight w:val="none"/>
          <w:u w:val="none"/>
          <w:lang w:val="en-US" w:eastAsia="zh-CN" w:bidi="ar-SA"/>
        </w:rPr>
      </w:pPr>
    </w:p>
    <w:p>
      <w:pPr>
        <w:pStyle w:val="4"/>
        <w:keepNext w:val="0"/>
        <w:keepLines w:val="0"/>
        <w:pageBreakBefore w:val="0"/>
        <w:kinsoku/>
        <w:wordWrap/>
        <w:overflowPunct/>
        <w:topLinePunct w:val="0"/>
        <w:autoSpaceDE/>
        <w:autoSpaceDN/>
        <w:bidi w:val="0"/>
        <w:adjustRightInd/>
        <w:snapToGrid/>
        <w:spacing w:line="380" w:lineRule="exact"/>
        <w:ind w:firstLine="642"/>
        <w:textAlignment w:val="auto"/>
        <w:rPr>
          <w:rFonts w:hint="eastAsia" w:ascii="楷体" w:hAnsi="楷体" w:eastAsia="楷体" w:cs="楷体"/>
          <w:b/>
          <w:bCs/>
          <w:i w:val="0"/>
          <w:iCs w:val="0"/>
          <w:color w:val="FF0000"/>
          <w:kern w:val="0"/>
          <w:sz w:val="28"/>
          <w:szCs w:val="28"/>
          <w:highlight w:val="none"/>
          <w:u w:val="none"/>
          <w:lang w:val="en-US" w:eastAsia="zh-CN" w:bidi="ar-SA"/>
        </w:rPr>
      </w:pPr>
    </w:p>
    <w:p>
      <w:pPr>
        <w:rPr>
          <w:rFonts w:hint="eastAsia" w:ascii="楷体" w:hAnsi="楷体" w:eastAsia="楷体" w:cs="楷体"/>
          <w:b/>
          <w:bCs/>
          <w:i w:val="0"/>
          <w:iCs w:val="0"/>
          <w:color w:val="FF0000"/>
          <w:kern w:val="0"/>
          <w:sz w:val="28"/>
          <w:szCs w:val="28"/>
          <w:highlight w:val="none"/>
          <w:u w:val="none"/>
          <w:lang w:val="en-US" w:eastAsia="zh-CN" w:bidi="ar-SA"/>
        </w:rPr>
      </w:pPr>
      <w:r>
        <w:rPr>
          <w:rFonts w:hint="eastAsia" w:ascii="楷体" w:hAnsi="楷体" w:eastAsia="楷体" w:cs="楷体"/>
          <w:b/>
          <w:bCs/>
          <w:i w:val="0"/>
          <w:iCs w:val="0"/>
          <w:color w:val="FF0000"/>
          <w:kern w:val="0"/>
          <w:sz w:val="28"/>
          <w:szCs w:val="28"/>
          <w:highlight w:val="none"/>
          <w:u w:val="none"/>
          <w:lang w:val="en-US" w:eastAsia="zh-CN" w:bidi="ar-SA"/>
        </w:rPr>
        <w:br w:type="page"/>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黑体" w:hAnsi="黑体" w:eastAsia="黑体" w:cs="黑体"/>
          <w:color w:val="auto"/>
          <w:kern w:val="0"/>
          <w:highlight w:val="none"/>
          <w:lang w:val="en-US" w:eastAsia="zh-CN"/>
        </w:rPr>
      </w:pPr>
      <w:r>
        <w:rPr>
          <w:rFonts w:hint="default" w:ascii="黑体" w:hAnsi="黑体" w:eastAsia="黑体" w:cs="黑体"/>
          <w:color w:val="auto"/>
          <w:kern w:val="0"/>
          <w:sz w:val="32"/>
          <w:szCs w:val="32"/>
          <w:highlight w:val="none"/>
          <w:lang w:eastAsia="zh-CN"/>
        </w:rPr>
        <w:t>一、</w:t>
      </w:r>
      <w:r>
        <w:rPr>
          <w:rFonts w:hint="eastAsia" w:ascii="黑体" w:hAnsi="黑体" w:eastAsia="黑体" w:cs="黑体"/>
          <w:color w:val="auto"/>
          <w:kern w:val="0"/>
          <w:sz w:val="32"/>
          <w:szCs w:val="32"/>
          <w:highlight w:val="none"/>
          <w:lang w:val="en-US" w:eastAsia="zh-CN"/>
        </w:rPr>
        <w:t>部门职责</w:t>
      </w:r>
      <w:r>
        <w:rPr>
          <w:rFonts w:hint="eastAsia" w:ascii="黑体" w:hAnsi="黑体" w:eastAsia="黑体" w:cs="黑体"/>
          <w:bCs/>
          <w:sz w:val="32"/>
          <w:szCs w:val="32"/>
          <w:highlight w:val="none"/>
          <w:lang w:val="en-US" w:eastAsia="zh-CN"/>
        </w:rPr>
        <w:t xml:space="preserve">   </w:t>
      </w:r>
      <w:r>
        <w:rPr>
          <w:rFonts w:hint="eastAsia" w:ascii="楷体" w:hAnsi="楷体" w:eastAsia="楷体" w:cs="楷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中国民主同盟许昌市委员会承担参政议政、民主监督、社会服务、自身建设的组织实施工作等职能。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主要职责是：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（一）负责中共许昌市委和民盟河南省委重大部署在我市民盟组织中贯彻落实的具体实施工作。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（二）负责民盟许昌市委履行参政议政、民主监督职能组织、协调和服务工作。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（三）负责许昌民盟组织的思想建设、组织建设、机关建设、制度建设工作组织实施。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（四）做好后备干部队伍的培养、推荐工作。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（五）负责与市人大、市政府、市政协、市委统战部及有关部门的联系。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highlight w:val="none"/>
          <w:lang w:val="en-US" w:eastAsia="zh-CN"/>
        </w:rPr>
      </w:pPr>
      <w:r>
        <w:rPr>
          <w:rFonts w:hint="eastAsia" w:ascii="仿宋_GB2312" w:hAnsi="宋体" w:eastAsia="仿宋_GB2312" w:cs="宋体"/>
          <w:kern w:val="0"/>
          <w:sz w:val="32"/>
          <w:szCs w:val="32"/>
        </w:rPr>
        <w:t>（六）负责民盟许昌市委的行政、后勤和接待工作，承办领导交办的其他事项。</w:t>
      </w:r>
      <w:r>
        <w:rPr>
          <w:rFonts w:hint="eastAsia" w:ascii="仿宋_GB2312" w:hAnsi="宋体" w:eastAsia="仿宋_GB2312" w:cs="宋体"/>
          <w:kern w:val="0"/>
          <w:sz w:val="32"/>
          <w:szCs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color w:val="auto"/>
          <w:kern w:val="0"/>
          <w:sz w:val="32"/>
          <w:szCs w:val="32"/>
          <w:highlight w:val="none"/>
          <w:lang w:val="en-US" w:eastAsia="zh-CN"/>
        </w:rPr>
      </w:pPr>
      <w:r>
        <w:rPr>
          <w:rFonts w:hint="default" w:ascii="黑体" w:hAnsi="黑体" w:eastAsia="黑体" w:cs="黑体"/>
          <w:color w:val="auto"/>
          <w:kern w:val="0"/>
          <w:sz w:val="32"/>
          <w:szCs w:val="32"/>
          <w:highlight w:val="none"/>
          <w:lang w:val="en-US" w:eastAsia="zh-CN"/>
        </w:rPr>
        <w:t>二、</w:t>
      </w:r>
      <w:r>
        <w:rPr>
          <w:rFonts w:hint="eastAsia" w:ascii="黑体" w:hAnsi="黑体" w:eastAsia="黑体" w:cs="黑体"/>
          <w:color w:val="auto"/>
          <w:kern w:val="0"/>
          <w:sz w:val="32"/>
          <w:szCs w:val="32"/>
          <w:highlight w:val="none"/>
          <w:lang w:val="en-US" w:eastAsia="zh-CN"/>
        </w:rPr>
        <w:t xml:space="preserve">机构设置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中国民主同盟许昌市委员会内设机构1个，包括：办公室。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b w:val="0"/>
          <w:bCs w:val="0"/>
          <w:color w:val="auto"/>
          <w:kern w:val="0"/>
          <w:sz w:val="32"/>
          <w:szCs w:val="32"/>
          <w:highlight w:val="none"/>
          <w:lang w:val="en-US" w:eastAsia="zh-CN"/>
        </w:rPr>
        <w:t>中国民主同盟许昌市委员会</w:t>
      </w:r>
      <w:r>
        <w:rPr>
          <w:rFonts w:hint="eastAsia" w:ascii="仿宋_GB2312" w:hAnsi="仿宋_GB2312" w:eastAsia="仿宋_GB2312" w:cs="仿宋_GB2312"/>
          <w:color w:val="auto"/>
          <w:kern w:val="0"/>
          <w:sz w:val="32"/>
          <w:szCs w:val="32"/>
          <w:highlight w:val="none"/>
          <w:lang w:val="en-US" w:eastAsia="zh-CN"/>
        </w:rPr>
        <w:t>部门决算包括：本级决算（1个）。</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本决算为汇总决算，纳入本部门2021年度部门决算编制范围的单位共1个。具体是：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中国民主同盟许昌市委员会本级</w:t>
      </w:r>
    </w:p>
    <w:p>
      <w:pPr>
        <w:widowControl/>
        <w:jc w:val="left"/>
        <w:rPr>
          <w:rFonts w:hint="eastAsia" w:ascii="黑体" w:hAnsi="宋体" w:eastAsia="黑体" w:cs="宋体"/>
          <w:kern w:val="0"/>
          <w:sz w:val="28"/>
          <w:szCs w:val="28"/>
          <w:highlight w:val="none"/>
          <w:lang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3988"/>
      </w:tblGrid>
      <w:tr>
        <w:tblPrEx>
          <w:tblCellMar>
            <w:top w:w="0" w:type="dxa"/>
            <w:left w:w="0" w:type="dxa"/>
            <w:bottom w:w="0" w:type="dxa"/>
            <w:right w:w="0" w:type="dxa"/>
          </w:tblCellMar>
        </w:tblPrEx>
        <w:trPr>
          <w:trHeight w:val="360" w:hRule="atLeast"/>
        </w:trPr>
        <w:tc>
          <w:tcPr>
            <w:tcW w:w="13988"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收入支出决算总表</w:t>
            </w: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1"/>
              <w:gridCol w:w="564"/>
              <w:gridCol w:w="2217"/>
              <w:gridCol w:w="4151"/>
              <w:gridCol w:w="564"/>
              <w:gridCol w:w="2217"/>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4215"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4785"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部门：中国民主同盟许昌市委员会</w:t>
                  </w:r>
                </w:p>
              </w:tc>
              <w:tc>
                <w:tcPr>
                  <w:tcW w:w="22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4"/>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50"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3845"/>
      </w:tblGrid>
      <w:tr>
        <w:tblPrEx>
          <w:tblCellMar>
            <w:top w:w="0" w:type="dxa"/>
            <w:left w:w="0" w:type="dxa"/>
            <w:bottom w:w="0" w:type="dxa"/>
            <w:right w:w="0" w:type="dxa"/>
          </w:tblCellMar>
        </w:tblPrEx>
        <w:trPr>
          <w:trHeight w:val="435" w:hRule="atLeast"/>
        </w:trPr>
        <w:tc>
          <w:tcPr>
            <w:tcW w:w="13845"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收入决算表</w:t>
            </w:r>
          </w:p>
          <w:tbl>
            <w:tblPr>
              <w:tblStyle w:val="8"/>
              <w:tblW w:w="137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
              <w:gridCol w:w="301"/>
              <w:gridCol w:w="463"/>
              <w:gridCol w:w="2837"/>
              <w:gridCol w:w="1403"/>
              <w:gridCol w:w="1403"/>
              <w:gridCol w:w="1403"/>
              <w:gridCol w:w="1403"/>
              <w:gridCol w:w="1403"/>
              <w:gridCol w:w="1403"/>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304"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部门：中国民主同盟许昌市委员会</w:t>
                  </w: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0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1"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83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3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3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1"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1"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20.81</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20.81</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19.34</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19.34</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19.28</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19.28</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19.28</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19.28</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8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4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4"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3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22"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注：本表反映部门本年度各项支出情况。本表金额转换为万元时，因四舍五入可能存在尾差。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3988"/>
      </w:tblGrid>
      <w:tr>
        <w:tblPrEx>
          <w:tblCellMar>
            <w:top w:w="0" w:type="dxa"/>
            <w:left w:w="0" w:type="dxa"/>
            <w:bottom w:w="0" w:type="dxa"/>
            <w:right w:w="0" w:type="dxa"/>
          </w:tblCellMar>
        </w:tblPrEx>
        <w:trPr>
          <w:trHeight w:val="435" w:hRule="atLeast"/>
        </w:trPr>
        <w:tc>
          <w:tcPr>
            <w:tcW w:w="13988"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支出决算表</w:t>
            </w:r>
          </w:p>
          <w:tbl>
            <w:tblPr>
              <w:tblStyle w:val="8"/>
              <w:tblW w:w="15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
              <w:gridCol w:w="319"/>
              <w:gridCol w:w="551"/>
              <w:gridCol w:w="4003"/>
              <w:gridCol w:w="1657"/>
              <w:gridCol w:w="1657"/>
              <w:gridCol w:w="1234"/>
              <w:gridCol w:w="1234"/>
              <w:gridCol w:w="1234"/>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25"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部门：中国民主同盟许昌市委员会</w:t>
                  </w:r>
                </w:p>
              </w:tc>
              <w:tc>
                <w:tcPr>
                  <w:tcW w:w="1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3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2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4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38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2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62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21.36</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21.36</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5"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38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3324"/>
        <w:gridCol w:w="649"/>
      </w:tblGrid>
      <w:tr>
        <w:tblPrEx>
          <w:tblCellMar>
            <w:top w:w="0" w:type="dxa"/>
            <w:left w:w="0" w:type="dxa"/>
            <w:bottom w:w="0" w:type="dxa"/>
            <w:right w:w="0" w:type="dxa"/>
          </w:tblCellMar>
        </w:tblPrEx>
        <w:trPr>
          <w:trHeight w:val="360" w:hRule="atLeast"/>
        </w:trPr>
        <w:tc>
          <w:tcPr>
            <w:tcW w:w="13324"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财政拨款收入支出决算总表</w:t>
            </w:r>
          </w:p>
          <w:tbl>
            <w:tblPr>
              <w:tblStyle w:val="8"/>
              <w:tblW w:w="13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0"/>
              <w:gridCol w:w="541"/>
              <w:gridCol w:w="1080"/>
              <w:gridCol w:w="2640"/>
              <w:gridCol w:w="585"/>
              <w:gridCol w:w="1275"/>
              <w:gridCol w:w="1410"/>
              <w:gridCol w:w="1245"/>
              <w:gridCol w:w="1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0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4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1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4621"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部门：中国民主同盟许昌市委员会</w:t>
                  </w:r>
                </w:p>
              </w:tc>
              <w:tc>
                <w:tcPr>
                  <w:tcW w:w="26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6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47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2" w:hRule="atLeast"/>
              </w:trPr>
              <w:tc>
                <w:tcPr>
                  <w:tcW w:w="30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6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7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0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26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26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9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rPr>
                    <w:t>注：本表反映部门本年度一般公共预算财政拨款和政府性基金预算财政拨款的总收支和年末结转结余情况。本表金额转换为万元时，因四舍五入可能存在尾差。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c>
          <w:tcPr>
            <w:tcW w:w="649"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3988"/>
      </w:tblGrid>
      <w:tr>
        <w:tblPrEx>
          <w:tblCellMar>
            <w:top w:w="0" w:type="dxa"/>
            <w:left w:w="0" w:type="dxa"/>
            <w:bottom w:w="0" w:type="dxa"/>
            <w:right w:w="0" w:type="dxa"/>
          </w:tblCellMar>
        </w:tblPrEx>
        <w:trPr>
          <w:trHeight w:val="600" w:hRule="atLeast"/>
        </w:trPr>
        <w:tc>
          <w:tcPr>
            <w:tcW w:w="13988" w:type="dxa"/>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一般公共预算财政拨款支出决算表</w:t>
            </w:r>
          </w:p>
          <w:tbl>
            <w:tblPr>
              <w:tblStyle w:val="8"/>
              <w:tblW w:w="133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
              <w:gridCol w:w="330"/>
              <w:gridCol w:w="2521"/>
              <w:gridCol w:w="3045"/>
              <w:gridCol w:w="2265"/>
              <w:gridCol w:w="252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2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26"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部门：中国民主同盟许昌市委员会</w:t>
                  </w:r>
                </w:p>
              </w:tc>
              <w:tc>
                <w:tcPr>
                  <w:tcW w:w="22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6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2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04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18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4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4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21.36</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21.36</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0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rPr>
                    <w:t>注：本表反映部门本年度一般公共预算财政拨款支出情况。本表金额转换为万元时，因四舍五入可能存在尾差。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3988"/>
      </w:tblGrid>
      <w:tr>
        <w:tblPrEx>
          <w:tblCellMar>
            <w:top w:w="0" w:type="dxa"/>
            <w:left w:w="0" w:type="dxa"/>
            <w:bottom w:w="0" w:type="dxa"/>
            <w:right w:w="0" w:type="dxa"/>
          </w:tblCellMar>
        </w:tblPrEx>
        <w:trPr>
          <w:trHeight w:val="435" w:hRule="atLeast"/>
        </w:trPr>
        <w:tc>
          <w:tcPr>
            <w:tcW w:w="13988"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bl>
            <w:tblPr>
              <w:tblStyle w:val="8"/>
              <w:tblW w:w="13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2733"/>
              <w:gridCol w:w="1069"/>
              <w:gridCol w:w="778"/>
              <w:gridCol w:w="2456"/>
              <w:gridCol w:w="779"/>
              <w:gridCol w:w="778"/>
              <w:gridCol w:w="3402"/>
              <w:gridCol w:w="109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77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7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6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4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9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4580"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部门：中国民主同盟许昌市委员会</w:t>
                  </w:r>
                </w:p>
              </w:tc>
              <w:tc>
                <w:tcPr>
                  <w:tcW w:w="7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9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85" w:type="dxa"/>
                  <w:gridSpan w:val="7"/>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92"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2"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4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2"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819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9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8" w:hRule="atLeast"/>
              </w:trPr>
              <w:tc>
                <w:tcPr>
                  <w:tcW w:w="1386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rPr>
                    <w:t>注：本表反映部门本年度一般公共预算财政拨款基本支出明细情况。本表金额转换为万元时，因四舍五入可能存在尾差。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3807"/>
      </w:tblGrid>
      <w:tr>
        <w:tblPrEx>
          <w:tblCellMar>
            <w:top w:w="0" w:type="dxa"/>
            <w:left w:w="0" w:type="dxa"/>
            <w:bottom w:w="0" w:type="dxa"/>
            <w:right w:w="0" w:type="dxa"/>
          </w:tblCellMar>
        </w:tblPrEx>
        <w:trPr>
          <w:trHeight w:val="600" w:hRule="atLeast"/>
        </w:trPr>
        <w:tc>
          <w:tcPr>
            <w:tcW w:w="13807" w:type="dxa"/>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bl>
            <w:tblPr>
              <w:tblStyle w:val="8"/>
              <w:tblW w:w="16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0"/>
              <w:gridCol w:w="1140"/>
              <w:gridCol w:w="1140"/>
              <w:gridCol w:w="1140"/>
              <w:gridCol w:w="1140"/>
              <w:gridCol w:w="1140"/>
              <w:gridCol w:w="1140"/>
              <w:gridCol w:w="1140"/>
              <w:gridCol w:w="1140"/>
              <w:gridCol w:w="1140"/>
              <w:gridCol w:w="1141"/>
              <w:gridCol w:w="1"/>
              <w:gridCol w:w="114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141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705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部门：中国民主同盟许昌市委员会</w:t>
                  </w: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30"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6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8460" w:type="dxa"/>
                  <w:gridSpan w:val="8"/>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10"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1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615" w:hRule="atLeast"/>
              </w:trPr>
              <w:tc>
                <w:tcPr>
                  <w:tcW w:w="16920" w:type="dxa"/>
                  <w:gridSpan w:val="13"/>
                  <w:tcBorders>
                    <w:top w:val="nil"/>
                    <w:left w:val="nil"/>
                    <w:bottom w:val="nil"/>
                    <w:right w:val="nil"/>
                  </w:tcBorders>
                  <w:noWrap w:val="0"/>
                  <w:vAlign w:val="center"/>
                </w:tcPr>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trPr>
                    <w:tc>
                      <w:tcPr>
                        <w:tcW w:w="5000" w:type="pct"/>
                        <w:tcBorders>
                          <w:top w:val="nil"/>
                          <w:left w:val="nil"/>
                          <w:bottom w:val="nil"/>
                          <w:right w:val="nil"/>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highlight w:val="none"/>
                            <w:u w:val="none"/>
                            <w:lang w:val="en-US" w:eastAsia="zh-CN"/>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color w:val="auto"/>
                      <w:sz w:val="36"/>
                      <w:szCs w:val="36"/>
                      <w:highlight w:val="none"/>
                      <w:lang w:val="en-US" w:eastAsia="zh-CN"/>
                    </w:rPr>
                    <w:t>说明：我部门没有预算安排的三公经费，也没有预算安排的三公支出，故本表无数据。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政府性基金预算财政拨款收入支出决算表</w:t>
      </w:r>
    </w:p>
    <w:tbl>
      <w:tblPr>
        <w:tblStyle w:val="8"/>
        <w:tblW w:w="13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
        <w:gridCol w:w="319"/>
        <w:gridCol w:w="319"/>
        <w:gridCol w:w="3602"/>
        <w:gridCol w:w="1551"/>
        <w:gridCol w:w="1551"/>
        <w:gridCol w:w="1551"/>
        <w:gridCol w:w="1551"/>
        <w:gridCol w:w="1551"/>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11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部门：中国民主同盟许昌市委员会</w:t>
            </w:r>
          </w:p>
        </w:tc>
        <w:tc>
          <w:tcPr>
            <w:tcW w:w="15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0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5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5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65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5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60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0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0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6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6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65" w:type="dxa"/>
            <w:gridSpan w:val="10"/>
            <w:tcBorders>
              <w:top w:val="nil"/>
              <w:left w:val="nil"/>
              <w:bottom w:val="nil"/>
              <w:right w:val="nil"/>
            </w:tcBorders>
            <w:noWrap/>
            <w:vAlign w:val="center"/>
          </w:tcPr>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3766" w:type="dxa"/>
                  <w:tcBorders>
                    <w:top w:val="nil"/>
                    <w:left w:val="nil"/>
                    <w:bottom w:val="nil"/>
                    <w:right w:val="nil"/>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注：本表反映部门本年度政府性基金预算财政拨款收入、支出及结转和结余情况。</w:t>
                  </w:r>
                  <w:r>
                    <w:rPr>
                      <w:rFonts w:hint="eastAsia" w:ascii="宋体" w:hAnsi="宋体" w:eastAsia="宋体" w:cs="宋体"/>
                      <w:i w:val="0"/>
                      <w:color w:val="000000"/>
                      <w:kern w:val="0"/>
                      <w:sz w:val="20"/>
                      <w:szCs w:val="20"/>
                      <w:highlight w:val="none"/>
                      <w:u w:val="none"/>
                      <w:lang w:val="en-US" w:eastAsia="zh-CN"/>
                    </w:rPr>
                    <w:t>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color w:val="auto"/>
                <w:sz w:val="36"/>
                <w:szCs w:val="36"/>
                <w:highlight w:val="none"/>
                <w:lang w:val="en-US" w:eastAsia="zh-CN"/>
              </w:rPr>
              <w:t>说明：我部门没有政府性基金收入，也没有使用政府性基金安排的支出，故本表无数据</w:t>
            </w:r>
            <w:r>
              <w:rPr>
                <w:rFonts w:hint="eastAsia" w:ascii="仿宋_GB2312" w:hAnsi="仿宋_GB2312" w:eastAsia="仿宋_GB2312" w:cs="仿宋_GB2312"/>
                <w:color w:val="auto"/>
                <w:sz w:val="40"/>
                <w:szCs w:val="40"/>
                <w:highlight w:val="none"/>
                <w:lang w:val="en-US" w:eastAsia="zh-CN"/>
              </w:rPr>
              <w:t>。</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26.46</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2.94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减少支出</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rPr>
        <w:t>20.81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lang w:val="en-US"/>
        </w:rPr>
        <w:t>20.81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rPr>
        <w:t>21.36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21.36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26.46</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lang w:val="en-US"/>
        </w:rPr>
        <w:t>2.94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减少支出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21.36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1.08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5.33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人员经费</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21.36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19.89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93.12</w:t>
      </w:r>
      <w:r>
        <w:rPr>
          <w:rFonts w:hint="eastAsia" w:ascii="仿宋_GB2312" w:hAnsi="仿宋_GB2312" w:eastAsia="仿宋_GB2312" w:cs="仿宋_GB2312"/>
          <w:sz w:val="32"/>
          <w:szCs w:val="32"/>
          <w:highlight w:val="none"/>
        </w:rPr>
        <w:t>%；社会保障和就业支出（类）支出</w:t>
      </w:r>
      <w:r>
        <w:rPr>
          <w:rFonts w:hint="eastAsia" w:ascii="仿宋_GB2312" w:hAnsi="仿宋_GB2312" w:eastAsia="仿宋_GB2312" w:cs="仿宋_GB2312"/>
          <w:sz w:val="32"/>
          <w:szCs w:val="32"/>
          <w:highlight w:val="none"/>
          <w:lang w:val="en-US" w:eastAsia="zh-CN"/>
        </w:rPr>
        <w:t>0.70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3.28</w:t>
      </w:r>
      <w:r>
        <w:rPr>
          <w:rFonts w:hint="eastAsia" w:ascii="仿宋_GB2312" w:hAnsi="仿宋_GB2312" w:eastAsia="仿宋_GB2312" w:cs="仿宋_GB2312"/>
          <w:sz w:val="32"/>
          <w:szCs w:val="32"/>
          <w:highlight w:val="none"/>
        </w:rPr>
        <w:t>%；卫生健康支出（类）支出</w:t>
      </w:r>
      <w:r>
        <w:rPr>
          <w:rFonts w:hint="eastAsia" w:ascii="仿宋_GB2312" w:hAnsi="仿宋_GB2312" w:eastAsia="仿宋_GB2312" w:cs="仿宋_GB2312"/>
          <w:sz w:val="32"/>
          <w:szCs w:val="32"/>
          <w:highlight w:val="none"/>
          <w:lang w:val="en-US" w:eastAsia="zh-CN"/>
        </w:rPr>
        <w:t>0.77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3.60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22.65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21.36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94.3</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1．一般公共服务支出（类）民主党派及工商联事务（款）行政运行（项）。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21.02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19.83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94.34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减少支出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93.33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基数调整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．卫生健康支出（类）行政事业单位医疗（款）行政单位医疗（项）。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95.24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基数调整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0.40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减少支出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21.36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rPr>
        <w:t>10.71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机关事业单位基本养老保险缴费、职业年金缴费、职工基本医疗保险缴费、公务员医疗补助缴费、其他社会保障缴费、住房公积金；公用经费</w:t>
      </w:r>
      <w:r>
        <w:rPr>
          <w:rFonts w:hint="eastAsia" w:ascii="仿宋_GB2312" w:hAnsi="仿宋_GB2312" w:eastAsia="仿宋_GB2312" w:cs="仿宋_GB2312"/>
          <w:sz w:val="32"/>
          <w:szCs w:val="32"/>
          <w:highlight w:val="none"/>
          <w:lang w:val="en-US" w:eastAsia="zh-CN"/>
        </w:rPr>
        <w:t>10.65</w:t>
      </w:r>
      <w:r>
        <w:rPr>
          <w:rFonts w:hint="eastAsia" w:ascii="仿宋_GB2312" w:hAnsi="仿宋_GB2312" w:eastAsia="仿宋_GB2312" w:cs="仿宋_GB2312"/>
          <w:sz w:val="32"/>
          <w:szCs w:val="32"/>
          <w:highlight w:val="none"/>
        </w:rPr>
        <w:t>万元，主要包括：办公费、印刷费、会议费、工会经费、福利费。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w:t>
      </w:r>
      <w:r>
        <w:rPr>
          <w:rFonts w:hint="eastAsia" w:ascii="仿宋_GB2312" w:hAnsi="仿宋_GB2312" w:eastAsia="仿宋_GB2312" w:cs="仿宋_GB2312"/>
          <w:sz w:val="32"/>
          <w:szCs w:val="32"/>
          <w:highlight w:val="none"/>
        </w:rPr>
        <w:t>全年因公出国（境）团组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个，累计</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决算数与</w:t>
      </w:r>
      <w:r>
        <w:rPr>
          <w:rFonts w:hint="eastAsia" w:ascii="仿宋_GB2312" w:hAnsi="仿宋_GB2312" w:eastAsia="仿宋_GB2312" w:cs="仿宋_GB2312"/>
          <w:sz w:val="32"/>
          <w:szCs w:val="32"/>
          <w:highlight w:val="none"/>
          <w:u w:val="none"/>
        </w:rPr>
        <w:t>预算数</w:t>
      </w:r>
      <w:r>
        <w:rPr>
          <w:rFonts w:hint="eastAsia" w:ascii="仿宋_GB2312" w:hAnsi="仿宋_GB2312" w:eastAsia="仿宋_GB2312" w:cs="仿宋_GB2312"/>
          <w:sz w:val="32"/>
          <w:szCs w:val="32"/>
        </w:rPr>
        <w:t>存在差异的主要原因是</w:t>
      </w:r>
      <w:r>
        <w:rPr>
          <w:rFonts w:hint="eastAsia" w:ascii="仿宋_GB2312" w:hAnsi="仿宋_GB2312" w:eastAsia="仿宋_GB2312" w:cs="仿宋_GB2312"/>
          <w:sz w:val="32"/>
          <w:szCs w:val="32"/>
          <w:lang w:eastAsia="zh-CN"/>
        </w:rPr>
        <w:t>无差异</w:t>
      </w:r>
      <w:r>
        <w:rPr>
          <w:rFonts w:hint="eastAsia" w:ascii="仿宋_GB2312" w:hAnsi="仿宋_GB2312" w:eastAsia="仿宋_GB2312" w:cs="仿宋_GB2312"/>
          <w:sz w:val="32"/>
          <w:szCs w:val="32"/>
        </w:rPr>
        <w:t>。其中：</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决算数与</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rPr>
        <w:t>存在差异的主要原因是</w:t>
      </w:r>
      <w:r>
        <w:rPr>
          <w:rFonts w:hint="eastAsia" w:ascii="仿宋_GB2312" w:hAnsi="仿宋_GB2312" w:eastAsia="仿宋_GB2312" w:cs="仿宋_GB2312"/>
          <w:sz w:val="32"/>
          <w:szCs w:val="32"/>
          <w:lang w:eastAsia="zh-CN"/>
        </w:rPr>
        <w:t>无差异</w:t>
      </w:r>
      <w:r>
        <w:rPr>
          <w:rFonts w:hint="eastAsia" w:ascii="仿宋_GB2312" w:hAnsi="仿宋_GB2312" w:eastAsia="仿宋_GB2312" w:cs="仿宋_GB2312"/>
          <w:sz w:val="32"/>
          <w:szCs w:val="32"/>
        </w:rPr>
        <w:t>。其中：</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lang w:val="en-US" w:eastAsia="zh-CN"/>
        </w:rPr>
        <w:t>情况说明：我部门2021年度没有政府性基金收入，也没有使用政府性基金安排的支出。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9.55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10.65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111.52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年初有结转结余</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我部门（单位）按照《中共许昌市委 许昌市人民政府关于全面实施预算绩效管理的实施意见》（许发〔2021〕13号）文件要求，对本部门（单位）整体支出和项目支出开展全过程预算绩效管理。2020年我部门纳入预算绩效管理的支出总额为22.65万元，其中：基本支出22.65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绩效评价有效落实，指导经费开支合规，经费管理使用合理。二是项目绩效自评情况。我部门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bookmarkStart w:id="0" w:name="_GoBack"/>
      <w:bookmarkEnd w:id="0"/>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 w:eastAsia="zh-CN"/>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highlight w:val="none"/>
          <w:lang w:eastAsia="zh-CN"/>
        </w:rPr>
        <w:t>。</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67522"/>
    <w:multiLevelType w:val="singleLevel"/>
    <w:tmpl w:val="FBB67522"/>
    <w:lvl w:ilvl="0" w:tentative="0">
      <w:start w:val="1"/>
      <w:numFmt w:val="chineseCounting"/>
      <w:suff w:val="space"/>
      <w:lvlText w:val="第%1部分"/>
      <w:lvlJc w:val="left"/>
      <w:rPr>
        <w:rFonts w:hint="eastAsia"/>
      </w:rPr>
    </w:lvl>
  </w:abstractNum>
  <w:abstractNum w:abstractNumId="1">
    <w:nsid w:val="00000003"/>
    <w:multiLevelType w:val="singleLevel"/>
    <w:tmpl w:val="00000003"/>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zFkMzFiYjMzMGEwYzg2MzFjM2YyZjExMjljNG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5E13E7"/>
    <w:rsid w:val="03C75F80"/>
    <w:rsid w:val="0478364D"/>
    <w:rsid w:val="053D4C0D"/>
    <w:rsid w:val="0557532E"/>
    <w:rsid w:val="0799329C"/>
    <w:rsid w:val="08397436"/>
    <w:rsid w:val="086F16A7"/>
    <w:rsid w:val="0A0F7225"/>
    <w:rsid w:val="0A2B7D82"/>
    <w:rsid w:val="0ADC40E9"/>
    <w:rsid w:val="0AE607F4"/>
    <w:rsid w:val="0B386127"/>
    <w:rsid w:val="0B451598"/>
    <w:rsid w:val="0B8838D6"/>
    <w:rsid w:val="0BEC73F4"/>
    <w:rsid w:val="0C392698"/>
    <w:rsid w:val="10BD36F6"/>
    <w:rsid w:val="11BF0649"/>
    <w:rsid w:val="123E3E08"/>
    <w:rsid w:val="133212F4"/>
    <w:rsid w:val="13D22E22"/>
    <w:rsid w:val="15956711"/>
    <w:rsid w:val="161C2DFF"/>
    <w:rsid w:val="16373578"/>
    <w:rsid w:val="16D3336B"/>
    <w:rsid w:val="17200028"/>
    <w:rsid w:val="17806C36"/>
    <w:rsid w:val="17A74F62"/>
    <w:rsid w:val="17FE1F7F"/>
    <w:rsid w:val="18A47774"/>
    <w:rsid w:val="1A8D28EB"/>
    <w:rsid w:val="1A9F2D78"/>
    <w:rsid w:val="1B2E6FD8"/>
    <w:rsid w:val="1B877D21"/>
    <w:rsid w:val="1C4319A9"/>
    <w:rsid w:val="1C580884"/>
    <w:rsid w:val="1E443B4B"/>
    <w:rsid w:val="1E994F4A"/>
    <w:rsid w:val="1EAF0224"/>
    <w:rsid w:val="1F2230A4"/>
    <w:rsid w:val="1F654A7B"/>
    <w:rsid w:val="20210932"/>
    <w:rsid w:val="202448E0"/>
    <w:rsid w:val="20F614FE"/>
    <w:rsid w:val="21302EEA"/>
    <w:rsid w:val="22376FB5"/>
    <w:rsid w:val="223969D6"/>
    <w:rsid w:val="23E152D7"/>
    <w:rsid w:val="23EE2489"/>
    <w:rsid w:val="255D43C8"/>
    <w:rsid w:val="26714EF8"/>
    <w:rsid w:val="26876BDD"/>
    <w:rsid w:val="2714632A"/>
    <w:rsid w:val="27541E73"/>
    <w:rsid w:val="27B0539E"/>
    <w:rsid w:val="29365CF8"/>
    <w:rsid w:val="299469B3"/>
    <w:rsid w:val="2A805789"/>
    <w:rsid w:val="2ADC0D75"/>
    <w:rsid w:val="2B4A0E52"/>
    <w:rsid w:val="2C975890"/>
    <w:rsid w:val="2D110D93"/>
    <w:rsid w:val="2DEF21BB"/>
    <w:rsid w:val="2E4A2F05"/>
    <w:rsid w:val="2ECC1061"/>
    <w:rsid w:val="2FA476AD"/>
    <w:rsid w:val="303F7540"/>
    <w:rsid w:val="31DD00BF"/>
    <w:rsid w:val="3293174C"/>
    <w:rsid w:val="32BB38D4"/>
    <w:rsid w:val="32C9376D"/>
    <w:rsid w:val="33780472"/>
    <w:rsid w:val="33AF0905"/>
    <w:rsid w:val="353B7B3D"/>
    <w:rsid w:val="355932F4"/>
    <w:rsid w:val="35611882"/>
    <w:rsid w:val="36746FC3"/>
    <w:rsid w:val="368763AE"/>
    <w:rsid w:val="37EC1108"/>
    <w:rsid w:val="395D59E7"/>
    <w:rsid w:val="39A93932"/>
    <w:rsid w:val="3A915562"/>
    <w:rsid w:val="3B7DD98B"/>
    <w:rsid w:val="3B8D4765"/>
    <w:rsid w:val="3BF5EAC9"/>
    <w:rsid w:val="3C000DBA"/>
    <w:rsid w:val="3C3E6457"/>
    <w:rsid w:val="3DC045D3"/>
    <w:rsid w:val="3E504FFB"/>
    <w:rsid w:val="3E615CD0"/>
    <w:rsid w:val="3E9C47F6"/>
    <w:rsid w:val="3F8B0112"/>
    <w:rsid w:val="3FAB3095"/>
    <w:rsid w:val="3FBD004E"/>
    <w:rsid w:val="3FE45947"/>
    <w:rsid w:val="3FFDA9BE"/>
    <w:rsid w:val="40C72E09"/>
    <w:rsid w:val="41242965"/>
    <w:rsid w:val="435671EA"/>
    <w:rsid w:val="440809E9"/>
    <w:rsid w:val="442407A6"/>
    <w:rsid w:val="44805EA1"/>
    <w:rsid w:val="45710696"/>
    <w:rsid w:val="46142B1B"/>
    <w:rsid w:val="47E60DD0"/>
    <w:rsid w:val="48735039"/>
    <w:rsid w:val="48A16620"/>
    <w:rsid w:val="492C684B"/>
    <w:rsid w:val="49500594"/>
    <w:rsid w:val="4953DD92"/>
    <w:rsid w:val="49E7604E"/>
    <w:rsid w:val="4BF67CDD"/>
    <w:rsid w:val="4D173441"/>
    <w:rsid w:val="4D603DD6"/>
    <w:rsid w:val="4EBF010F"/>
    <w:rsid w:val="4F471EB0"/>
    <w:rsid w:val="4FF7AA94"/>
    <w:rsid w:val="51331326"/>
    <w:rsid w:val="51740A7F"/>
    <w:rsid w:val="51A5541E"/>
    <w:rsid w:val="51C96242"/>
    <w:rsid w:val="53906AE1"/>
    <w:rsid w:val="53EE8A88"/>
    <w:rsid w:val="54F46F60"/>
    <w:rsid w:val="55A37BEA"/>
    <w:rsid w:val="56362CD2"/>
    <w:rsid w:val="56543B14"/>
    <w:rsid w:val="56FD7071"/>
    <w:rsid w:val="571FD4BF"/>
    <w:rsid w:val="5784687B"/>
    <w:rsid w:val="57846959"/>
    <w:rsid w:val="578E6A87"/>
    <w:rsid w:val="57DB087F"/>
    <w:rsid w:val="5AC2203A"/>
    <w:rsid w:val="5CBB3334"/>
    <w:rsid w:val="5CF77FB8"/>
    <w:rsid w:val="5D115FAF"/>
    <w:rsid w:val="5ED30A9E"/>
    <w:rsid w:val="5FB3776F"/>
    <w:rsid w:val="60F3658D"/>
    <w:rsid w:val="623E5161"/>
    <w:rsid w:val="62811722"/>
    <w:rsid w:val="62E75A72"/>
    <w:rsid w:val="64571880"/>
    <w:rsid w:val="649125B6"/>
    <w:rsid w:val="652F4C1A"/>
    <w:rsid w:val="666D37F1"/>
    <w:rsid w:val="67087D8F"/>
    <w:rsid w:val="671F687E"/>
    <w:rsid w:val="67F415F8"/>
    <w:rsid w:val="682640D1"/>
    <w:rsid w:val="684B73E5"/>
    <w:rsid w:val="6A0363C0"/>
    <w:rsid w:val="6A047A2A"/>
    <w:rsid w:val="6B1FF6F9"/>
    <w:rsid w:val="6EFB7548"/>
    <w:rsid w:val="6F3831C3"/>
    <w:rsid w:val="6F7F4F5D"/>
    <w:rsid w:val="6F8B71C1"/>
    <w:rsid w:val="70753482"/>
    <w:rsid w:val="707B522A"/>
    <w:rsid w:val="7157173F"/>
    <w:rsid w:val="73194D05"/>
    <w:rsid w:val="73A83B0E"/>
    <w:rsid w:val="744D3EF9"/>
    <w:rsid w:val="74794411"/>
    <w:rsid w:val="75867C40"/>
    <w:rsid w:val="75A784A7"/>
    <w:rsid w:val="75B10B26"/>
    <w:rsid w:val="76432199"/>
    <w:rsid w:val="76F44829"/>
    <w:rsid w:val="77A267C0"/>
    <w:rsid w:val="78882278"/>
    <w:rsid w:val="78B118A6"/>
    <w:rsid w:val="78E71D51"/>
    <w:rsid w:val="79135044"/>
    <w:rsid w:val="7A7D0F99"/>
    <w:rsid w:val="7B93FAAC"/>
    <w:rsid w:val="7BDDFB1A"/>
    <w:rsid w:val="7BE41522"/>
    <w:rsid w:val="7BFB328C"/>
    <w:rsid w:val="7D57148F"/>
    <w:rsid w:val="7D5B4A17"/>
    <w:rsid w:val="7DFD290C"/>
    <w:rsid w:val="7E4A0E7C"/>
    <w:rsid w:val="7EFD449D"/>
    <w:rsid w:val="7FDFAA79"/>
    <w:rsid w:val="7FF78519"/>
    <w:rsid w:val="7FFDBFC6"/>
    <w:rsid w:val="97FD9FB3"/>
    <w:rsid w:val="A6774550"/>
    <w:rsid w:val="B5FF218E"/>
    <w:rsid w:val="B7FDB3D5"/>
    <w:rsid w:val="BCE9C52A"/>
    <w:rsid w:val="BF9C89B2"/>
    <w:rsid w:val="BFF6941D"/>
    <w:rsid w:val="CB771C3F"/>
    <w:rsid w:val="CF7F459B"/>
    <w:rsid w:val="D6FF82E1"/>
    <w:rsid w:val="D77D39AF"/>
    <w:rsid w:val="D7BA2798"/>
    <w:rsid w:val="DB9DF2BC"/>
    <w:rsid w:val="DBEF6DAA"/>
    <w:rsid w:val="DBF50F22"/>
    <w:rsid w:val="DC5F11D9"/>
    <w:rsid w:val="DE5FBD04"/>
    <w:rsid w:val="DF3BF5E3"/>
    <w:rsid w:val="DF6FA97D"/>
    <w:rsid w:val="DFB602D4"/>
    <w:rsid w:val="E4B8203A"/>
    <w:rsid w:val="E6DD1AB0"/>
    <w:rsid w:val="EB1ACFB1"/>
    <w:rsid w:val="EF36A836"/>
    <w:rsid w:val="EFE1EE2E"/>
    <w:rsid w:val="EFE7D013"/>
    <w:rsid w:val="F4B6F128"/>
    <w:rsid w:val="F6BFACDB"/>
    <w:rsid w:val="F77EB1F4"/>
    <w:rsid w:val="F7EE502F"/>
    <w:rsid w:val="F89F52DF"/>
    <w:rsid w:val="FBFB8D2F"/>
    <w:rsid w:val="FCDDE8B6"/>
    <w:rsid w:val="FF7DFED9"/>
    <w:rsid w:val="FFAF0D1A"/>
    <w:rsid w:val="FFB612B7"/>
    <w:rsid w:val="FFCDC479"/>
    <w:rsid w:val="FFD840FE"/>
    <w:rsid w:val="FFF726C4"/>
    <w:rsid w:val="FFFD4C02"/>
    <w:rsid w:val="FFFF6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w:link w:val="5"/>
    <w:semiHidden/>
    <w:qFormat/>
    <w:uiPriority w:val="99"/>
    <w:rPr>
      <w:kern w:val="2"/>
      <w:sz w:val="18"/>
      <w:szCs w:val="18"/>
    </w:rPr>
  </w:style>
  <w:style w:type="character" w:customStyle="1" w:styleId="14">
    <w:name w:val="页脚 Char"/>
    <w:link w:val="6"/>
    <w:qFormat/>
    <w:uiPriority w:val="99"/>
    <w:rPr>
      <w:kern w:val="2"/>
      <w:sz w:val="18"/>
      <w:szCs w:val="18"/>
    </w:rPr>
  </w:style>
  <w:style w:type="character" w:customStyle="1" w:styleId="15">
    <w:name w:val="页眉 Char"/>
    <w:link w:val="7"/>
    <w:qFormat/>
    <w:uiPriority w:val="99"/>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7486</Words>
  <Characters>8765</Characters>
  <Lines>60</Lines>
  <Paragraphs>16</Paragraphs>
  <TotalTime>46</TotalTime>
  <ScaleCrop>false</ScaleCrop>
  <LinksUpToDate>false</LinksUpToDate>
  <CharactersWithSpaces>9042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huanghe</cp:lastModifiedBy>
  <cp:lastPrinted>2023-05-10T15:58:00Z</cp:lastPrinted>
  <dcterms:modified xsi:type="dcterms:W3CDTF">2023-05-12T11:42:52Z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8531400F3C274AA5BC1EBEDA9EC9EEF7_13</vt:lpwstr>
  </property>
</Properties>
</file>