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pacing w:val="-28"/>
          <w:sz w:val="52"/>
          <w:szCs w:val="52"/>
          <w:highlight w:val="none"/>
          <w:lang w:eastAsia="zh-CN"/>
        </w:rPr>
        <w:t>中国人民政治协商会议河南省许昌市委员</w:t>
      </w:r>
      <w:r>
        <w:rPr>
          <w:rFonts w:hint="eastAsia" w:ascii="黑体" w:hAnsi="黑体" w:eastAsia="黑体" w:cs="黑体"/>
          <w:spacing w:val="-20"/>
          <w:sz w:val="52"/>
          <w:szCs w:val="52"/>
          <w:highlight w:val="none"/>
          <w:lang w:eastAsia="zh-CN"/>
        </w:rPr>
        <w:t>会</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417" w:bottom="1440" w:left="1417" w:header="850" w:footer="992" w:gutter="0"/>
          <w:pgBorders>
            <w:top w:val="none" w:sz="0" w:space="0"/>
            <w:left w:val="none" w:sz="0" w:space="0"/>
            <w:bottom w:val="none" w:sz="0" w:space="0"/>
            <w:right w:val="none" w:sz="0" w:space="0"/>
          </w:pgBorders>
          <w:pgNumType w:fmt="numberInDash"/>
          <w:cols w:space="720" w:num="1"/>
          <w:rtlGutter w:val="0"/>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numPr>
          <w:ilvl w:val="0"/>
          <w:numId w:val="1"/>
        </w:numPr>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中国人民政治协商会议河南省许昌市委员会</w:t>
      </w:r>
      <w:r>
        <w:rPr>
          <w:rFonts w:hint="eastAsia" w:ascii="黑体" w:hAnsi="黑体" w:eastAsia="黑体" w:cs="黑体"/>
          <w:sz w:val="32"/>
          <w:szCs w:val="32"/>
          <w:highlight w:val="none"/>
        </w:rPr>
        <w:t>概况</w:t>
      </w:r>
    </w:p>
    <w:p>
      <w:pPr>
        <w:numPr>
          <w:ilvl w:val="0"/>
          <w:numId w:val="2"/>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2"/>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pStyle w:val="3"/>
        <w:rPr>
          <w:rFonts w:hint="eastAsia"/>
        </w:rPr>
      </w:pPr>
    </w:p>
    <w:p>
      <w:pPr>
        <w:pStyle w:val="3"/>
        <w:rPr>
          <w:rFonts w:hint="eastAsia"/>
        </w:rPr>
      </w:pPr>
    </w:p>
    <w:p>
      <w:pPr>
        <w:pStyle w:val="3"/>
        <w:rPr>
          <w:rFonts w:hint="eastAsia"/>
        </w:rPr>
      </w:pPr>
    </w:p>
    <w:p>
      <w:pPr>
        <w:widowControl/>
        <w:jc w:val="both"/>
        <w:outlineLvl w:val="0"/>
        <w:rPr>
          <w:rFonts w:hint="eastAsia" w:ascii="黑体" w:hAnsi="黑体" w:eastAsia="黑体" w:cs="黑体"/>
          <w:sz w:val="48"/>
          <w:szCs w:val="48"/>
          <w:highlight w:val="none"/>
        </w:rPr>
      </w:pPr>
    </w:p>
    <w:p>
      <w:pPr>
        <w:numPr>
          <w:ilvl w:val="0"/>
          <w:numId w:val="3"/>
        </w:numPr>
        <w:ind w:left="3333" w:leftChars="-13" w:hanging="3360" w:hangingChars="700"/>
        <w:jc w:val="left"/>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lang w:eastAsia="zh-CN"/>
        </w:rPr>
        <w:t>中国人民政治协商会议河南</w:t>
      </w:r>
    </w:p>
    <w:p>
      <w:pPr>
        <w:numPr>
          <w:ilvl w:val="0"/>
          <w:numId w:val="0"/>
        </w:numPr>
        <w:ind w:firstLine="2880" w:firstLineChars="600"/>
        <w:jc w:val="left"/>
        <w:rPr>
          <w:rFonts w:hint="eastAsia" w:ascii="黑体" w:hAnsi="宋体" w:eastAsia="黑体" w:cs="宋体"/>
          <w:kern w:val="0"/>
          <w:sz w:val="28"/>
          <w:szCs w:val="28"/>
          <w:highlight w:val="none"/>
        </w:rPr>
      </w:pPr>
      <w:r>
        <w:rPr>
          <w:rFonts w:hint="eastAsia" w:ascii="黑体" w:hAnsi="黑体" w:eastAsia="黑体" w:cs="黑体"/>
          <w:sz w:val="48"/>
          <w:szCs w:val="48"/>
          <w:highlight w:val="none"/>
          <w:lang w:eastAsia="zh-CN"/>
        </w:rPr>
        <w:t>省许昌市委员会</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pStyle w:val="3"/>
        <w:rPr>
          <w:rFonts w:ascii="黑体" w:hAnsi="黑体" w:eastAsia="黑体" w:cs="黑体"/>
          <w:kern w:val="0"/>
          <w:sz w:val="32"/>
          <w:szCs w:val="32"/>
          <w:highlight w:val="none"/>
        </w:rPr>
      </w:pPr>
    </w:p>
    <w:p>
      <w:pPr>
        <w:pStyle w:val="3"/>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一、部门</w:t>
      </w:r>
      <w:r>
        <w:rPr>
          <w:rFonts w:hint="eastAsia" w:ascii="黑体" w:hAnsi="黑体" w:eastAsia="黑体" w:cs="黑体"/>
          <w:bCs/>
          <w:sz w:val="32"/>
          <w:szCs w:val="32"/>
          <w:highlight w:val="none"/>
        </w:rPr>
        <w:t>职责</w:t>
      </w:r>
    </w:p>
    <w:p>
      <w:pPr>
        <w:widowControl/>
        <w:ind w:firstLine="640" w:firstLineChars="200"/>
        <w:jc w:val="left"/>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中国人民政治协商会议河南省许昌市委员会主要职能是政治协商、民主监督、参政议政。这三项主要职能是我市各党派团体、各族各界人士在中国政治体制中参与国事、发挥作用的重要内容和基本形式，体现了政协的性质和特点，是政协区别于其他政治组织的重要标志。</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widowControl/>
        <w:ind w:firstLine="640" w:firstLineChars="200"/>
        <w:jc w:val="left"/>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中国人民政治协商会议河南省许昌市委员会内设机构8个，包括：办公室、政策研究室、提案委员会、经济委员会、教科卫体委员会、民族宗教“三胞”联谊委员会、社会和法制委员会、文化和文史委员会。另设有政协许昌市委员会机关信息化和服务保障中心和许昌市政协委员联络服务中心2个正科级事业单位，未独立编制预决算。</w:t>
      </w:r>
    </w:p>
    <w:p>
      <w:pPr>
        <w:widowControl/>
        <w:ind w:firstLine="640" w:firstLineChars="200"/>
        <w:jc w:val="left"/>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从决算单位构成看，中国人民政治协商会议河南省许昌市委员会部门决算包括：本级决算（1个）。</w:t>
      </w:r>
    </w:p>
    <w:p>
      <w:pPr>
        <w:widowControl/>
        <w:ind w:firstLine="640" w:firstLineChars="200"/>
        <w:jc w:val="left"/>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本决算为汇总决算，纳入本部门2021年度部门决算编制范围的单位共1个，具体是：</w:t>
      </w:r>
    </w:p>
    <w:p>
      <w:pPr>
        <w:widowControl/>
        <w:ind w:firstLine="640" w:firstLineChars="200"/>
        <w:jc w:val="left"/>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中国人民政治协商会议河南省许昌市委员会（核算包括政协许昌市委员会机关信息化和服务保障中心和许昌市政协委员联络服务中心的预算资金）</w:t>
      </w:r>
    </w:p>
    <w:p>
      <w:pPr>
        <w:widowControl/>
        <w:ind w:firstLine="560" w:firstLineChars="200"/>
        <w:jc w:val="left"/>
        <w:rPr>
          <w:rFonts w:hint="eastAsia" w:ascii="宋体" w:hAnsi="宋体" w:eastAsia="宋体" w:cs="宋体"/>
          <w:color w:val="auto"/>
          <w:kern w:val="0"/>
          <w:sz w:val="28"/>
          <w:szCs w:val="28"/>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pStyle w:val="3"/>
        <w:rPr>
          <w:rFonts w:hint="eastAsia"/>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14070" w:type="dxa"/>
        <w:tblInd w:w="0" w:type="dxa"/>
        <w:tblLayout w:type="fixed"/>
        <w:tblCellMar>
          <w:top w:w="0" w:type="dxa"/>
          <w:left w:w="0" w:type="dxa"/>
          <w:bottom w:w="0" w:type="dxa"/>
          <w:right w:w="0" w:type="dxa"/>
        </w:tblCellMar>
      </w:tblPr>
      <w:tblGrid>
        <w:gridCol w:w="4279"/>
        <w:gridCol w:w="69"/>
        <w:gridCol w:w="437"/>
        <w:gridCol w:w="319"/>
        <w:gridCol w:w="1764"/>
        <w:gridCol w:w="167"/>
        <w:gridCol w:w="4215"/>
        <w:gridCol w:w="289"/>
        <w:gridCol w:w="281"/>
        <w:gridCol w:w="469"/>
        <w:gridCol w:w="1781"/>
      </w:tblGrid>
      <w:tr>
        <w:tblPrEx>
          <w:tblCellMar>
            <w:top w:w="0" w:type="dxa"/>
            <w:left w:w="0" w:type="dxa"/>
            <w:bottom w:w="0" w:type="dxa"/>
            <w:right w:w="0" w:type="dxa"/>
          </w:tblCellMar>
        </w:tblPrEx>
        <w:trPr>
          <w:trHeight w:val="360" w:hRule="atLeast"/>
        </w:trPr>
        <w:tc>
          <w:tcPr>
            <w:tcW w:w="14070" w:type="dxa"/>
            <w:gridSpan w:val="11"/>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8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85" w:type="dxa"/>
            <w:gridSpan w:val="3"/>
            <w:tcBorders>
              <w:top w:val="nil"/>
              <w:left w:val="nil"/>
              <w:bottom w:val="nil"/>
              <w:right w:val="nil"/>
            </w:tcBorders>
            <w:noWrap/>
            <w:vAlign w:val="bottom"/>
          </w:tcPr>
          <w:p>
            <w:pPr>
              <w:rPr>
                <w:rFonts w:hint="eastAsia"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部门：中国人民政治协商会议河南省许昌市委员会</w:t>
            </w:r>
          </w:p>
        </w:tc>
        <w:tc>
          <w:tcPr>
            <w:tcW w:w="2250" w:type="dxa"/>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1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0"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5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3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5"/>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5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3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gridSpan w:val="2"/>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1582.66</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5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1582.66</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1795.62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5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212.96</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25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5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1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250" w:type="dxa"/>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437"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5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1795.62</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7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25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1795.62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440" w:right="1417" w:bottom="1440" w:left="141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33"/>
        <w:gridCol w:w="3416"/>
        <w:gridCol w:w="1699"/>
        <w:gridCol w:w="1568"/>
        <w:gridCol w:w="83"/>
        <w:gridCol w:w="1681"/>
        <w:gridCol w:w="1327"/>
        <w:gridCol w:w="356"/>
        <w:gridCol w:w="912"/>
        <w:gridCol w:w="1340"/>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2"/>
                <w:szCs w:val="32"/>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2672" w:type="pct"/>
            <w:gridSpan w:val="4"/>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172" w:type="pct"/>
            <w:gridSpan w:val="4"/>
            <w:vMerge w:val="restart"/>
            <w:tcBorders>
              <w:top w:val="nil"/>
              <w:left w:val="nil"/>
              <w:right w:val="nil"/>
            </w:tcBorders>
            <w:noWrap/>
            <w:vAlign w:val="bottom"/>
          </w:tcPr>
          <w:p>
            <w:pPr>
              <w:rPr>
                <w:rFonts w:hint="default" w:ascii="Arial" w:hAnsi="Arial" w:cs="Arial"/>
                <w:i w:val="0"/>
                <w:iCs w:val="0"/>
                <w:color w:val="000000"/>
                <w:sz w:val="20"/>
                <w:szCs w:val="20"/>
                <w:u w:val="none"/>
              </w:rPr>
            </w:pPr>
          </w:p>
        </w:tc>
        <w:tc>
          <w:tcPr>
            <w:tcW w:w="1154"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2672"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部门：中国人民政治协商会议河南省许昌市委员会</w:t>
            </w:r>
          </w:p>
        </w:tc>
        <w:tc>
          <w:tcPr>
            <w:tcW w:w="1172" w:type="pct"/>
            <w:gridSpan w:val="4"/>
            <w:vMerge w:val="continue"/>
            <w:tcBorders>
              <w:left w:val="nil"/>
              <w:bottom w:val="nil"/>
              <w:right w:val="nil"/>
            </w:tcBorders>
            <w:noWrap/>
            <w:vAlign w:val="bottom"/>
          </w:tcPr>
          <w:p>
            <w:pPr>
              <w:rPr>
                <w:rFonts w:hint="default" w:ascii="Arial" w:hAnsi="Arial" w:cs="Arial"/>
                <w:i w:val="0"/>
                <w:iCs w:val="0"/>
                <w:color w:val="000000"/>
                <w:sz w:val="20"/>
                <w:szCs w:val="20"/>
                <w:u w:val="none"/>
              </w:rPr>
            </w:pPr>
          </w:p>
        </w:tc>
        <w:tc>
          <w:tcPr>
            <w:tcW w:w="1154"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592"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561"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55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44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440"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44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39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924"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56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1"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5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4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40"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9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2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6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1"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5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4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40"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9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2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6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61"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5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4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40"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9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592"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6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1"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5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0"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592"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1,582.66</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1,582.66</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1,158.85</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1,158.85</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政协事务</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1,154.69</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1,154.69</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2010201</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961.59</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961.59</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2010202</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一般行政管理事务</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171.14</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171.14</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2010205</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委员视察</w:t>
            </w:r>
          </w:p>
        </w:tc>
        <w:tc>
          <w:tcPr>
            <w:tcW w:w="5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61"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2010250</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事业运行</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21.96</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21.96</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4.16</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4.16</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2012906</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工会事务</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4.16</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4.16</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20199</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5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61"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2019999</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5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61"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376.68</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376.68</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346.79</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346.79</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2080501</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行政单位离退休</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295.27</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295.27</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51.52</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51.52</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22.69</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22.69</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死亡抚恤</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22.69</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22.69</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20820</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临时救助</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7.20</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7.20</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2082001</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临时救助支出</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7.20</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7.20</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47.14</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47.14</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47.14</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47.14</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20.95</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20.95</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3.10</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3.10</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92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公务员医疗补助</w:t>
            </w:r>
          </w:p>
        </w:tc>
        <w:tc>
          <w:tcPr>
            <w:tcW w:w="56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23.09</w:t>
            </w:r>
          </w:p>
        </w:tc>
        <w:tc>
          <w:tcPr>
            <w:tcW w:w="5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23.09</w:t>
            </w:r>
          </w:p>
        </w:tc>
        <w:tc>
          <w:tcPr>
            <w:tcW w:w="5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0"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注：本表反映部门本年度取得的各项收入情况。本表金额转换为万元时，因四舍五入可能存在尾差。</w:t>
            </w:r>
          </w:p>
        </w:tc>
      </w:tr>
    </w:tbl>
    <w:p>
      <w:pPr>
        <w:pStyle w:val="3"/>
        <w:ind w:left="0" w:leftChars="0" w:firstLine="0" w:firstLineChars="0"/>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139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
        <w:gridCol w:w="324"/>
        <w:gridCol w:w="402"/>
        <w:gridCol w:w="3546"/>
        <w:gridCol w:w="1725"/>
        <w:gridCol w:w="1635"/>
        <w:gridCol w:w="1545"/>
        <w:gridCol w:w="1485"/>
        <w:gridCol w:w="1290"/>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2"/>
                <w:szCs w:val="32"/>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4"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54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9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9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4596"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部门：中国人民政治协商会议河南省许昌市委员会</w:t>
            </w:r>
          </w:p>
        </w:tc>
        <w:tc>
          <w:tcPr>
            <w:tcW w:w="17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9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9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9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7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6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4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6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54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54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54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7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9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7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9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1,795.62</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1,521.50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274.12</w:t>
            </w: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1,351.68</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1,077.56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274.12</w:t>
            </w: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政协事务</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1,337.52</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1,063.40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274.12</w:t>
            </w: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2010201</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1,041.44</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1,041.44</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2010202</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265.85</w:t>
            </w: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265.85</w:t>
            </w: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2010205</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委员视察</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8.27</w:t>
            </w: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8.27</w:t>
            </w: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2010250</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21.96</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21.96</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4.16</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4.16</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2012906</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工会事务</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4.16</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4.16</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20199</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10.00</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10.00</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2019999</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10.00</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10.00</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390.28</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390.28</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360.39</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360.39</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2080501</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行政单位离退休</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308.67</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308.67</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51.71</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51.71</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22.69</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22.69</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死亡抚恤</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22.69</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22.69</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20820</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临时救助</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7.20</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7.20</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2082001</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临时救助支出</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7.20</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7.20</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53.67</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53.67</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53.67</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53.67</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22.95</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22.95</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4.72</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4.72</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35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公务员医疗补助</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26.00</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26.00</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1"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注：本表反映部门本年度各项支出情况。本表金额转换为万元时，因四舍五入可能存在尾差。</w:t>
            </w:r>
          </w:p>
        </w:tc>
      </w:tr>
    </w:tbl>
    <w:p>
      <w:pPr>
        <w:rPr>
          <w:rFonts w:hint="eastAsia" w:ascii="宋体" w:hAnsi="宋体" w:eastAsia="宋体" w:cs="宋体"/>
          <w:sz w:val="20"/>
          <w:szCs w:val="20"/>
          <w:highlight w:val="none"/>
        </w:rPr>
      </w:pPr>
    </w:p>
    <w:p>
      <w:pPr>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tbl>
      <w:tblPr>
        <w:tblStyle w:val="7"/>
        <w:tblW w:w="139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60"/>
        <w:gridCol w:w="600"/>
        <w:gridCol w:w="1185"/>
        <w:gridCol w:w="3329"/>
        <w:gridCol w:w="915"/>
        <w:gridCol w:w="1140"/>
        <w:gridCol w:w="1635"/>
        <w:gridCol w:w="117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994"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60" w:type="dxa"/>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0"/>
                <w:szCs w:val="20"/>
                <w:u w:val="none"/>
              </w:rPr>
            </w:pPr>
          </w:p>
        </w:tc>
        <w:tc>
          <w:tcPr>
            <w:tcW w:w="600" w:type="dxa"/>
            <w:tcBorders>
              <w:top w:val="nil"/>
              <w:left w:val="nil"/>
              <w:bottom w:val="nil"/>
              <w:right w:val="nil"/>
            </w:tcBorders>
            <w:shd w:val="clear" w:color="auto" w:fill="auto"/>
            <w:noWrap/>
            <w:vAlign w:val="bottom"/>
          </w:tcPr>
          <w:p>
            <w:pPr>
              <w:jc w:val="both"/>
              <w:rPr>
                <w:rFonts w:hint="eastAsia" w:ascii="Arial" w:hAnsi="Arial" w:eastAsia="宋体" w:cs="Arial"/>
                <w:i w:val="0"/>
                <w:iCs w:val="0"/>
                <w:color w:val="000000"/>
                <w:sz w:val="20"/>
                <w:szCs w:val="20"/>
                <w:u w:val="none"/>
              </w:rPr>
            </w:pPr>
          </w:p>
        </w:tc>
        <w:tc>
          <w:tcPr>
            <w:tcW w:w="1185" w:type="dxa"/>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3329" w:type="dxa"/>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915" w:type="dxa"/>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1140" w:type="dxa"/>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3765"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4845" w:type="dxa"/>
            <w:gridSpan w:val="3"/>
            <w:tcBorders>
              <w:top w:val="nil"/>
              <w:left w:val="nil"/>
              <w:bottom w:val="nil"/>
              <w:right w:val="nil"/>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部门：中国人民政治协商会议河南省许昌市委员会</w:t>
            </w:r>
          </w:p>
        </w:tc>
        <w:tc>
          <w:tcPr>
            <w:tcW w:w="3329" w:type="dxa"/>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0"/>
                <w:szCs w:val="20"/>
                <w:u w:val="none"/>
              </w:rPr>
            </w:pPr>
          </w:p>
        </w:tc>
        <w:tc>
          <w:tcPr>
            <w:tcW w:w="915" w:type="dxa"/>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0"/>
                <w:szCs w:val="20"/>
                <w:u w:val="none"/>
              </w:rPr>
            </w:pPr>
          </w:p>
        </w:tc>
        <w:tc>
          <w:tcPr>
            <w:tcW w:w="1140" w:type="dxa"/>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0"/>
                <w:szCs w:val="20"/>
                <w:u w:val="none"/>
              </w:rPr>
            </w:pPr>
          </w:p>
        </w:tc>
        <w:tc>
          <w:tcPr>
            <w:tcW w:w="3765"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45"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收 </w:t>
            </w:r>
            <w:r>
              <w:rPr>
                <w:rStyle w:val="20"/>
                <w:lang w:val="en-US" w:eastAsia="zh-CN" w:bidi="ar"/>
              </w:rPr>
              <w:t xml:space="preserve">    入</w:t>
            </w:r>
          </w:p>
        </w:tc>
        <w:tc>
          <w:tcPr>
            <w:tcW w:w="9149" w:type="dxa"/>
            <w:gridSpan w:val="6"/>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支 </w:t>
            </w:r>
            <w:r>
              <w:rPr>
                <w:rStyle w:val="20"/>
                <w:lang w:val="en-US" w:eastAsia="zh-CN" w:bidi="ar"/>
              </w:rPr>
              <w:t xml:space="preserve">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6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0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18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329"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91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14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635" w:type="dxa"/>
            <w:vMerge w:val="restart"/>
            <w:tcBorders>
              <w:top w:val="nil"/>
              <w:left w:val="nil"/>
              <w:bottom w:val="single" w:color="000000" w:sz="8" w:space="0"/>
              <w:right w:val="single" w:color="000000" w:sz="8" w:space="0"/>
            </w:tcBorders>
            <w:shd w:val="clear" w:color="auto" w:fill="auto"/>
            <w:vAlign w:val="center"/>
          </w:tcPr>
          <w:p>
            <w:pPr>
              <w:rPr>
                <w:rFonts w:hint="eastAsia"/>
              </w:rPr>
            </w:pPr>
            <w:r>
              <w:rPr>
                <w:rFonts w:hint="eastAsia"/>
                <w:sz w:val="18"/>
                <w:szCs w:val="20"/>
                <w:lang w:val="en-US" w:eastAsia="zh-CN"/>
              </w:rPr>
              <w:t>一般公共预算财政拨款</w:t>
            </w:r>
          </w:p>
        </w:tc>
        <w:tc>
          <w:tcPr>
            <w:tcW w:w="117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96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3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60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915"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1,582.66</w:t>
            </w: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1,351.68</w:t>
            </w:r>
          </w:p>
        </w:tc>
        <w:tc>
          <w:tcPr>
            <w:tcW w:w="16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1,351.68</w:t>
            </w: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390.28</w:t>
            </w:r>
          </w:p>
        </w:tc>
        <w:tc>
          <w:tcPr>
            <w:tcW w:w="16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390.28</w:t>
            </w: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53.67</w:t>
            </w:r>
          </w:p>
        </w:tc>
        <w:tc>
          <w:tcPr>
            <w:tcW w:w="16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53.67</w:t>
            </w: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1,582.66</w:t>
            </w: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1,795.62</w:t>
            </w:r>
          </w:p>
        </w:tc>
        <w:tc>
          <w:tcPr>
            <w:tcW w:w="16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1,795.62</w:t>
            </w: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212.96</w:t>
            </w: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0"/>
                <w:lang w:val="en-US" w:eastAsia="zh-CN" w:bidi="ar"/>
              </w:rPr>
              <w:t>一般公共预算财政拨款</w:t>
            </w: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212.96</w:t>
            </w:r>
          </w:p>
        </w:tc>
        <w:tc>
          <w:tcPr>
            <w:tcW w:w="3329" w:type="dxa"/>
            <w:tcBorders>
              <w:top w:val="nil"/>
              <w:left w:val="nil"/>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0"/>
                <w:lang w:val="en-US" w:eastAsia="zh-CN" w:bidi="ar"/>
              </w:rPr>
              <w:t>政府性基金预算财政拨款</w:t>
            </w: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0"/>
                <w:lang w:val="en-US" w:eastAsia="zh-CN" w:bidi="ar"/>
              </w:rPr>
              <w:t>国有资本经营预算财政拨款</w:t>
            </w: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8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3329" w:type="dxa"/>
            <w:tcBorders>
              <w:top w:val="nil"/>
              <w:left w:val="nil"/>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4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635"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60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1,795.62</w:t>
            </w:r>
          </w:p>
        </w:tc>
        <w:tc>
          <w:tcPr>
            <w:tcW w:w="332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9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4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1,795.62</w:t>
            </w:r>
          </w:p>
        </w:tc>
        <w:tc>
          <w:tcPr>
            <w:tcW w:w="16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1,795.62</w:t>
            </w:r>
          </w:p>
        </w:tc>
        <w:tc>
          <w:tcPr>
            <w:tcW w:w="117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96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94"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pStyle w:val="3"/>
        <w:rPr>
          <w:rFonts w:hint="eastAsia" w:ascii="仿宋_GB2312" w:hAnsi="仿宋_GB2312" w:eastAsia="仿宋_GB2312" w:cs="仿宋_GB2312"/>
          <w:sz w:val="32"/>
          <w:szCs w:val="32"/>
          <w:highlight w:val="none"/>
        </w:rPr>
      </w:pPr>
    </w:p>
    <w:p>
      <w:pPr>
        <w:pStyle w:val="3"/>
        <w:rPr>
          <w:rFonts w:hint="eastAsia" w:ascii="仿宋_GB2312" w:hAnsi="仿宋_GB2312" w:eastAsia="仿宋_GB2312" w:cs="仿宋_GB2312"/>
          <w:sz w:val="32"/>
          <w:szCs w:val="32"/>
          <w:highlight w:val="none"/>
        </w:rPr>
      </w:pPr>
    </w:p>
    <w:p>
      <w:pPr>
        <w:pStyle w:val="3"/>
        <w:rPr>
          <w:rFonts w:hint="eastAsia" w:ascii="仿宋_GB2312" w:hAnsi="仿宋_GB2312" w:eastAsia="仿宋_GB2312" w:cs="仿宋_GB2312"/>
          <w:sz w:val="32"/>
          <w:szCs w:val="32"/>
          <w:highlight w:val="none"/>
        </w:rPr>
      </w:pPr>
    </w:p>
    <w:tbl>
      <w:tblPr>
        <w:tblStyle w:val="7"/>
        <w:tblW w:w="49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0"/>
        <w:gridCol w:w="374"/>
        <w:gridCol w:w="385"/>
        <w:gridCol w:w="5858"/>
        <w:gridCol w:w="2256"/>
        <w:gridCol w:w="2531"/>
        <w:gridCol w:w="2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2" w:type="pct"/>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0"/>
                <w:szCs w:val="20"/>
                <w:u w:val="none"/>
              </w:rPr>
            </w:pPr>
          </w:p>
        </w:tc>
        <w:tc>
          <w:tcPr>
            <w:tcW w:w="133" w:type="pct"/>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0"/>
                <w:szCs w:val="20"/>
                <w:u w:val="none"/>
              </w:rPr>
            </w:pPr>
          </w:p>
        </w:tc>
        <w:tc>
          <w:tcPr>
            <w:tcW w:w="137" w:type="pct"/>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0"/>
                <w:szCs w:val="20"/>
                <w:u w:val="none"/>
              </w:rPr>
            </w:pPr>
          </w:p>
        </w:tc>
        <w:tc>
          <w:tcPr>
            <w:tcW w:w="2084" w:type="pct"/>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0"/>
                <w:szCs w:val="20"/>
                <w:u w:val="none"/>
              </w:rPr>
            </w:pPr>
          </w:p>
        </w:tc>
        <w:tc>
          <w:tcPr>
            <w:tcW w:w="1704" w:type="pct"/>
            <w:gridSpan w:val="2"/>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0"/>
                <w:szCs w:val="20"/>
                <w:u w:val="none"/>
              </w:rPr>
            </w:pPr>
          </w:p>
        </w:tc>
        <w:tc>
          <w:tcPr>
            <w:tcW w:w="808" w:type="pct"/>
            <w:tcBorders>
              <w:top w:val="nil"/>
              <w:left w:val="nil"/>
              <w:bottom w:val="nil"/>
              <w:right w:val="nil"/>
            </w:tcBorders>
            <w:shd w:val="clear" w:color="auto" w:fill="auto"/>
            <w:noWrap/>
            <w:vAlign w:val="bottom"/>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2487" w:type="pct"/>
            <w:gridSpan w:val="4"/>
            <w:tcBorders>
              <w:top w:val="nil"/>
              <w:left w:val="nil"/>
              <w:bottom w:val="nil"/>
              <w:right w:val="nil"/>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部门：中国人民政治协商会议河南省许昌市委员会</w:t>
            </w:r>
          </w:p>
        </w:tc>
        <w:tc>
          <w:tcPr>
            <w:tcW w:w="803" w:type="pct"/>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0"/>
                <w:szCs w:val="20"/>
                <w:u w:val="none"/>
              </w:rPr>
            </w:pPr>
          </w:p>
        </w:tc>
        <w:tc>
          <w:tcPr>
            <w:tcW w:w="900" w:type="pct"/>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0"/>
                <w:szCs w:val="20"/>
                <w:u w:val="none"/>
              </w:rPr>
            </w:pPr>
          </w:p>
        </w:tc>
        <w:tc>
          <w:tcPr>
            <w:tcW w:w="80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7" w:type="pct"/>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2512" w:type="pct"/>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084" w:type="pct"/>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03"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00"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808"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402" w:type="pct"/>
            <w:gridSpan w:val="3"/>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4" w:type="pct"/>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03"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2" w:type="pct"/>
            <w:gridSpan w:val="3"/>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4" w:type="pct"/>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03"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7" w:type="pct"/>
            <w:gridSpan w:val="4"/>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7" w:type="pct"/>
            <w:gridSpan w:val="4"/>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1,795.62</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1,521.50</w:t>
            </w:r>
          </w:p>
        </w:tc>
        <w:tc>
          <w:tcPr>
            <w:tcW w:w="80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1,351.68</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1,077.56</w:t>
            </w:r>
          </w:p>
        </w:tc>
        <w:tc>
          <w:tcPr>
            <w:tcW w:w="80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政协事务</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1,337.52</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1,063.40</w:t>
            </w:r>
          </w:p>
        </w:tc>
        <w:tc>
          <w:tcPr>
            <w:tcW w:w="80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2010201</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1,041.44</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1,041.44</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2010202</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一般行政管理事务</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265.85</w:t>
            </w:r>
          </w:p>
        </w:tc>
        <w:tc>
          <w:tcPr>
            <w:tcW w:w="900"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0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2010205</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委员视察</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900"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0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2010250</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事业运行</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2012906</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工会事务</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20199</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2019999</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390.28</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390.28</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360.39</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360.39</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2080501</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行政单位离退休</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308.67</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308.67</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51.71</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51.71</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死亡抚恤</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20820</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临时救助</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2082001</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临时救助支出</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53.67</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53.67</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53.67</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53.67</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22.95</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22.95</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208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公务员医疗补助</w:t>
            </w:r>
          </w:p>
        </w:tc>
        <w:tc>
          <w:tcPr>
            <w:tcW w:w="8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0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0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注：本表反映部门本年度一般公共预算财政拨款支出情况。本套报表金额单位转换时可能存在尾数误差。</w:t>
            </w:r>
          </w:p>
        </w:tc>
      </w:tr>
    </w:tbl>
    <w:p>
      <w:pPr>
        <w:pStyle w:val="3"/>
        <w:rPr>
          <w:rFonts w:hint="eastAsia" w:ascii="仿宋_GB2312" w:hAnsi="仿宋_GB2312" w:eastAsia="仿宋_GB2312" w:cs="仿宋_GB2312"/>
          <w:sz w:val="32"/>
          <w:szCs w:val="32"/>
          <w:highlight w:val="none"/>
        </w:rPr>
      </w:pPr>
    </w:p>
    <w:p>
      <w:pPr>
        <w:pStyle w:val="3"/>
        <w:rPr>
          <w:rFonts w:hint="eastAsia" w:ascii="仿宋_GB2312" w:hAnsi="仿宋_GB2312" w:eastAsia="仿宋_GB2312" w:cs="仿宋_GB2312"/>
          <w:sz w:val="32"/>
          <w:szCs w:val="32"/>
          <w:highlight w:val="none"/>
        </w:rPr>
      </w:pPr>
    </w:p>
    <w:p>
      <w:pPr>
        <w:pStyle w:val="3"/>
        <w:rPr>
          <w:rFonts w:hint="eastAsia" w:ascii="仿宋_GB2312" w:hAnsi="仿宋_GB2312" w:eastAsia="仿宋_GB2312" w:cs="仿宋_GB2312"/>
          <w:sz w:val="32"/>
          <w:szCs w:val="32"/>
          <w:highlight w:val="none"/>
        </w:rPr>
      </w:pPr>
    </w:p>
    <w:p>
      <w:pPr>
        <w:pStyle w:val="3"/>
        <w:rPr>
          <w:rFonts w:hint="eastAsia" w:ascii="仿宋_GB2312" w:hAnsi="仿宋_GB2312" w:eastAsia="仿宋_GB2312" w:cs="仿宋_GB2312"/>
          <w:sz w:val="32"/>
          <w:szCs w:val="32"/>
          <w:highlight w:val="none"/>
        </w:rPr>
      </w:pPr>
    </w:p>
    <w:p>
      <w:pPr>
        <w:pStyle w:val="3"/>
        <w:rPr>
          <w:rFonts w:hint="eastAsia" w:ascii="仿宋_GB2312" w:hAnsi="仿宋_GB2312" w:eastAsia="仿宋_GB2312" w:cs="仿宋_GB2312"/>
          <w:sz w:val="32"/>
          <w:szCs w:val="32"/>
          <w:highlight w:val="none"/>
        </w:rPr>
      </w:pPr>
    </w:p>
    <w:p>
      <w:pPr>
        <w:pStyle w:val="3"/>
        <w:rPr>
          <w:rFonts w:hint="eastAsia" w:ascii="仿宋_GB2312" w:hAnsi="仿宋_GB2312" w:eastAsia="仿宋_GB2312" w:cs="仿宋_GB2312"/>
          <w:sz w:val="32"/>
          <w:szCs w:val="32"/>
          <w:highlight w:val="none"/>
        </w:rPr>
      </w:pPr>
    </w:p>
    <w:p>
      <w:pPr>
        <w:pStyle w:val="3"/>
        <w:rPr>
          <w:rFonts w:hint="eastAsia" w:ascii="仿宋_GB2312" w:hAnsi="仿宋_GB2312" w:eastAsia="仿宋_GB2312" w:cs="仿宋_GB2312"/>
          <w:sz w:val="32"/>
          <w:szCs w:val="32"/>
          <w:highlight w:val="none"/>
        </w:rPr>
      </w:pPr>
    </w:p>
    <w:p>
      <w:pPr>
        <w:pStyle w:val="3"/>
        <w:rPr>
          <w:rFonts w:hint="eastAsia" w:ascii="仿宋_GB2312" w:hAnsi="仿宋_GB2312" w:eastAsia="仿宋_GB2312" w:cs="仿宋_GB2312"/>
          <w:sz w:val="32"/>
          <w:szCs w:val="32"/>
          <w:highlight w:val="none"/>
        </w:rPr>
      </w:pPr>
    </w:p>
    <w:p>
      <w:pPr>
        <w:rPr>
          <w:rFonts w:hint="eastAsia" w:ascii="宋体" w:hAnsi="宋体" w:eastAsia="宋体" w:cs="宋体"/>
          <w:sz w:val="20"/>
          <w:szCs w:val="20"/>
          <w:highlight w:val="none"/>
        </w:rPr>
      </w:pPr>
    </w:p>
    <w:p>
      <w:pPr>
        <w:rPr>
          <w:rFonts w:hint="eastAsia" w:ascii="仿宋_GB2312" w:hAnsi="仿宋_GB2312" w:eastAsia="仿宋_GB2312" w:cs="仿宋_GB2312"/>
          <w:sz w:val="32"/>
          <w:szCs w:val="32"/>
          <w:highlight w:val="none"/>
        </w:rPr>
        <w:sectPr>
          <w:pgSz w:w="16838" w:h="11906" w:orient="landscape"/>
          <w:pgMar w:top="1440" w:right="1417" w:bottom="1440" w:left="141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13956" w:type="dxa"/>
        <w:tblInd w:w="0" w:type="dxa"/>
        <w:tblLayout w:type="fixed"/>
        <w:tblCellMar>
          <w:top w:w="0" w:type="dxa"/>
          <w:left w:w="0" w:type="dxa"/>
          <w:bottom w:w="0" w:type="dxa"/>
          <w:right w:w="0" w:type="dxa"/>
        </w:tblCellMar>
      </w:tblPr>
      <w:tblGrid>
        <w:gridCol w:w="913"/>
        <w:gridCol w:w="2505"/>
        <w:gridCol w:w="1620"/>
        <w:gridCol w:w="975"/>
        <w:gridCol w:w="2070"/>
        <w:gridCol w:w="1410"/>
        <w:gridCol w:w="939"/>
        <w:gridCol w:w="2476"/>
        <w:gridCol w:w="1048"/>
      </w:tblGrid>
      <w:tr>
        <w:tblPrEx>
          <w:tblCellMar>
            <w:top w:w="0" w:type="dxa"/>
            <w:left w:w="0" w:type="dxa"/>
            <w:bottom w:w="0" w:type="dxa"/>
            <w:right w:w="0" w:type="dxa"/>
          </w:tblCellMar>
        </w:tblPrEx>
        <w:trPr>
          <w:trHeight w:val="295" w:hRule="atLeast"/>
        </w:trPr>
        <w:tc>
          <w:tcPr>
            <w:tcW w:w="13956"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ascii="华文中宋" w:hAnsi="华文中宋" w:eastAsia="华文中宋" w:cs="华文中宋"/>
                <w:color w:val="000000"/>
                <w:sz w:val="32"/>
                <w:szCs w:val="32"/>
                <w:highlight w:val="none"/>
              </w:rPr>
            </w:pPr>
            <w:r>
              <w:rPr>
                <w:rFonts w:hint="eastAsia" w:ascii="宋体" w:hAnsi="宋体" w:cs="宋体"/>
                <w:i w:val="0"/>
                <w:iCs w:val="0"/>
                <w:color w:val="000000"/>
                <w:kern w:val="0"/>
                <w:sz w:val="32"/>
                <w:szCs w:val="32"/>
                <w:u w:val="none"/>
                <w:lang w:val="en-US" w:eastAsia="zh-CN" w:bidi="ar"/>
              </w:rPr>
              <w:t>一</w:t>
            </w:r>
            <w:r>
              <w:rPr>
                <w:rFonts w:hint="eastAsia" w:ascii="宋体" w:hAnsi="宋体" w:eastAsia="宋体" w:cs="宋体"/>
                <w:i w:val="0"/>
                <w:iCs w:val="0"/>
                <w:color w:val="000000"/>
                <w:kern w:val="0"/>
                <w:sz w:val="32"/>
                <w:szCs w:val="32"/>
                <w:u w:val="none"/>
                <w:lang w:val="en-US" w:eastAsia="zh-CN" w:bidi="ar"/>
              </w:rPr>
              <w:t>般公共预算财政拨款基本支出决算</w:t>
            </w:r>
            <w:r>
              <w:rPr>
                <w:rFonts w:hint="eastAsia" w:ascii="宋体" w:hAnsi="宋体" w:cs="宋体"/>
                <w:i w:val="0"/>
                <w:iCs w:val="0"/>
                <w:color w:val="000000"/>
                <w:kern w:val="0"/>
                <w:sz w:val="32"/>
                <w:szCs w:val="32"/>
                <w:u w:val="none"/>
                <w:lang w:val="en-US" w:eastAsia="zh-CN" w:bidi="ar"/>
              </w:rPr>
              <w:t>明细</w:t>
            </w:r>
            <w:r>
              <w:rPr>
                <w:rFonts w:hint="eastAsia" w:ascii="宋体" w:hAnsi="宋体" w:eastAsia="宋体" w:cs="宋体"/>
                <w:i w:val="0"/>
                <w:iCs w:val="0"/>
                <w:color w:val="000000"/>
                <w:kern w:val="0"/>
                <w:sz w:val="32"/>
                <w:szCs w:val="32"/>
                <w:u w:val="none"/>
                <w:lang w:val="en-US" w:eastAsia="zh-CN" w:bidi="ar"/>
              </w:rPr>
              <w:t>表</w:t>
            </w:r>
          </w:p>
        </w:tc>
      </w:tr>
      <w:tr>
        <w:tblPrEx>
          <w:tblCellMar>
            <w:top w:w="0" w:type="dxa"/>
            <w:left w:w="0" w:type="dxa"/>
            <w:bottom w:w="0" w:type="dxa"/>
            <w:right w:w="0" w:type="dxa"/>
          </w:tblCellMar>
        </w:tblPrEx>
        <w:trPr>
          <w:trHeight w:val="295" w:hRule="atLeast"/>
        </w:trPr>
        <w:tc>
          <w:tcPr>
            <w:tcW w:w="12908" w:type="dxa"/>
            <w:gridSpan w:val="8"/>
            <w:tcBorders>
              <w:top w:val="nil"/>
              <w:left w:val="nil"/>
              <w:bottom w:val="nil"/>
              <w:right w:val="nil"/>
            </w:tcBorders>
            <w:shd w:val="clear" w:color="auto" w:fill="FFFFFF"/>
            <w:noWrap w:val="0"/>
            <w:tcMar>
              <w:top w:w="15" w:type="dxa"/>
              <w:left w:w="15" w:type="dxa"/>
              <w:right w:w="15" w:type="dxa"/>
            </w:tcMar>
            <w:vAlign w:val="bottom"/>
          </w:tcPr>
          <w:p>
            <w:pPr>
              <w:rPr>
                <w:rFonts w:hint="eastAsia" w:ascii="宋体" w:hAnsi="宋体" w:eastAsia="宋体" w:cs="宋体"/>
                <w:color w:val="000000"/>
                <w:sz w:val="20"/>
                <w:szCs w:val="20"/>
                <w:highlight w:val="none"/>
              </w:rPr>
            </w:pPr>
          </w:p>
        </w:tc>
        <w:tc>
          <w:tcPr>
            <w:tcW w:w="1048" w:type="dxa"/>
            <w:tcBorders>
              <w:top w:val="nil"/>
              <w:left w:val="nil"/>
              <w:bottom w:val="nil"/>
              <w:right w:val="nil"/>
            </w:tcBorders>
            <w:shd w:val="clear" w:color="auto"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公开06表</w:t>
            </w:r>
          </w:p>
        </w:tc>
      </w:tr>
      <w:tr>
        <w:tblPrEx>
          <w:tblCellMar>
            <w:top w:w="0" w:type="dxa"/>
            <w:left w:w="0" w:type="dxa"/>
            <w:bottom w:w="0" w:type="dxa"/>
            <w:right w:w="0" w:type="dxa"/>
          </w:tblCellMar>
        </w:tblPrEx>
        <w:trPr>
          <w:trHeight w:val="295" w:hRule="atLeast"/>
        </w:trPr>
        <w:tc>
          <w:tcPr>
            <w:tcW w:w="13956" w:type="dxa"/>
            <w:gridSpan w:val="9"/>
            <w:tcBorders>
              <w:top w:val="nil"/>
              <w:left w:val="nil"/>
              <w:bottom w:val="nil"/>
              <w:right w:val="nil"/>
            </w:tcBorders>
            <w:noWrap/>
            <w:tcMar>
              <w:top w:w="15" w:type="dxa"/>
              <w:left w:w="15" w:type="dxa"/>
              <w:right w:w="15" w:type="dxa"/>
            </w:tcMar>
            <w:vAlign w:val="bottom"/>
          </w:tcPr>
          <w:p>
            <w:pPr>
              <w:jc w:val="both"/>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部门：中国人民政治协商会议河南省许昌市委员会                                                                                 金额单位：万元</w:t>
            </w:r>
          </w:p>
        </w:tc>
      </w:tr>
      <w:tr>
        <w:tblPrEx>
          <w:tblCellMar>
            <w:top w:w="0" w:type="dxa"/>
            <w:left w:w="0" w:type="dxa"/>
            <w:bottom w:w="0" w:type="dxa"/>
            <w:right w:w="0" w:type="dxa"/>
          </w:tblCellMar>
        </w:tblPrEx>
        <w:trPr>
          <w:trHeight w:val="295" w:hRule="atLeast"/>
        </w:trPr>
        <w:tc>
          <w:tcPr>
            <w:tcW w:w="5038"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人员经费</w:t>
            </w:r>
          </w:p>
        </w:tc>
        <w:tc>
          <w:tcPr>
            <w:tcW w:w="8918" w:type="dxa"/>
            <w:gridSpan w:val="6"/>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科目编码</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科目名称</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决算数</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科目编码</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科目名称</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决算数</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科目编码</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科目名称</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301</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b/>
                <w:bCs/>
                <w:i w:val="0"/>
                <w:iCs w:val="0"/>
                <w:color w:val="000000"/>
                <w:kern w:val="0"/>
                <w:sz w:val="22"/>
                <w:szCs w:val="22"/>
                <w:u w:val="none"/>
                <w:lang w:val="en-US" w:eastAsia="zh-CN" w:bidi="ar"/>
              </w:rPr>
              <w:t>960.97</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211.11</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307</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30101</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基本工资</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i w:val="0"/>
                <w:iCs w:val="0"/>
                <w:color w:val="000000"/>
                <w:kern w:val="0"/>
                <w:sz w:val="22"/>
                <w:szCs w:val="22"/>
                <w:u w:val="none"/>
                <w:lang w:val="en-US" w:eastAsia="zh-CN" w:bidi="ar"/>
              </w:rPr>
              <w:t>370.64</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30201</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45.66</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30701</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30102</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津贴补贴</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i w:val="0"/>
                <w:iCs w:val="0"/>
                <w:color w:val="000000"/>
                <w:kern w:val="0"/>
                <w:sz w:val="22"/>
                <w:szCs w:val="22"/>
                <w:u w:val="none"/>
                <w:lang w:val="en-US" w:eastAsia="zh-CN" w:bidi="ar"/>
              </w:rPr>
              <w:t>108.38</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30202</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10.43</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30702</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30103</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奖金</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i w:val="0"/>
                <w:iCs w:val="0"/>
                <w:color w:val="000000"/>
                <w:kern w:val="0"/>
                <w:sz w:val="22"/>
                <w:szCs w:val="22"/>
                <w:u w:val="none"/>
                <w:lang w:val="en-US" w:eastAsia="zh-CN" w:bidi="ar"/>
              </w:rPr>
              <w:t>313.06</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30203</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资本性支出</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30106</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伙食补助费</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30204</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31001</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30107</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绩效工资</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30205</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31002</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30108</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i w:val="0"/>
                <w:iCs w:val="0"/>
                <w:color w:val="000000"/>
                <w:kern w:val="0"/>
                <w:sz w:val="22"/>
                <w:szCs w:val="22"/>
                <w:u w:val="none"/>
                <w:lang w:val="en-US" w:eastAsia="zh-CN" w:bidi="ar"/>
              </w:rPr>
              <w:t>55.3</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30206</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31003</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30109</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职业年金缴费</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30207</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8.33</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31005</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30110</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i w:val="0"/>
                <w:iCs w:val="0"/>
                <w:color w:val="000000"/>
                <w:kern w:val="0"/>
                <w:sz w:val="22"/>
                <w:szCs w:val="22"/>
                <w:u w:val="none"/>
                <w:lang w:val="en-US" w:eastAsia="zh-CN" w:bidi="ar"/>
              </w:rPr>
              <w:t>27.94</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30208</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31006</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30111</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i w:val="0"/>
                <w:iCs w:val="0"/>
                <w:color w:val="000000"/>
                <w:kern w:val="0"/>
                <w:sz w:val="22"/>
                <w:szCs w:val="22"/>
                <w:u w:val="none"/>
                <w:lang w:val="en-US" w:eastAsia="zh-CN" w:bidi="ar"/>
              </w:rPr>
              <w:t>26</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30209</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31007</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30112</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i w:val="0"/>
                <w:iCs w:val="0"/>
                <w:color w:val="000000"/>
                <w:kern w:val="0"/>
                <w:sz w:val="22"/>
                <w:szCs w:val="22"/>
                <w:u w:val="none"/>
                <w:lang w:val="en-US" w:eastAsia="zh-CN" w:bidi="ar"/>
              </w:rPr>
              <w:t>2.34</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30211</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16.20</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31008</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30113</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住房公积金</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i w:val="0"/>
                <w:iCs w:val="0"/>
                <w:color w:val="000000"/>
                <w:kern w:val="0"/>
                <w:sz w:val="22"/>
                <w:szCs w:val="22"/>
                <w:u w:val="none"/>
                <w:lang w:val="en-US" w:eastAsia="zh-CN" w:bidi="ar"/>
              </w:rPr>
              <w:t>51.09</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30212</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31009</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30114</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医疗费</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30213</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5.00</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31010</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30199</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其他工资福利支出</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i w:val="0"/>
                <w:iCs w:val="0"/>
                <w:color w:val="000000"/>
                <w:kern w:val="0"/>
                <w:sz w:val="22"/>
                <w:szCs w:val="22"/>
                <w:u w:val="none"/>
                <w:lang w:val="en-US" w:eastAsia="zh-CN" w:bidi="ar"/>
              </w:rPr>
              <w:t>6.21</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30214</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1.80</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31011</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303</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sz w:val="20"/>
                <w:szCs w:val="20"/>
                <w:lang w:val="en-US"/>
              </w:rPr>
              <w:t>347.42</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30215</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31012</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30301</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离休费</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i w:val="0"/>
                <w:iCs w:val="0"/>
                <w:color w:val="000000"/>
                <w:kern w:val="0"/>
                <w:sz w:val="22"/>
                <w:szCs w:val="22"/>
                <w:u w:val="none"/>
                <w:lang w:val="en-US" w:eastAsia="zh-CN" w:bidi="ar"/>
              </w:rPr>
              <w:t>64.4</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30216</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31013</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30302</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退休费</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i w:val="0"/>
                <w:iCs w:val="0"/>
                <w:color w:val="000000"/>
                <w:kern w:val="0"/>
                <w:sz w:val="22"/>
                <w:szCs w:val="22"/>
                <w:u w:val="none"/>
                <w:lang w:val="en-US" w:eastAsia="zh-CN" w:bidi="ar"/>
              </w:rPr>
              <w:t>244.27</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30217</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0.17</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31019</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687"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30303</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退职（役）费</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30218</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31021</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30304</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抚恤金</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i w:val="0"/>
                <w:iCs w:val="0"/>
                <w:color w:val="000000"/>
                <w:kern w:val="0"/>
                <w:sz w:val="22"/>
                <w:szCs w:val="22"/>
                <w:u w:val="none"/>
                <w:lang w:val="en-US" w:eastAsia="zh-CN" w:bidi="ar"/>
              </w:rPr>
              <w:t>22.69</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30224</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31022</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30305</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生活补助</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sz w:val="20"/>
                <w:szCs w:val="20"/>
                <w:lang w:val="en-US"/>
              </w:rPr>
            </w:pPr>
            <w:r>
              <w:rPr>
                <w:rFonts w:hint="default" w:ascii="宋体" w:hAnsi="宋体" w:cs="宋体"/>
                <w:i w:val="0"/>
                <w:iCs w:val="0"/>
                <w:color w:val="000000"/>
                <w:kern w:val="0"/>
                <w:sz w:val="22"/>
                <w:szCs w:val="22"/>
                <w:u w:val="none"/>
                <w:lang w:val="en-US" w:eastAsia="zh-CN" w:bidi="ar"/>
              </w:rPr>
              <w:t>12.33</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30225</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31099</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30306</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救济费</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30226</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25.47</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399</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其他支出</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30307</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医疗费补助</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30227</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5.53</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39906</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30308</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助学金</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30228</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4.16</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39907</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30309</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奖励金</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30229</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12.45</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39908</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30310</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个人农业生产补贴</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30231</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20.18</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39999</w:t>
            </w: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30311</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代缴社会保险费</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30239</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45.76</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sz w:val="20"/>
                <w:szCs w:val="20"/>
              </w:rPr>
            </w:pP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color w:val="000000"/>
                <w:sz w:val="20"/>
                <w:szCs w:val="20"/>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30399</w:t>
            </w: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3.73</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30240</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sz w:val="20"/>
                <w:szCs w:val="20"/>
              </w:rPr>
            </w:pP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color w:val="000000"/>
                <w:sz w:val="20"/>
                <w:szCs w:val="20"/>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913"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color w:val="000000"/>
                <w:sz w:val="20"/>
                <w:szCs w:val="20"/>
                <w:highlight w:val="none"/>
              </w:rPr>
            </w:pP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color w:val="000000"/>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sz w:val="20"/>
                <w:szCs w:val="20"/>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30299</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8.92</w:t>
            </w:r>
          </w:p>
        </w:tc>
        <w:tc>
          <w:tcPr>
            <w:tcW w:w="9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sz w:val="20"/>
                <w:szCs w:val="20"/>
              </w:rPr>
            </w:pPr>
          </w:p>
        </w:tc>
        <w:tc>
          <w:tcPr>
            <w:tcW w:w="2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color w:val="000000"/>
                <w:sz w:val="20"/>
                <w:szCs w:val="20"/>
                <w:highlight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295" w:hRule="atLeast"/>
        </w:trPr>
        <w:tc>
          <w:tcPr>
            <w:tcW w:w="3418"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1,308.39</w:t>
            </w:r>
          </w:p>
        </w:tc>
        <w:tc>
          <w:tcPr>
            <w:tcW w:w="78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213.11</w:t>
            </w:r>
          </w:p>
        </w:tc>
      </w:tr>
    </w:tbl>
    <w:p>
      <w:pPr>
        <w:rPr>
          <w:rFonts w:hint="eastAsia" w:ascii="宋体" w:hAnsi="宋体" w:eastAsia="宋体" w:cs="宋体"/>
          <w:sz w:val="20"/>
          <w:szCs w:val="20"/>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注：本表反映部门本年度一般公共预算财政拨款基本支出明细情况。本表金额转换为万元时，因四舍五入可能存在尾差。</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8"/>
        <w:gridCol w:w="1366"/>
        <w:gridCol w:w="943"/>
        <w:gridCol w:w="767"/>
        <w:gridCol w:w="772"/>
        <w:gridCol w:w="658"/>
        <w:gridCol w:w="1464"/>
        <w:gridCol w:w="2029"/>
        <w:gridCol w:w="1126"/>
        <w:gridCol w:w="1125"/>
        <w:gridCol w:w="1231"/>
        <w:gridCol w:w="1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2"/>
            <w:tcBorders>
              <w:top w:val="nil"/>
              <w:left w:val="nil"/>
              <w:bottom w:val="nil"/>
              <w:right w:val="nil"/>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4" w:type="pct"/>
            <w:gridSpan w:val="11"/>
            <w:tcBorders>
              <w:top w:val="nil"/>
              <w:left w:val="nil"/>
              <w:bottom w:val="nil"/>
              <w:right w:val="nil"/>
            </w:tcBorders>
            <w:shd w:val="clear" w:color="auto" w:fill="FFFFFF"/>
            <w:vAlign w:val="bottom"/>
          </w:tcPr>
          <w:p>
            <w:pPr>
              <w:jc w:val="both"/>
              <w:rPr>
                <w:rFonts w:hint="default" w:ascii="Times New Roman" w:hAnsi="Times New Roman" w:eastAsia="宋体" w:cs="Times New Roman"/>
                <w:i w:val="0"/>
                <w:iCs w:val="0"/>
                <w:color w:val="000000"/>
                <w:sz w:val="21"/>
                <w:szCs w:val="21"/>
                <w:u w:val="none"/>
              </w:rPr>
            </w:pPr>
          </w:p>
        </w:tc>
        <w:tc>
          <w:tcPr>
            <w:tcW w:w="415" w:type="pct"/>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2"/>
            <w:tcBorders>
              <w:top w:val="nil"/>
              <w:left w:val="nil"/>
              <w:bottom w:val="nil"/>
              <w:right w:val="nil"/>
            </w:tcBorders>
            <w:shd w:val="clear" w:color="auto" w:fill="FFFFFF"/>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部门：中国人民政治协商会议河南省许昌市委员会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091" w:type="pct"/>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908" w:type="pct"/>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81"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88"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886" w:type="pct"/>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235"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523"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5"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4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41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8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27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235"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3"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5"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0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3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415"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2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0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8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488" w:type="pct"/>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74" w:type="pct"/>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7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2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w:t>
            </w:r>
          </w:p>
        </w:tc>
        <w:tc>
          <w:tcPr>
            <w:tcW w:w="725" w:type="pct"/>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w:t>
            </w:r>
          </w:p>
        </w:tc>
        <w:tc>
          <w:tcPr>
            <w:tcW w:w="401" w:type="pct"/>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43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w:t>
            </w:r>
          </w:p>
        </w:tc>
        <w:tc>
          <w:tcPr>
            <w:tcW w:w="41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left"/>
        <w:textAlignment w:val="center"/>
        <w:rPr>
          <w:rFonts w:hint="eastAsia" w:ascii="宋体" w:hAnsi="宋体" w:cs="宋体"/>
          <w:color w:val="000000"/>
          <w:sz w:val="24"/>
          <w:szCs w:val="24"/>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2"/>
        <w:gridCol w:w="282"/>
        <w:gridCol w:w="854"/>
        <w:gridCol w:w="1118"/>
        <w:gridCol w:w="2078"/>
        <w:gridCol w:w="1475"/>
        <w:gridCol w:w="1475"/>
        <w:gridCol w:w="2119"/>
        <w:gridCol w:w="1478"/>
        <w:gridCol w:w="2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 w:type="pct"/>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0"/>
                <w:szCs w:val="20"/>
                <w:u w:val="none"/>
              </w:rPr>
            </w:pPr>
          </w:p>
        </w:tc>
        <w:tc>
          <w:tcPr>
            <w:tcW w:w="100" w:type="pct"/>
            <w:tcBorders>
              <w:top w:val="nil"/>
              <w:left w:val="nil"/>
              <w:bottom w:val="nil"/>
              <w:right w:val="nil"/>
            </w:tcBorders>
            <w:shd w:val="clear" w:color="auto" w:fill="auto"/>
            <w:noWrap/>
            <w:vAlign w:val="bottom"/>
          </w:tcPr>
          <w:p>
            <w:pPr>
              <w:jc w:val="both"/>
              <w:rPr>
                <w:rFonts w:hint="eastAsia" w:ascii="Arial" w:hAnsi="Arial" w:eastAsia="宋体" w:cs="Arial"/>
                <w:i w:val="0"/>
                <w:iCs w:val="0"/>
                <w:color w:val="000000"/>
                <w:sz w:val="20"/>
                <w:szCs w:val="20"/>
                <w:u w:val="none"/>
              </w:rPr>
            </w:pPr>
          </w:p>
        </w:tc>
        <w:tc>
          <w:tcPr>
            <w:tcW w:w="305"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399"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742"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527"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527"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757"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528"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1011"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648" w:type="pct"/>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部门：中国人民政治协商会议河南省许昌市委员会</w:t>
            </w:r>
          </w:p>
        </w:tc>
        <w:tc>
          <w:tcPr>
            <w:tcW w:w="527"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527" w:type="pct"/>
            <w:tcBorders>
              <w:top w:val="nil"/>
              <w:left w:val="nil"/>
              <w:bottom w:val="single" w:color="000000" w:sz="8" w:space="0"/>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757" w:type="pct"/>
            <w:tcBorders>
              <w:top w:val="nil"/>
              <w:left w:val="nil"/>
              <w:bottom w:val="single" w:color="000000" w:sz="8" w:space="0"/>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528" w:type="pct"/>
            <w:tcBorders>
              <w:top w:val="nil"/>
              <w:left w:val="nil"/>
              <w:bottom w:val="single" w:color="000000" w:sz="8" w:space="0"/>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1011"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 w:type="pct"/>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42"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27"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81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011"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6" w:type="pct"/>
            <w:gridSpan w:val="3"/>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9" w:type="pct"/>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4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5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2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11"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6" w:type="pct"/>
            <w:gridSpan w:val="3"/>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9" w:type="pct"/>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7"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8"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1"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6" w:type="pct"/>
            <w:gridSpan w:val="3"/>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9" w:type="pct"/>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7"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8"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1"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 w:type="pct"/>
            <w:gridSpan w:val="4"/>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4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7"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7"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28"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 w:type="pct"/>
            <w:gridSpan w:val="4"/>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42"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27"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27"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57"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2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01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6" w:type="pct"/>
            <w:gridSpan w:val="3"/>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99" w:type="pct"/>
            <w:tcBorders>
              <w:top w:val="nil"/>
              <w:left w:val="nil"/>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42"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57"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2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6" w:type="pct"/>
            <w:gridSpan w:val="3"/>
            <w:tcBorders>
              <w:top w:val="nil"/>
              <w:left w:val="single" w:color="000000" w:sz="8" w:space="0"/>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99" w:type="pct"/>
            <w:tcBorders>
              <w:top w:val="nil"/>
              <w:left w:val="nil"/>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42"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27"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57"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2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1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jc w:val="left"/>
        <w:textAlignment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说明：我部门没有政府性基金收入，也没有使用政府性基金安排的支出，故本表无数据。</w:t>
      </w:r>
    </w:p>
    <w:p>
      <w:pPr>
        <w:pStyle w:val="2"/>
        <w:rPr>
          <w:rFonts w:hint="eastAsia" w:ascii="宋体" w:hAnsi="宋体" w:cs="宋体"/>
          <w:color w:val="000000"/>
          <w:sz w:val="24"/>
          <w:szCs w:val="24"/>
          <w:highlight w:val="none"/>
        </w:rPr>
      </w:pPr>
    </w:p>
    <w:p>
      <w:pPr>
        <w:pStyle w:val="2"/>
        <w:rPr>
          <w:rFonts w:hint="eastAsia" w:ascii="宋体" w:hAnsi="宋体" w:cs="宋体"/>
          <w:color w:val="000000"/>
          <w:sz w:val="24"/>
          <w:szCs w:val="24"/>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default" w:ascii="仿宋_GB2312" w:hAnsi="仿宋_GB2312" w:eastAsia="仿宋_GB2312" w:cs="仿宋_GB2312"/>
          <w:sz w:val="32"/>
          <w:szCs w:val="32"/>
          <w:highlight w:val="none"/>
          <w:lang w:val="en-US"/>
        </w:rPr>
        <w:t>1795.62</w:t>
      </w:r>
      <w:r>
        <w:rPr>
          <w:rFonts w:hint="eastAsia" w:ascii="仿宋_GB2312" w:hAnsi="仿宋_GB2312" w:eastAsia="仿宋_GB2312" w:cs="仿宋_GB2312"/>
          <w:sz w:val="32"/>
          <w:szCs w:val="32"/>
          <w:highlight w:val="none"/>
        </w:rPr>
        <w:t>万元。与上年度相比，收、支总计各增加</w:t>
      </w:r>
      <w:r>
        <w:rPr>
          <w:rFonts w:hint="default" w:ascii="仿宋_GB2312" w:hAnsi="仿宋_GB2312" w:eastAsia="仿宋_GB2312" w:cs="仿宋_GB2312"/>
          <w:sz w:val="32"/>
          <w:szCs w:val="32"/>
          <w:highlight w:val="none"/>
          <w:lang w:val="en-US"/>
        </w:rPr>
        <w:t>4.85</w:t>
      </w:r>
      <w:r>
        <w:rPr>
          <w:rFonts w:hint="eastAsia" w:ascii="仿宋_GB2312" w:hAnsi="仿宋_GB2312" w:eastAsia="仿宋_GB2312" w:cs="仿宋_GB2312"/>
          <w:sz w:val="32"/>
          <w:szCs w:val="32"/>
          <w:highlight w:val="none"/>
        </w:rPr>
        <w:t>万元，增长</w:t>
      </w:r>
      <w:r>
        <w:rPr>
          <w:rFonts w:hint="default" w:ascii="仿宋_GB2312" w:hAnsi="仿宋_GB2312" w:eastAsia="仿宋_GB2312" w:cs="仿宋_GB2312"/>
          <w:sz w:val="32"/>
          <w:szCs w:val="32"/>
          <w:highlight w:val="none"/>
          <w:lang w:val="en-US"/>
        </w:rPr>
        <w:t>0.27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晋级晋档导致人员经费支出增加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1582.66</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1582.66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1795.62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1521.50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84.73</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274.12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15.27</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default" w:ascii="仿宋_GB2312" w:hAnsi="仿宋_GB2312" w:eastAsia="仿宋_GB2312" w:cs="仿宋_GB2312"/>
          <w:sz w:val="32"/>
          <w:szCs w:val="32"/>
          <w:highlight w:val="none"/>
          <w:lang w:val="en-US"/>
        </w:rPr>
        <w:t>1795.62</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4.85</w:t>
      </w:r>
      <w:r>
        <w:rPr>
          <w:rFonts w:hint="eastAsia" w:ascii="仿宋_GB2312" w:hAnsi="仿宋_GB2312" w:eastAsia="仿宋_GB2312" w:cs="仿宋_GB2312"/>
          <w:sz w:val="32"/>
          <w:szCs w:val="32"/>
          <w:highlight w:val="none"/>
        </w:rPr>
        <w:t>万元，增长</w:t>
      </w:r>
      <w:r>
        <w:rPr>
          <w:rFonts w:hint="default" w:ascii="仿宋_GB2312" w:hAnsi="仿宋_GB2312" w:eastAsia="仿宋_GB2312" w:cs="仿宋_GB2312"/>
          <w:sz w:val="32"/>
          <w:szCs w:val="32"/>
          <w:highlight w:val="none"/>
          <w:lang w:val="en-US"/>
        </w:rPr>
        <w:t>0.27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晋级晋档导致人员经费支出增加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1795.62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4.85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0.27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晋级晋档导致人员经费支出增加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default" w:ascii="仿宋_GB2312" w:hAnsi="仿宋_GB2312" w:eastAsia="仿宋_GB2312" w:cs="仿宋_GB2312"/>
          <w:sz w:val="32"/>
          <w:szCs w:val="32"/>
          <w:highlight w:val="none"/>
          <w:lang w:val="en-US" w:eastAsia="zh-CN"/>
        </w:rPr>
        <w:t>1795.62</w:t>
      </w:r>
      <w:r>
        <w:rPr>
          <w:rFonts w:hint="eastAsia" w:ascii="仿宋_GB2312" w:hAnsi="仿宋_GB2312" w:eastAsia="仿宋_GB2312" w:cs="仿宋_GB2312"/>
          <w:sz w:val="32"/>
          <w:szCs w:val="32"/>
          <w:highlight w:val="none"/>
        </w:rPr>
        <w:t>万元，主要用于以下方面：一般公共服务（类）支出</w:t>
      </w:r>
      <w:r>
        <w:rPr>
          <w:rFonts w:hint="default" w:ascii="仿宋_GB2312" w:hAnsi="仿宋_GB2312" w:eastAsia="仿宋_GB2312" w:cs="仿宋_GB2312"/>
          <w:sz w:val="32"/>
          <w:szCs w:val="32"/>
          <w:highlight w:val="none"/>
          <w:lang w:val="en-US"/>
        </w:rPr>
        <w:t>1351.68</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US"/>
        </w:rPr>
        <w:t>75.28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390.27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21.73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卫生健康（类）支出</w:t>
      </w:r>
      <w:r>
        <w:rPr>
          <w:rFonts w:hint="eastAsia" w:ascii="仿宋_GB2312" w:hAnsi="仿宋_GB2312" w:eastAsia="仿宋_GB2312" w:cs="仿宋_GB2312"/>
          <w:sz w:val="32"/>
          <w:szCs w:val="32"/>
          <w:highlight w:val="none"/>
          <w:lang w:val="en-US" w:eastAsia="zh-CN"/>
        </w:rPr>
        <w:t>53.67万元，占2.99%</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b w:val="0"/>
          <w:bCs w:val="0"/>
          <w:color w:val="auto"/>
          <w:sz w:val="32"/>
          <w:szCs w:val="32"/>
          <w:lang w:val="en-US" w:eastAsia="zh-CN"/>
        </w:rPr>
        <w:t>1335.99</w:t>
      </w:r>
      <w:r>
        <w:rPr>
          <w:rFonts w:hint="eastAsia" w:ascii="仿宋_GB2312" w:hAnsi="仿宋_GB2312" w:eastAsia="仿宋_GB2312" w:cs="仿宋_GB2312"/>
          <w:sz w:val="32"/>
          <w:szCs w:val="32"/>
          <w:highlight w:val="none"/>
        </w:rPr>
        <w:t>万元，支出决算</w:t>
      </w:r>
      <w:r>
        <w:rPr>
          <w:rFonts w:hint="default" w:ascii="仿宋_GB2312" w:hAnsi="仿宋_GB2312" w:eastAsia="仿宋_GB2312" w:cs="仿宋_GB2312"/>
          <w:sz w:val="32"/>
          <w:szCs w:val="32"/>
          <w:highlight w:val="none"/>
          <w:lang w:val="en-US" w:eastAsia="zh-CN"/>
        </w:rPr>
        <w:t>1795.62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134.40</w:t>
      </w:r>
      <w:r>
        <w:rPr>
          <w:rFonts w:hint="eastAsia" w:ascii="仿宋_GB2312" w:hAnsi="仿宋_GB2312" w:eastAsia="仿宋_GB2312" w:cs="仿宋_GB2312"/>
          <w:sz w:val="32"/>
          <w:szCs w:val="32"/>
          <w:highlight w:val="none"/>
        </w:rPr>
        <w:t>%。其中：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1.一般公共服务支出（类）政协事务（款）行政运行（项）。</w:t>
      </w:r>
      <w:r>
        <w:rPr>
          <w:rFonts w:hint="eastAsia" w:ascii="仿宋_GB2312" w:hAnsi="仿宋_GB2312" w:eastAsia="仿宋_GB2312" w:cs="仿宋_GB2312"/>
          <w:color w:val="auto"/>
          <w:sz w:val="32"/>
          <w:szCs w:val="32"/>
          <w:highlight w:val="none"/>
          <w:lang w:val="en-US" w:eastAsia="zh-CN"/>
        </w:rPr>
        <w:t>年初预算为954.52万元，支出决算为1041.44万元，完成年初预算的109.11%。决算数与年初预算数存在差异的主要原因：新增人员、</w:t>
      </w:r>
      <w:r>
        <w:rPr>
          <w:rFonts w:hint="eastAsia" w:ascii="仿宋_GB2312" w:hAnsi="仿宋_GB2312" w:eastAsia="仿宋_GB2312" w:cs="仿宋_GB2312"/>
          <w:sz w:val="32"/>
          <w:szCs w:val="32"/>
          <w:highlight w:val="none"/>
          <w:lang w:eastAsia="zh-CN"/>
        </w:rPr>
        <w:t>晋级晋档导致人员经费支出增加，使用上年</w:t>
      </w:r>
      <w:r>
        <w:rPr>
          <w:rFonts w:hint="eastAsia" w:ascii="仿宋_GB2312" w:hAnsi="仿宋_GB2312" w:eastAsia="仿宋_GB2312" w:cs="仿宋_GB2312"/>
          <w:color w:val="auto"/>
          <w:sz w:val="32"/>
          <w:szCs w:val="32"/>
          <w:highlight w:val="none"/>
          <w:lang w:val="en-US" w:eastAsia="zh-CN"/>
        </w:rPr>
        <w:t>结转经费。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2.一般公共服务支出（类）政协事务（款）一般行政管理事务（项）。</w:t>
      </w:r>
      <w:r>
        <w:rPr>
          <w:rFonts w:hint="eastAsia" w:ascii="仿宋_GB2312" w:hAnsi="仿宋_GB2312" w:eastAsia="仿宋_GB2312" w:cs="仿宋_GB2312"/>
          <w:color w:val="auto"/>
          <w:sz w:val="32"/>
          <w:szCs w:val="32"/>
          <w:highlight w:val="none"/>
          <w:lang w:val="en-US" w:eastAsia="zh-CN"/>
        </w:rPr>
        <w:t>年初预算为0万元，支出决算为265.85万元。决算数与年初预算数存在差异的主要原因：年中追加了政协七届五次会议费、许昌政协“智慧政协”信息化平台项目第一年合同款，结转了上年新年茶话会经费。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3.一般公共服务支出（类）政协事务（款）委员视察事务（项）。</w:t>
      </w:r>
      <w:r>
        <w:rPr>
          <w:rFonts w:hint="eastAsia" w:ascii="仿宋_GB2312" w:hAnsi="仿宋_GB2312" w:eastAsia="仿宋_GB2312" w:cs="仿宋_GB2312"/>
          <w:color w:val="auto"/>
          <w:sz w:val="32"/>
          <w:szCs w:val="32"/>
          <w:highlight w:val="none"/>
          <w:lang w:val="en-US" w:eastAsia="zh-CN"/>
        </w:rPr>
        <w:t>年初预算为0万元，支出决算为8.27万元。决算数与年初预算数存在差异的主要原因是2020年委员视察结转到2021年支出。</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4.一般公共服务支出（类）政协事务（款）事业运行（项）。</w:t>
      </w:r>
      <w:r>
        <w:rPr>
          <w:rFonts w:hint="eastAsia" w:ascii="仿宋_GB2312" w:hAnsi="仿宋_GB2312" w:eastAsia="仿宋_GB2312" w:cs="仿宋_GB2312"/>
          <w:b w:val="0"/>
          <w:bCs w:val="0"/>
          <w:color w:val="auto"/>
          <w:sz w:val="32"/>
          <w:szCs w:val="32"/>
          <w:highlight w:val="none"/>
          <w:lang w:val="en-US" w:eastAsia="zh-CN"/>
        </w:rPr>
        <w:t>年初预算为0万元，支出决算为21.96万元。</w:t>
      </w:r>
      <w:r>
        <w:rPr>
          <w:rFonts w:hint="eastAsia" w:ascii="仿宋_GB2312" w:hAnsi="仿宋_GB2312" w:eastAsia="仿宋_GB2312" w:cs="仿宋_GB2312"/>
          <w:color w:val="auto"/>
          <w:sz w:val="32"/>
          <w:szCs w:val="32"/>
          <w:highlight w:val="none"/>
          <w:lang w:val="en-US" w:eastAsia="zh-CN"/>
        </w:rPr>
        <w:t>决算数与年初预算数存在差异的主要原因是2021年新增事业编4人，追加事业编人员经费。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年初预算为4.16万元，支出决算为4.16万元，完成年初预算的100%。决算数与年初预算数不存在差异。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6.一般公共服务支出（类）其他一般公共服务支出（款）</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其他一般公共服务支出事务（项）。</w:t>
      </w:r>
      <w:r>
        <w:rPr>
          <w:rFonts w:hint="eastAsia" w:ascii="仿宋_GB2312" w:hAnsi="仿宋_GB2312" w:eastAsia="仿宋_GB2312" w:cs="仿宋_GB2312"/>
          <w:b w:val="0"/>
          <w:bCs w:val="0"/>
          <w:color w:val="auto"/>
          <w:sz w:val="32"/>
          <w:szCs w:val="32"/>
          <w:highlight w:val="none"/>
          <w:lang w:val="en-US" w:eastAsia="zh-CN"/>
        </w:rPr>
        <w:t>年初预算为0万元，支出决算为10万元。</w:t>
      </w:r>
      <w:r>
        <w:rPr>
          <w:rFonts w:hint="eastAsia" w:ascii="仿宋_GB2312" w:hAnsi="仿宋_GB2312" w:eastAsia="仿宋_GB2312" w:cs="仿宋_GB2312"/>
          <w:color w:val="auto"/>
          <w:sz w:val="32"/>
          <w:szCs w:val="32"/>
          <w:highlight w:val="none"/>
          <w:lang w:val="en-US" w:eastAsia="zh-CN"/>
        </w:rPr>
        <w:t>决算数与年初预算数存在差异的主要原因是追加弥补经费缺口预算。</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年初预算为272.05万元，支出决算为308.67万元，完成年初预算的113.46%。决算数与年初预算数存在差异的主要原因是在职转退休人员增加。</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年初预算为53.72万元，支出决算为51.71万元，完成年初预算的96.26%。决算数与年初预算数存在差异的主要原因是在职人员减少。</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年初预算为0万元，支出决算为22.69万元。决算数与年初预算数存在差异的主要原因是1名退休人员去世追加抚恤金。</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default" w:ascii="仿宋_GB2312" w:hAnsi="仿宋_GB2312" w:eastAsia="仿宋_GB2312" w:cs="仿宋_GB2312"/>
          <w:b w:val="0"/>
          <w:bCs w:val="0"/>
          <w:color w:val="FF000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10.社会保障和就业支出（类）临时救助（款）临时救助支出（项）。</w:t>
      </w:r>
      <w:r>
        <w:rPr>
          <w:rFonts w:hint="eastAsia" w:ascii="仿宋_GB2312" w:hAnsi="仿宋_GB2312" w:eastAsia="仿宋_GB2312" w:cs="仿宋_GB2312"/>
          <w:b w:val="0"/>
          <w:bCs w:val="0"/>
          <w:color w:val="auto"/>
          <w:sz w:val="32"/>
          <w:szCs w:val="32"/>
          <w:highlight w:val="none"/>
          <w:lang w:val="en-US" w:eastAsia="zh-CN"/>
        </w:rPr>
        <w:t>年初预算为0万元，支出决算为7.2</w:t>
      </w:r>
      <w:r>
        <w:rPr>
          <w:rFonts w:hint="default"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决算数与年初预算数存在差异的主要原因是追加春节困难群众慰问经费。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年初预算为23.3</w:t>
      </w:r>
      <w:r>
        <w:rPr>
          <w:rFonts w:hint="default"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en-US" w:eastAsia="zh-CN"/>
        </w:rPr>
        <w:t>万元，支出决算为22.95万元，完成年初预算的98.50%。决算数与年初预算数存在差异的主要原因是在职人员转退休。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年初预算为3.1</w:t>
      </w:r>
      <w:r>
        <w:rPr>
          <w:rFonts w:hint="default"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en-US" w:eastAsia="zh-CN"/>
        </w:rPr>
        <w:t>万元，支出决算为4.72万元，完成年初预算的152.26%。决算数与年初预算数存在差异的主要原因是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事业单位人员增加</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13.卫生健康支出（类）行政事业单位医疗（款）公务员医疗补助（项）。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年初预算为25.14万元，支出决算为26万元，完成年初预算的103.42%。决算数与年初预算数存在差异的主要原因是决算数包含上年结转经费支出。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lang w:val="en-US"/>
        </w:rPr>
        <w:t>1,521.5</w:t>
      </w:r>
      <w:r>
        <w:rPr>
          <w:rFonts w:hint="default" w:ascii="仿宋_GB2312" w:hAnsi="仿宋_GB2312" w:eastAsia="仿宋_GB2312"/>
          <w:sz w:val="32"/>
          <w:szCs w:val="24"/>
          <w:lang w:val="en-US"/>
        </w:rPr>
        <w:t>0</w:t>
      </w:r>
      <w:r>
        <w:rPr>
          <w:rFonts w:hint="eastAsia" w:ascii="仿宋_GB2312" w:hAnsi="仿宋_GB2312" w:eastAsia="仿宋_GB2312"/>
          <w:sz w:val="32"/>
          <w:szCs w:val="24"/>
          <w:lang w:val="en-US"/>
        </w:rPr>
        <w:t>万元。其中：人员经费1,308.39万元</w:t>
      </w:r>
      <w:r>
        <w:rPr>
          <w:rFonts w:hint="eastAsia" w:ascii="仿宋_GB2312" w:hAnsi="仿宋_GB2312" w:eastAsia="仿宋_GB2312" w:cs="仿宋_GB2312"/>
          <w:sz w:val="32"/>
          <w:szCs w:val="32"/>
          <w:highlight w:val="none"/>
        </w:rPr>
        <w:t>，主要包括：基本工资、津贴补贴、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住房公积金、离休费、退休费、抚恤金</w:t>
      </w:r>
      <w:r>
        <w:rPr>
          <w:rFonts w:hint="eastAsia" w:ascii="仿宋_GB2312" w:hAnsi="仿宋_GB2312" w:eastAsia="仿宋_GB2312" w:cs="仿宋_GB2312"/>
          <w:sz w:val="32"/>
          <w:szCs w:val="32"/>
          <w:highlight w:val="none"/>
          <w:lang w:eastAsia="zh-CN"/>
        </w:rPr>
        <w:t>、生活补助等</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213.11</w:t>
      </w:r>
      <w:r>
        <w:rPr>
          <w:rFonts w:hint="eastAsia" w:ascii="仿宋_GB2312" w:hAnsi="仿宋_GB2312" w:eastAsia="仿宋_GB2312" w:cs="仿宋_GB2312"/>
          <w:sz w:val="32"/>
          <w:szCs w:val="32"/>
          <w:highlight w:val="none"/>
        </w:rPr>
        <w:t>万元，主要包括：办公费、印刷费、邮电费、差旅费、维修（</w:t>
      </w:r>
      <w:bookmarkStart w:id="0" w:name="_GoBack"/>
      <w:bookmarkEnd w:id="0"/>
      <w:r>
        <w:rPr>
          <w:rFonts w:hint="eastAsia" w:ascii="仿宋_GB2312" w:hAnsi="仿宋_GB2312" w:eastAsia="仿宋_GB2312" w:cs="仿宋_GB2312"/>
          <w:sz w:val="32"/>
          <w:szCs w:val="32"/>
          <w:highlight w:val="none"/>
        </w:rPr>
        <w:t>护）费、劳务费、委托业务费、工会经费、福利费、公务用车运行维护费、</w:t>
      </w:r>
      <w:r>
        <w:rPr>
          <w:rFonts w:hint="eastAsia" w:ascii="仿宋_GB2312" w:hAnsi="仿宋_GB2312" w:eastAsia="仿宋_GB2312" w:cs="仿宋_GB2312"/>
          <w:sz w:val="32"/>
          <w:szCs w:val="32"/>
          <w:highlight w:val="none"/>
          <w:lang w:eastAsia="zh-CN"/>
        </w:rPr>
        <w:t>其他交通费用、</w:t>
      </w:r>
      <w:r>
        <w:rPr>
          <w:rFonts w:hint="eastAsia" w:ascii="仿宋_GB2312" w:hAnsi="仿宋_GB2312" w:eastAsia="仿宋_GB2312" w:cs="仿宋_GB2312"/>
          <w:sz w:val="32"/>
          <w:szCs w:val="32"/>
          <w:highlight w:val="none"/>
        </w:rPr>
        <w:t>其他商品和服务支出</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经费财政拨款支出预算为50.85万元，支出决算为20.35万元，完成预算的40.02%。2021年度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经费支出决算数与预算数存在差异的主要原因是</w:t>
      </w:r>
      <w:r>
        <w:rPr>
          <w:rFonts w:hint="eastAsia" w:ascii="仿宋_GB2312" w:hAnsi="仿宋_GB2312" w:eastAsia="仿宋_GB2312" w:cs="仿宋_GB2312"/>
          <w:color w:val="auto"/>
          <w:sz w:val="32"/>
          <w:szCs w:val="32"/>
          <w:highlight w:val="none"/>
          <w:lang w:val="en-US" w:eastAsia="zh-CN"/>
        </w:rPr>
        <w:t>因疫情影响，外出调研次数和公务接待减少，公车运行维护费和</w:t>
      </w:r>
      <w:r>
        <w:rPr>
          <w:rFonts w:hint="eastAsia" w:ascii="仿宋_GB2312" w:hAnsi="仿宋_GB2312" w:eastAsia="仿宋_GB2312" w:cs="仿宋_GB2312"/>
          <w:sz w:val="32"/>
          <w:szCs w:val="32"/>
          <w:highlight w:val="none"/>
          <w:lang w:eastAsia="zh-CN"/>
        </w:rPr>
        <w:t>接待费支出减少。</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spacing w:beforeLines="0" w:afterLines="0" w:line="590" w:lineRule="exact"/>
        <w:ind w:firstLine="640"/>
        <w:rPr>
          <w:rFonts w:hint="eastAsia" w:ascii="仿宋_GB2312" w:hAnsi="仿宋_GB2312" w:eastAsia="仿宋_GB2312"/>
          <w:sz w:val="32"/>
          <w:szCs w:val="24"/>
          <w:lang w:val="en-US"/>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经费财政拨款支出决算中，因公出国（境）费支出决算0万元，占0%；公务用车购置及运行费支出决算20.18万元，完成预算的42.04%，占99.16%；公务接待费支出决算0.17万元，完成预算的5.9</w:t>
      </w:r>
      <w:r>
        <w:rPr>
          <w:rFonts w:hint="eastAsia" w:ascii="仿宋_GB2312" w:hAnsi="仿宋_GB2312" w:eastAsia="仿宋_GB2312"/>
          <w:sz w:val="32"/>
          <w:szCs w:val="24"/>
          <w:lang w:val="en-US" w:eastAsia="zh-CN"/>
        </w:rPr>
        <w:t>6</w:t>
      </w:r>
      <w:r>
        <w:rPr>
          <w:rFonts w:hint="eastAsia" w:ascii="仿宋_GB2312" w:hAnsi="仿宋_GB2312" w:eastAsia="仿宋_GB2312"/>
          <w:sz w:val="32"/>
          <w:szCs w:val="24"/>
          <w:lang w:val="en-US"/>
        </w:rPr>
        <w:t>%，占0.84%；具体情况如下：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预算为0万元，支出决算为0万元。决算数与预算数不存在差异。因公出国（境）团组数0个，</w:t>
      </w:r>
      <w:r>
        <w:rPr>
          <w:rFonts w:hint="eastAsia" w:ascii="仿宋_GB2312" w:hAnsi="仿宋_GB2312" w:eastAsia="仿宋_GB2312"/>
          <w:sz w:val="32"/>
          <w:szCs w:val="24"/>
          <w:lang w:val="en-US" w:eastAsia="zh-CN"/>
        </w:rPr>
        <w:t>累计</w:t>
      </w:r>
      <w:r>
        <w:rPr>
          <w:rFonts w:hint="eastAsia" w:ascii="仿宋_GB2312" w:hAnsi="仿宋_GB2312" w:eastAsia="仿宋_GB2312"/>
          <w:sz w:val="32"/>
          <w:szCs w:val="24"/>
          <w:lang w:val="en-US"/>
        </w:rPr>
        <w:t>0人</w:t>
      </w:r>
      <w:r>
        <w:rPr>
          <w:rFonts w:hint="eastAsia" w:ascii="仿宋_GB2312" w:hAnsi="仿宋_GB2312" w:eastAsia="仿宋_GB2312"/>
          <w:sz w:val="32"/>
          <w:szCs w:val="24"/>
          <w:lang w:val="en-US" w:eastAsia="zh-CN"/>
        </w:rPr>
        <w:t>次</w:t>
      </w:r>
      <w:r>
        <w:rPr>
          <w:rFonts w:hint="eastAsia" w:ascii="仿宋_GB2312" w:hAnsi="仿宋_GB2312" w:eastAsia="仿宋_GB2312"/>
          <w:sz w:val="32"/>
          <w:szCs w:val="24"/>
          <w:lang w:val="en-US"/>
        </w:rPr>
        <w:t>。</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sz w:val="32"/>
          <w:szCs w:val="24"/>
          <w:lang w:val="en-US"/>
        </w:rPr>
        <w:t>预算为48万元，支出决算为20.18万元，完成预算的42.04%，决算数与预算数存在差异的主要原因是</w:t>
      </w:r>
      <w:r>
        <w:rPr>
          <w:rFonts w:hint="eastAsia" w:ascii="仿宋_GB2312" w:hAnsi="仿宋_GB2312" w:eastAsia="仿宋_GB2312" w:cs="仿宋_GB2312"/>
          <w:color w:val="auto"/>
          <w:sz w:val="32"/>
          <w:szCs w:val="32"/>
          <w:highlight w:val="none"/>
          <w:lang w:val="en-US" w:eastAsia="zh-CN"/>
        </w:rPr>
        <w:t>因疫情影响，外出调研次数减少，公务用车次数减少，公车运行维护费降低。其中：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sz w:val="32"/>
          <w:szCs w:val="24"/>
          <w:lang w:val="en-US"/>
        </w:rPr>
        <w:t>20.18万元。主要用于</w:t>
      </w:r>
      <w:r>
        <w:rPr>
          <w:rFonts w:hint="eastAsia" w:ascii="仿宋" w:hAnsi="仿宋" w:eastAsia="仿宋"/>
          <w:color w:val="auto"/>
          <w:sz w:val="32"/>
          <w:szCs w:val="32"/>
          <w:shd w:val="clear" w:color="auto" w:fill="auto"/>
        </w:rPr>
        <w:t>公车运行</w:t>
      </w:r>
      <w:r>
        <w:rPr>
          <w:rFonts w:hint="eastAsia" w:ascii="仿宋" w:hAnsi="仿宋" w:eastAsia="仿宋"/>
          <w:color w:val="auto"/>
          <w:sz w:val="32"/>
          <w:szCs w:val="32"/>
          <w:shd w:val="clear" w:color="auto" w:fill="auto"/>
          <w:lang w:eastAsia="zh-CN"/>
        </w:rPr>
        <w:t>及</w:t>
      </w:r>
      <w:r>
        <w:rPr>
          <w:rFonts w:hint="eastAsia" w:ascii="仿宋" w:hAnsi="仿宋" w:eastAsia="仿宋"/>
          <w:color w:val="auto"/>
          <w:sz w:val="32"/>
          <w:szCs w:val="32"/>
          <w:shd w:val="clear" w:color="auto" w:fill="auto"/>
        </w:rPr>
        <w:t>维护费</w:t>
      </w:r>
      <w:r>
        <w:rPr>
          <w:rFonts w:hint="eastAsia" w:ascii="仿宋" w:hAnsi="仿宋" w:eastAsia="仿宋"/>
          <w:color w:val="auto"/>
          <w:sz w:val="32"/>
          <w:szCs w:val="32"/>
          <w:shd w:val="clear" w:color="auto" w:fill="auto"/>
          <w:lang w:eastAsia="zh-CN"/>
        </w:rPr>
        <w:t>用。</w:t>
      </w:r>
      <w:r>
        <w:rPr>
          <w:rFonts w:hint="eastAsia" w:ascii="仿宋_GB2312" w:hAnsi="仿宋_GB2312" w:eastAsia="仿宋_GB2312"/>
          <w:sz w:val="32"/>
          <w:szCs w:val="24"/>
          <w:lang w:val="en-US"/>
        </w:rPr>
        <w:t>2021年期末，</w:t>
      </w:r>
      <w:r>
        <w:rPr>
          <w:rFonts w:hint="eastAsia" w:ascii="仿宋_GB2312" w:hAnsi="仿宋_GB2312" w:eastAsia="仿宋_GB2312"/>
          <w:sz w:val="32"/>
          <w:szCs w:val="24"/>
          <w:lang w:val="en-US" w:eastAsia="zh-CN"/>
        </w:rPr>
        <w:t>部门</w:t>
      </w:r>
      <w:r>
        <w:rPr>
          <w:rFonts w:hint="eastAsia" w:ascii="仿宋_GB2312" w:hAnsi="仿宋_GB2312" w:eastAsia="仿宋_GB2312"/>
          <w:sz w:val="32"/>
          <w:szCs w:val="24"/>
          <w:lang w:val="en-US"/>
        </w:rPr>
        <w:t>开支财政拨款的公务用车保有量为</w:t>
      </w:r>
      <w:r>
        <w:rPr>
          <w:rFonts w:hint="eastAsia" w:ascii="仿宋_GB2312" w:hAnsi="仿宋_GB2312" w:eastAsia="仿宋_GB2312"/>
          <w:sz w:val="32"/>
          <w:szCs w:val="24"/>
          <w:lang w:val="en-US" w:eastAsia="zh-CN"/>
        </w:rPr>
        <w:t>12辆</w:t>
      </w:r>
      <w:r>
        <w:rPr>
          <w:rFonts w:hint="eastAsia" w:ascii="仿宋_GB2312" w:hAnsi="仿宋_GB2312" w:eastAsia="仿宋_GB2312"/>
          <w:sz w:val="32"/>
          <w:szCs w:val="24"/>
          <w:lang w:val="en-US"/>
        </w:rPr>
        <w:t>。</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2.85万元，支出决算为0.17万元，完成预算的5.9</w:t>
      </w:r>
      <w:r>
        <w:rPr>
          <w:rFonts w:hint="eastAsia" w:ascii="仿宋_GB2312" w:hAnsi="仿宋_GB2312" w:eastAsia="仿宋_GB2312"/>
          <w:sz w:val="32"/>
          <w:szCs w:val="24"/>
          <w:lang w:val="en-US" w:eastAsia="zh-CN"/>
        </w:rPr>
        <w:t>6</w:t>
      </w:r>
      <w:r>
        <w:rPr>
          <w:rFonts w:hint="eastAsia" w:ascii="仿宋_GB2312" w:hAnsi="仿宋_GB2312" w:eastAsia="仿宋_GB2312"/>
          <w:sz w:val="32"/>
          <w:szCs w:val="24"/>
          <w:lang w:val="en-US"/>
        </w:rPr>
        <w:t>%。决算数与预算数存在差异的主要原因是</w:t>
      </w:r>
      <w:r>
        <w:rPr>
          <w:rFonts w:hint="eastAsia" w:ascii="仿宋_GB2312" w:hAnsi="仿宋_GB2312" w:eastAsia="仿宋_GB2312" w:cs="仿宋_GB2312"/>
          <w:sz w:val="32"/>
          <w:szCs w:val="32"/>
          <w:highlight w:val="none"/>
          <w:lang w:eastAsia="zh-CN"/>
        </w:rPr>
        <w:t>因疫情影响，公务接待活动少，接待费支出减少。其中：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0.17</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接待外地政协考察团来许昌调研考察</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sz w:val="32"/>
          <w:szCs w:val="24"/>
          <w:lang w:val="en-US"/>
        </w:rPr>
        <w:t>2021年度政府性基金预算财政拨款支出年初预算为0万元，支出决算为0万元。</w:t>
      </w:r>
      <w:r>
        <w:rPr>
          <w:rFonts w:hint="eastAsia" w:ascii="仿宋_GB2312" w:hAnsi="仿宋_GB2312" w:eastAsia="仿宋_GB2312"/>
          <w:sz w:val="32"/>
          <w:szCs w:val="24"/>
          <w:lang w:val="en-US" w:eastAsia="zh-CN"/>
        </w:rPr>
        <w:t>不存在</w:t>
      </w:r>
      <w:r>
        <w:rPr>
          <w:rFonts w:hint="eastAsia" w:ascii="仿宋_GB2312" w:hAnsi="仿宋_GB2312" w:eastAsia="仿宋_GB2312"/>
          <w:sz w:val="32"/>
          <w:szCs w:val="24"/>
          <w:lang w:val="en-US"/>
        </w:rPr>
        <w:t>项目年末结转和结余资金数额较大</w:t>
      </w:r>
      <w:r>
        <w:rPr>
          <w:rFonts w:hint="eastAsia" w:ascii="仿宋_GB2312" w:hAnsi="仿宋_GB2312" w:eastAsia="仿宋_GB2312"/>
          <w:sz w:val="32"/>
          <w:szCs w:val="24"/>
          <w:lang w:val="en-US" w:eastAsia="zh-CN"/>
        </w:rPr>
        <w:t>。</w:t>
      </w:r>
      <w:r>
        <w:rPr>
          <w:rFonts w:hint="eastAsia" w:ascii="仿宋_GB2312" w:hAnsi="仿宋_GB2312" w:eastAsia="仿宋_GB2312" w:cs="仿宋_GB2312"/>
          <w:color w:val="auto"/>
          <w:sz w:val="32"/>
          <w:szCs w:val="32"/>
          <w:highlight w:val="none"/>
          <w:lang w:val="en-US" w:eastAsia="zh-CN"/>
        </w:rPr>
        <w:t>主要原因：我部门2021年度没有政府性基金收入，也没有使用政府性基金安排的支出。</w:t>
      </w:r>
    </w:p>
    <w:p>
      <w:pPr>
        <w:widowControl/>
        <w:spacing w:line="590" w:lineRule="exact"/>
        <w:ind w:firstLine="640" w:firstLineChars="200"/>
        <w:outlineLvl w:val="1"/>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219.89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213.11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96.92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厉行节约，压缩开支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2021年度政府采购支出总额0万元，其中：政府采购货物支出0万元、政府采购工程支出0万元、政府采购服务支出</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万元。授予中小企业合同金额</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万元，其中：授予小微企业合同金额0万元。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w:t>
      </w:r>
      <w:r>
        <w:rPr>
          <w:rFonts w:hint="eastAsia" w:ascii="仿宋_GB2312" w:hAnsi="仿宋_GB2312" w:eastAsia="仿宋_GB2312" w:cs="仿宋_GB2312"/>
          <w:sz w:val="32"/>
          <w:szCs w:val="32"/>
          <w:highlight w:val="none"/>
          <w:lang w:val="en-US" w:eastAsia="zh-CN"/>
        </w:rPr>
        <w:t>部</w:t>
      </w:r>
      <w:r>
        <w:rPr>
          <w:rFonts w:hint="eastAsia" w:ascii="仿宋_GB2312" w:hAnsi="仿宋_GB2312" w:eastAsia="仿宋_GB2312" w:cs="仿宋_GB2312"/>
          <w:color w:val="auto"/>
          <w:sz w:val="32"/>
          <w:szCs w:val="32"/>
          <w:highlight w:val="none"/>
          <w:lang w:val="en-US" w:eastAsia="zh-CN"/>
        </w:rPr>
        <w:t>门整体支出和项目支出开展全过程预算绩效管理。我部门高度重视绩效管理工作，全面深化贯穿预算编制、执行、监督全过程的绩效管理理念，积极开展预算绩效管理工作，采取事前申报绩效目标、事中开展绩效日常监督、事后进行绩效评价的方式，建立了全过程的绩效管理模式，并将绩效结果运用到实际工作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w:t>
      </w:r>
      <w:r>
        <w:rPr>
          <w:rFonts w:hint="eastAsia" w:ascii="仿宋_GB2312" w:hAnsi="仿宋_GB2312" w:eastAsia="仿宋_GB2312" w:cs="仿宋_GB2312"/>
          <w:sz w:val="32"/>
          <w:szCs w:val="32"/>
        </w:rPr>
        <w:t>2021年我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整体预算情况执行</w:t>
      </w:r>
      <w:r>
        <w:rPr>
          <w:rFonts w:hint="eastAsia" w:ascii="仿宋_GB2312" w:hAnsi="仿宋_GB2312" w:eastAsia="仿宋_GB2312" w:cs="仿宋_GB2312"/>
          <w:sz w:val="32"/>
          <w:szCs w:val="32"/>
          <w:lang w:eastAsia="zh-CN"/>
        </w:rPr>
        <w:t>良好</w:t>
      </w:r>
      <w:r>
        <w:rPr>
          <w:rFonts w:hint="eastAsia" w:ascii="仿宋_GB2312" w:hAnsi="仿宋_GB2312" w:eastAsia="仿宋_GB2312" w:cs="仿宋_GB2312"/>
          <w:sz w:val="32"/>
          <w:szCs w:val="32"/>
        </w:rPr>
        <w:t>，绩效完成较好。</w:t>
      </w:r>
      <w:r>
        <w:rPr>
          <w:rFonts w:hint="eastAsia" w:ascii="仿宋_GB2312" w:hAnsi="仿宋_GB2312" w:eastAsia="仿宋_GB2312" w:cs="仿宋_GB2312"/>
          <w:color w:val="auto"/>
          <w:sz w:val="32"/>
          <w:szCs w:val="32"/>
          <w:highlight w:val="none"/>
          <w:lang w:val="en-US" w:eastAsia="zh-CN"/>
        </w:rPr>
        <w:t>二是项目绩效自评情况。我部门共有2个项目批复了绩效目标，项目金</w:t>
      </w:r>
      <w:r>
        <w:rPr>
          <w:rFonts w:hint="eastAsia" w:ascii="仿宋_GB2312" w:hAnsi="仿宋_GB2312" w:eastAsia="仿宋_GB2312" w:cs="仿宋_GB2312"/>
          <w:color w:val="auto"/>
          <w:kern w:val="2"/>
          <w:sz w:val="32"/>
          <w:szCs w:val="32"/>
          <w:highlight w:val="none"/>
          <w:lang w:val="en-US" w:eastAsia="zh-CN" w:bidi="ar-SA"/>
        </w:rPr>
        <w:t>额274.12万元</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2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2021年度我部门没有开展重点项目绩效评价的项目。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pStyle w:val="3"/>
        <w:ind w:left="0" w:leftChars="0" w:firstLine="0" w:firstLineChars="0"/>
        <w:rPr>
          <w:rFonts w:hint="eastAsia" w:ascii="黑体" w:hAnsi="宋体" w:eastAsia="黑体" w:cs="宋体"/>
          <w:kern w:val="0"/>
          <w:sz w:val="28"/>
          <w:szCs w:val="28"/>
          <w:highlight w:val="none"/>
        </w:rPr>
      </w:pPr>
    </w:p>
    <w:p>
      <w:pPr>
        <w:pStyle w:val="3"/>
        <w:ind w:left="0" w:leftChars="0" w:firstLine="0" w:firstLineChars="0"/>
        <w:rPr>
          <w:rFonts w:hint="eastAsia" w:ascii="黑体" w:hAnsi="宋体" w:eastAsia="黑体" w:cs="宋体"/>
          <w:kern w:val="0"/>
          <w:sz w:val="28"/>
          <w:szCs w:val="28"/>
          <w:highlight w:val="none"/>
        </w:rPr>
      </w:pPr>
    </w:p>
    <w:p>
      <w:pPr>
        <w:pStyle w:val="3"/>
        <w:ind w:left="0" w:leftChars="0" w:firstLine="0" w:firstLineChars="0"/>
        <w:rPr>
          <w:rFonts w:hint="eastAsia" w:ascii="黑体" w:hAnsi="宋体" w:eastAsia="黑体" w:cs="宋体"/>
          <w:kern w:val="0"/>
          <w:sz w:val="28"/>
          <w:szCs w:val="28"/>
          <w:highlight w:val="none"/>
        </w:rPr>
      </w:pPr>
    </w:p>
    <w:p>
      <w:pPr>
        <w:pStyle w:val="3"/>
        <w:rPr>
          <w:rFonts w:hint="eastAsia" w:ascii="黑体" w:hAnsi="宋体" w:eastAsia="黑体" w:cs="宋体"/>
          <w:kern w:val="0"/>
          <w:sz w:val="28"/>
          <w:szCs w:val="28"/>
          <w:highlight w:val="none"/>
        </w:rPr>
      </w:pPr>
    </w:p>
    <w:p>
      <w:pPr>
        <w:pStyle w:val="3"/>
        <w:ind w:left="0" w:leftChars="0" w:firstLine="0" w:firstLineChars="0"/>
        <w:rPr>
          <w:rFonts w:hint="eastAsia" w:ascii="黑体" w:hAnsi="宋体" w:eastAsia="黑体" w:cs="宋体"/>
          <w:kern w:val="0"/>
          <w:sz w:val="28"/>
          <w:szCs w:val="28"/>
          <w:highlight w:val="none"/>
        </w:rPr>
      </w:pPr>
    </w:p>
    <w:p>
      <w:pPr>
        <w:pStyle w:val="3"/>
        <w:ind w:left="0" w:leftChars="0" w:firstLine="0" w:firstLineChars="0"/>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w:t>
      </w:r>
    </w:p>
    <w:sectPr>
      <w:pgSz w:w="11906" w:h="16838"/>
      <w:pgMar w:top="1928" w:right="1474" w:bottom="1701"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D7D81"/>
    <w:multiLevelType w:val="singleLevel"/>
    <w:tmpl w:val="886D7D81"/>
    <w:lvl w:ilvl="0" w:tentative="0">
      <w:start w:val="1"/>
      <w:numFmt w:val="chineseCounting"/>
      <w:suff w:val="nothing"/>
      <w:lvlText w:val="第%1部分　"/>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abstractNum w:abstractNumId="2">
    <w:nsid w:val="65D0870A"/>
    <w:multiLevelType w:val="singleLevel"/>
    <w:tmpl w:val="65D0870A"/>
    <w:lvl w:ilvl="0" w:tentative="0">
      <w:start w:val="1"/>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0F59E515"/>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6CF2019"/>
    <w:rsid w:val="2714632A"/>
    <w:rsid w:val="27541E73"/>
    <w:rsid w:val="27A44067"/>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D7072"/>
    <w:rsid w:val="33AF0905"/>
    <w:rsid w:val="355932F4"/>
    <w:rsid w:val="35611882"/>
    <w:rsid w:val="36746FC3"/>
    <w:rsid w:val="368763AE"/>
    <w:rsid w:val="36D7D073"/>
    <w:rsid w:val="395D59E7"/>
    <w:rsid w:val="39A93932"/>
    <w:rsid w:val="3A915562"/>
    <w:rsid w:val="3B8D4765"/>
    <w:rsid w:val="3B977C41"/>
    <w:rsid w:val="3C000DBA"/>
    <w:rsid w:val="3DB2E1D7"/>
    <w:rsid w:val="3DC045D3"/>
    <w:rsid w:val="3E504FFB"/>
    <w:rsid w:val="3E615CD0"/>
    <w:rsid w:val="3E9C47F6"/>
    <w:rsid w:val="3F1B7206"/>
    <w:rsid w:val="3F8B0112"/>
    <w:rsid w:val="3FAB3095"/>
    <w:rsid w:val="3FE45947"/>
    <w:rsid w:val="3FF5D9E6"/>
    <w:rsid w:val="3FFDB034"/>
    <w:rsid w:val="41242965"/>
    <w:rsid w:val="415E0178"/>
    <w:rsid w:val="435671EA"/>
    <w:rsid w:val="440809E9"/>
    <w:rsid w:val="442407A6"/>
    <w:rsid w:val="44805EA1"/>
    <w:rsid w:val="45710696"/>
    <w:rsid w:val="46142B1B"/>
    <w:rsid w:val="4620210D"/>
    <w:rsid w:val="46505844"/>
    <w:rsid w:val="47E60DD0"/>
    <w:rsid w:val="48735039"/>
    <w:rsid w:val="492C684B"/>
    <w:rsid w:val="49500594"/>
    <w:rsid w:val="49E7604E"/>
    <w:rsid w:val="4B5F3CEA"/>
    <w:rsid w:val="4BF67CDD"/>
    <w:rsid w:val="4D173441"/>
    <w:rsid w:val="4D603DD6"/>
    <w:rsid w:val="4E37353B"/>
    <w:rsid w:val="4EBF010F"/>
    <w:rsid w:val="4F463C50"/>
    <w:rsid w:val="4F471EB0"/>
    <w:rsid w:val="5011292D"/>
    <w:rsid w:val="51331326"/>
    <w:rsid w:val="51740A7F"/>
    <w:rsid w:val="51A5541E"/>
    <w:rsid w:val="51C96242"/>
    <w:rsid w:val="52AAE67C"/>
    <w:rsid w:val="53906AE1"/>
    <w:rsid w:val="54F46F60"/>
    <w:rsid w:val="557B6B29"/>
    <w:rsid w:val="55A37BEA"/>
    <w:rsid w:val="56362CD2"/>
    <w:rsid w:val="5784687B"/>
    <w:rsid w:val="57846959"/>
    <w:rsid w:val="578E6A87"/>
    <w:rsid w:val="59042A8F"/>
    <w:rsid w:val="59B22D96"/>
    <w:rsid w:val="5AC2203A"/>
    <w:rsid w:val="5B7EE1BA"/>
    <w:rsid w:val="5CBB3334"/>
    <w:rsid w:val="5D115FAF"/>
    <w:rsid w:val="5EBDE6C4"/>
    <w:rsid w:val="5F3FDEB1"/>
    <w:rsid w:val="5F892AC5"/>
    <w:rsid w:val="5FF60220"/>
    <w:rsid w:val="62811722"/>
    <w:rsid w:val="62E75A72"/>
    <w:rsid w:val="64571880"/>
    <w:rsid w:val="649125B6"/>
    <w:rsid w:val="652F4C1A"/>
    <w:rsid w:val="666D37F1"/>
    <w:rsid w:val="67087D8F"/>
    <w:rsid w:val="671F687E"/>
    <w:rsid w:val="67923516"/>
    <w:rsid w:val="67F415F8"/>
    <w:rsid w:val="682521E8"/>
    <w:rsid w:val="682640D1"/>
    <w:rsid w:val="684B73E5"/>
    <w:rsid w:val="6A047A2A"/>
    <w:rsid w:val="6AAF18D6"/>
    <w:rsid w:val="6BAA044B"/>
    <w:rsid w:val="6BEB1BD3"/>
    <w:rsid w:val="6DDBFCD2"/>
    <w:rsid w:val="6EF3C3B5"/>
    <w:rsid w:val="6EFB7548"/>
    <w:rsid w:val="6F33DCCE"/>
    <w:rsid w:val="6F3831C3"/>
    <w:rsid w:val="6F8B71C1"/>
    <w:rsid w:val="6FAFDC4C"/>
    <w:rsid w:val="6FFD2992"/>
    <w:rsid w:val="6FFF34F1"/>
    <w:rsid w:val="707517E0"/>
    <w:rsid w:val="70753482"/>
    <w:rsid w:val="707B522A"/>
    <w:rsid w:val="716D8A0F"/>
    <w:rsid w:val="73194D05"/>
    <w:rsid w:val="73A83B0E"/>
    <w:rsid w:val="744D3EF9"/>
    <w:rsid w:val="74794411"/>
    <w:rsid w:val="74DF2924"/>
    <w:rsid w:val="75867C40"/>
    <w:rsid w:val="75B10B26"/>
    <w:rsid w:val="76432199"/>
    <w:rsid w:val="766C2291"/>
    <w:rsid w:val="76AF6F98"/>
    <w:rsid w:val="76D6BB85"/>
    <w:rsid w:val="76F44829"/>
    <w:rsid w:val="77A267C0"/>
    <w:rsid w:val="77B3F1AA"/>
    <w:rsid w:val="77FB1472"/>
    <w:rsid w:val="77FFC16D"/>
    <w:rsid w:val="782A1B5A"/>
    <w:rsid w:val="78882278"/>
    <w:rsid w:val="78A35CC3"/>
    <w:rsid w:val="78B118A6"/>
    <w:rsid w:val="78D10E02"/>
    <w:rsid w:val="79135044"/>
    <w:rsid w:val="79C2BF68"/>
    <w:rsid w:val="7A7D0F99"/>
    <w:rsid w:val="7A9D2FE5"/>
    <w:rsid w:val="7AFD330B"/>
    <w:rsid w:val="7B5F4865"/>
    <w:rsid w:val="7BD17C6C"/>
    <w:rsid w:val="7BD2DA67"/>
    <w:rsid w:val="7BEF8830"/>
    <w:rsid w:val="7BF7A82F"/>
    <w:rsid w:val="7BFF447D"/>
    <w:rsid w:val="7D5FC955"/>
    <w:rsid w:val="7DBED7D1"/>
    <w:rsid w:val="7DFBB61A"/>
    <w:rsid w:val="7E4A0E7C"/>
    <w:rsid w:val="7EFD449D"/>
    <w:rsid w:val="7EFE9620"/>
    <w:rsid w:val="7EFF11AF"/>
    <w:rsid w:val="7EFF95D9"/>
    <w:rsid w:val="7F4F5B5E"/>
    <w:rsid w:val="7FAF1A12"/>
    <w:rsid w:val="7FBA8E9D"/>
    <w:rsid w:val="7FEF69AA"/>
    <w:rsid w:val="7FFEE72F"/>
    <w:rsid w:val="7FFEF2A9"/>
    <w:rsid w:val="7FFF296C"/>
    <w:rsid w:val="7FFF2C66"/>
    <w:rsid w:val="7FFFED26"/>
    <w:rsid w:val="8FFD718C"/>
    <w:rsid w:val="96AFDA75"/>
    <w:rsid w:val="96FEFF59"/>
    <w:rsid w:val="9FB2F44E"/>
    <w:rsid w:val="B3FE3CB3"/>
    <w:rsid w:val="B6D69769"/>
    <w:rsid w:val="B795A60C"/>
    <w:rsid w:val="B7EF05EF"/>
    <w:rsid w:val="B95E7C23"/>
    <w:rsid w:val="BFBF3EC0"/>
    <w:rsid w:val="BFDF1674"/>
    <w:rsid w:val="BFE9DE13"/>
    <w:rsid w:val="BFFE536F"/>
    <w:rsid w:val="BFFEE2CF"/>
    <w:rsid w:val="BFFFAC73"/>
    <w:rsid w:val="CBFAC473"/>
    <w:rsid w:val="D7CF8BC5"/>
    <w:rsid w:val="DBBF3ACB"/>
    <w:rsid w:val="DBE8FE68"/>
    <w:rsid w:val="DBFB94E7"/>
    <w:rsid w:val="DDFDA26B"/>
    <w:rsid w:val="DDFDCB91"/>
    <w:rsid w:val="DEEDD7CE"/>
    <w:rsid w:val="DF7ECC1C"/>
    <w:rsid w:val="DFB5D979"/>
    <w:rsid w:val="DFD602C3"/>
    <w:rsid w:val="DFE78F46"/>
    <w:rsid w:val="E3FF9FB5"/>
    <w:rsid w:val="E73CDEEE"/>
    <w:rsid w:val="ED774678"/>
    <w:rsid w:val="EF7FE3E0"/>
    <w:rsid w:val="F3BB9025"/>
    <w:rsid w:val="F3FFFC24"/>
    <w:rsid w:val="F5AF0769"/>
    <w:rsid w:val="F5B53064"/>
    <w:rsid w:val="F5EF3B38"/>
    <w:rsid w:val="F6EB9A39"/>
    <w:rsid w:val="F7FB126D"/>
    <w:rsid w:val="FBFFA37A"/>
    <w:rsid w:val="FEE88EF2"/>
    <w:rsid w:val="FF76D56A"/>
    <w:rsid w:val="FFD61B93"/>
    <w:rsid w:val="FFE79A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Indent"/>
    <w:basedOn w:val="1"/>
    <w:qFormat/>
    <w:uiPriority w:val="0"/>
    <w:pPr>
      <w:ind w:firstLine="420" w:firstLineChars="200"/>
    </w:pPr>
    <w:rPr>
      <w:rFonts w:ascii="Calibri" w:hAnsi="Calibri" w:eastAsia="宋体" w:cs="Times New Roman"/>
    </w:r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4"/>
    <w:semiHidden/>
    <w:qFormat/>
    <w:uiPriority w:val="99"/>
    <w:rPr>
      <w:kern w:val="2"/>
      <w:sz w:val="18"/>
      <w:szCs w:val="18"/>
    </w:rPr>
  </w:style>
  <w:style w:type="character" w:customStyle="1" w:styleId="13">
    <w:name w:val="页脚 Char"/>
    <w:link w:val="5"/>
    <w:qFormat/>
    <w:uiPriority w:val="99"/>
    <w:rPr>
      <w:kern w:val="2"/>
      <w:sz w:val="18"/>
      <w:szCs w:val="18"/>
    </w:rPr>
  </w:style>
  <w:style w:type="character" w:customStyle="1" w:styleId="14">
    <w:name w:val="页眉 Char"/>
    <w:link w:val="6"/>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 w:type="character" w:customStyle="1" w:styleId="20">
    <w:name w:val="font3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8885</Words>
  <Characters>11059</Characters>
  <Lines>60</Lines>
  <Paragraphs>16</Paragraphs>
  <TotalTime>47</TotalTime>
  <ScaleCrop>false</ScaleCrop>
  <LinksUpToDate>false</LinksUpToDate>
  <CharactersWithSpaces>11345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2007-12-03T19:41:00Z</dcterms:created>
  <dc:creator>管理者</dc:creator>
  <cp:lastModifiedBy>Administrator</cp:lastModifiedBy>
  <cp:lastPrinted>2022-09-12T18:35:00Z</cp:lastPrinted>
  <dcterms:modified xsi:type="dcterms:W3CDTF">2023-05-19T07:46:09Z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B5CE29C204EA484EB8930EBB59DA717C</vt:lpwstr>
  </property>
</Properties>
</file>