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中共许昌市委许昌市人民政府督查局部门决算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中共许昌市委许昌市人民政府督查局概况</w:t>
      </w:r>
    </w:p>
    <w:p>
      <w:pPr>
        <w:numPr>
          <w:ilvl w:val="0"/>
          <w:numId w:val="1"/>
        </w:numPr>
        <w:ind w:left="-10" w:leftChars="0" w:firstLine="640" w:firstLineChars="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left="-10" w:leftChars="0" w:firstLine="640" w:firstLineChars="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lang w:val="en-US" w:eastAsia="zh-CN"/>
        </w:rPr>
      </w:pPr>
      <w:r>
        <w:rPr>
          <w:rFonts w:hint="eastAsia" w:ascii="黑体" w:hAnsi="宋体" w:eastAsia="黑体" w:cs="宋体"/>
          <w:color w:val="auto"/>
          <w:kern w:val="0"/>
          <w:sz w:val="28"/>
          <w:szCs w:val="28"/>
          <w:highlight w:val="none"/>
          <w:lang w:val="en-US" w:eastAsia="zh-CN"/>
        </w:rPr>
        <w:t xml:space="preserve"> </w:t>
      </w: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pStyle w:val="7"/>
        <w:rPr>
          <w:rFonts w:hint="eastAsia"/>
          <w:color w:val="auto"/>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第一部分  中共许昌市委许昌市人民</w:t>
      </w: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政府督查局概况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负责推动党的理论和路线方针政策贯彻执行；负责党中央决策部署和总书记重要讲话、指示批示精神贯彻落实的督促检查；负责国务院决策部署贯彻落实的督促检查，协调做好国务院大督查迎接准备和国务院督查激励政策对接争取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（二）负责省委、省政府重大工作部署和省委、省政府主要领导同志指示批示精神贯彻落实的督促检查，协调做好省政府集中督查迎接准备和省政府督查激励政策对接争取工作。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（三）负责市委、市政府重要工作部署贯彻落实的督促检查；负责市委、市政府主要领导同志批示件、转办件、交办件的督办落实；负责市委、市政府主要领导调研、现场办公交办事项的督办落实。</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（四）负责市委、市政府确定的重大专项、重大事项、重大项目推进落实的督促检查，做好市委、市政府主要领导联系重点企业、重点项目解决问题情况的督促检查。</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（五）负责省定、市定重点民生实事推进落实的督促检查。</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（六）负责上级和本级党代表提案、人大代表建议、政协提案办理的督促检查。</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（七）负责市委年度综合考评工作的统筹协调，做好综合考评方案制定、组织实施、汇总报告等工作。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（八）负责全市督查检查考核工作的统筹协调，做好年度计划的制定、报备和监督实施工作。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（九）负责《〈人民网〉地方领导留言板》《书记信箱》《市长信箱》网民诉求办理的督促检查。</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（十）负责全市智慧督查系统平台建设、管理和运行工作。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（十一）做好督查调研工作，为市委、市政府完善决策、抓好落实提供有价值的对策建议。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（十二）完成市委、市政府交办的其他任务。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中共许昌市委许昌市人民政府督查局内设机构5个，包括：办公室、一科、二科、三科、四科。</w:t>
      </w:r>
      <w:r>
        <w:rPr>
          <w:rFonts w:hint="eastAsia" w:ascii="仿宋_GB2312" w:hAnsi="仿宋_GB2312" w:eastAsia="仿宋_GB2312" w:cs="仿宋_GB2312"/>
          <w:color w:val="auto"/>
          <w:sz w:val="32"/>
          <w:szCs w:val="32"/>
          <w:lang w:eastAsia="zh-CN"/>
        </w:rPr>
        <w:t>另设有许昌市网民诉求督办中心</w:t>
      </w:r>
      <w:r>
        <w:rPr>
          <w:rFonts w:hint="eastAsia" w:ascii="仿宋_GB2312" w:hAnsi="仿宋_GB2312" w:eastAsia="仿宋_GB2312" w:cs="仿宋_GB2312"/>
          <w:color w:val="auto"/>
          <w:sz w:val="32"/>
          <w:szCs w:val="32"/>
          <w:lang w:val="en-US" w:eastAsia="zh-CN"/>
        </w:rPr>
        <w:t>1个正科级事业单位，未独立编制预决算。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从决算单位构成看，中共许昌市委许昌市人民政府督查局部门决算包括：本级决算（1个）。</w:t>
      </w:r>
    </w:p>
    <w:p>
      <w:pPr>
        <w:widowControl/>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本决算为汇总决算，纳入本部门2021年度部门决算编制范围的单位共1个，具体是：</w:t>
      </w:r>
    </w:p>
    <w:p>
      <w:pPr>
        <w:widowControl/>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1.中共许昌市委许昌市人民政府督查局</w:t>
      </w:r>
      <w:r>
        <w:rPr>
          <w:rFonts w:hint="eastAsia" w:ascii="仿宋_GB2312" w:hAnsi="仿宋_GB2312" w:eastAsia="仿宋_GB2312" w:cs="仿宋_GB2312"/>
          <w:color w:val="auto"/>
          <w:sz w:val="32"/>
          <w:szCs w:val="32"/>
          <w:lang w:eastAsia="zh-CN"/>
        </w:rPr>
        <w:t>（核算包括许昌市网民诉求督办中心的预算资金）</w:t>
      </w: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部门：中共许昌市委许昌市人民政府督查局</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2"/>
                <w:szCs w:val="22"/>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2"/>
                <w:szCs w:val="22"/>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260.09</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313.89</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三、国有资本经营预算财政拨款收入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11.11</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11.43</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2"/>
                <w:szCs w:val="22"/>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260.09</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2"/>
                <w:szCs w:val="22"/>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b/>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bidi="ar"/>
              </w:rPr>
              <w:t>336.43</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w:t>
            </w:r>
            <w:r>
              <w:rPr>
                <w:rFonts w:hint="eastAsia" w:ascii="宋体" w:hAnsi="宋体" w:eastAsia="宋体" w:cs="宋体"/>
                <w:i w:val="0"/>
                <w:iCs w:val="0"/>
                <w:color w:val="auto"/>
                <w:kern w:val="0"/>
                <w:sz w:val="22"/>
                <w:szCs w:val="22"/>
                <w:u w:val="none"/>
                <w:lang w:val="en-US" w:eastAsia="zh-CN" w:bidi="ar"/>
              </w:rPr>
              <w:t xml:space="preserve">  使用非财政拨款结余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w:t>
            </w:r>
            <w:r>
              <w:rPr>
                <w:rFonts w:hint="eastAsia" w:ascii="宋体" w:hAnsi="宋体" w:eastAsia="宋体" w:cs="宋体"/>
                <w:i w:val="0"/>
                <w:iCs w:val="0"/>
                <w:color w:val="auto"/>
                <w:kern w:val="0"/>
                <w:sz w:val="22"/>
                <w:szCs w:val="22"/>
                <w:u w:val="none"/>
                <w:lang w:val="en-US" w:eastAsia="zh-CN"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w:t>
            </w:r>
            <w:r>
              <w:rPr>
                <w:rFonts w:hint="eastAsia" w:ascii="宋体" w:hAnsi="宋体" w:eastAsia="宋体" w:cs="宋体"/>
                <w:i w:val="0"/>
                <w:iCs w:val="0"/>
                <w:color w:val="auto"/>
                <w:kern w:val="0"/>
                <w:sz w:val="22"/>
                <w:szCs w:val="22"/>
                <w:u w:val="none"/>
                <w:lang w:val="en-US" w:eastAsia="zh-CN" w:bidi="ar"/>
              </w:rPr>
              <w:t>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76.34</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w:t>
            </w:r>
            <w:r>
              <w:rPr>
                <w:rFonts w:hint="eastAsia" w:ascii="宋体" w:hAnsi="宋体" w:eastAsia="宋体" w:cs="宋体"/>
                <w:i w:val="0"/>
                <w:iCs w:val="0"/>
                <w:color w:val="auto"/>
                <w:kern w:val="0"/>
                <w:sz w:val="22"/>
                <w:szCs w:val="22"/>
                <w:u w:val="none"/>
                <w:lang w:val="en-US" w:eastAsia="zh-CN"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336.43</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b/>
                <w:color w:val="auto"/>
                <w:sz w:val="20"/>
                <w:szCs w:val="20"/>
                <w:highlight w:val="none"/>
              </w:rPr>
            </w:pPr>
            <w:r>
              <w:rPr>
                <w:rFonts w:hint="eastAsia" w:ascii="宋体" w:hAnsi="宋体" w:eastAsia="宋体" w:cs="宋体"/>
                <w:color w:val="auto"/>
                <w:kern w:val="0"/>
                <w:sz w:val="20"/>
                <w:szCs w:val="20"/>
                <w:highlight w:val="none"/>
                <w:lang w:val="en-US" w:eastAsia="zh-CN" w:bidi="ar"/>
              </w:rPr>
              <w:t>336.43</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80" w:type="dxa"/>
        <w:tblInd w:w="0" w:type="dxa"/>
        <w:tblLayout w:type="fixed"/>
        <w:tblCellMar>
          <w:top w:w="0" w:type="dxa"/>
          <w:left w:w="0" w:type="dxa"/>
          <w:bottom w:w="0" w:type="dxa"/>
          <w:right w:w="0" w:type="dxa"/>
        </w:tblCellMar>
      </w:tblPr>
      <w:tblGrid>
        <w:gridCol w:w="1027"/>
        <w:gridCol w:w="59"/>
        <w:gridCol w:w="3478"/>
        <w:gridCol w:w="90"/>
        <w:gridCol w:w="1343"/>
        <w:gridCol w:w="210"/>
        <w:gridCol w:w="1290"/>
        <w:gridCol w:w="263"/>
        <w:gridCol w:w="1169"/>
        <w:gridCol w:w="384"/>
        <w:gridCol w:w="656"/>
        <w:gridCol w:w="897"/>
        <w:gridCol w:w="415"/>
        <w:gridCol w:w="1138"/>
        <w:gridCol w:w="362"/>
        <w:gridCol w:w="1064"/>
        <w:gridCol w:w="135"/>
      </w:tblGrid>
      <w:tr>
        <w:tblPrEx>
          <w:tblCellMar>
            <w:top w:w="0" w:type="dxa"/>
            <w:left w:w="0" w:type="dxa"/>
            <w:bottom w:w="0" w:type="dxa"/>
            <w:right w:w="0" w:type="dxa"/>
          </w:tblCellMar>
        </w:tblPrEx>
        <w:trPr>
          <w:trHeight w:val="435" w:hRule="atLeast"/>
        </w:trPr>
        <w:tc>
          <w:tcPr>
            <w:tcW w:w="13980" w:type="dxa"/>
            <w:gridSpan w:val="17"/>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47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1"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4564"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sz w:val="20"/>
                <w:szCs w:val="20"/>
                <w:highlight w:val="none"/>
              </w:rPr>
              <w:t>中共许昌市委许昌市人民政府督查局</w:t>
            </w: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1"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4564"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143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本年收入合计</w:t>
            </w:r>
          </w:p>
        </w:tc>
        <w:tc>
          <w:tcPr>
            <w:tcW w:w="150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财政拨款收入</w:t>
            </w:r>
          </w:p>
        </w:tc>
        <w:tc>
          <w:tcPr>
            <w:tcW w:w="143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上级补助收入</w:t>
            </w:r>
          </w:p>
        </w:tc>
        <w:tc>
          <w:tcPr>
            <w:tcW w:w="104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事业收入</w:t>
            </w:r>
          </w:p>
        </w:tc>
        <w:tc>
          <w:tcPr>
            <w:tcW w:w="131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经营收入</w:t>
            </w:r>
          </w:p>
        </w:tc>
        <w:tc>
          <w:tcPr>
            <w:tcW w:w="150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附属单位上缴收入</w:t>
            </w:r>
          </w:p>
        </w:tc>
        <w:tc>
          <w:tcPr>
            <w:tcW w:w="1199"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143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3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4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31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9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3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3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4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31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9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4564"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99"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4564"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260.09</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260.09</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一般公共服务支出</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237.55</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237.55</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20129</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群众团体事务</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1.02</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1.02</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2012906</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工会事务</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1.02</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1.02</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20131</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党委办公厅（室）及相关机构事务</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236.53</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236.53</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2013101</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行政运行</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235.15</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235.15</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2013102</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一般行政管理事务</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1.38</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1.38</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社会保障和就业支出</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11.11</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11.11</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20805</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11.11</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11.11</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2080505</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11.11</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11.11</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210</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卫生健康支出</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11.43</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11.43</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21011</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11.43</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11.43</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2101101</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5.39</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5.39</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2101102</w:t>
            </w:r>
          </w:p>
        </w:tc>
        <w:tc>
          <w:tcPr>
            <w:tcW w:w="3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 xml:space="preserve">  事业单位医疗</w:t>
            </w:r>
          </w:p>
        </w:tc>
        <w:tc>
          <w:tcPr>
            <w:tcW w:w="14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0.47</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0.47</w:t>
            </w:r>
          </w:p>
        </w:tc>
        <w:tc>
          <w:tcPr>
            <w:tcW w:w="14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2101103</w:t>
            </w:r>
          </w:p>
        </w:tc>
        <w:tc>
          <w:tcPr>
            <w:tcW w:w="347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 xml:space="preserve">  公务员医疗补助</w:t>
            </w:r>
          </w:p>
        </w:tc>
        <w:tc>
          <w:tcPr>
            <w:tcW w:w="143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5.57</w:t>
            </w:r>
          </w:p>
        </w:tc>
        <w:tc>
          <w:tcPr>
            <w:tcW w:w="150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5.57</w:t>
            </w:r>
          </w:p>
        </w:tc>
        <w:tc>
          <w:tcPr>
            <w:tcW w:w="14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4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1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9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135" w:type="dxa"/>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189" w:type="dxa"/>
        <w:tblInd w:w="0" w:type="dxa"/>
        <w:tblLayout w:type="fixed"/>
        <w:tblCellMar>
          <w:top w:w="0" w:type="dxa"/>
          <w:left w:w="0" w:type="dxa"/>
          <w:bottom w:w="0" w:type="dxa"/>
          <w:right w:w="0" w:type="dxa"/>
        </w:tblCellMar>
      </w:tblPr>
      <w:tblGrid>
        <w:gridCol w:w="1032"/>
        <w:gridCol w:w="88"/>
        <w:gridCol w:w="90"/>
        <w:gridCol w:w="3526"/>
        <w:gridCol w:w="90"/>
        <w:gridCol w:w="1358"/>
        <w:gridCol w:w="444"/>
        <w:gridCol w:w="1005"/>
        <w:gridCol w:w="796"/>
        <w:gridCol w:w="405"/>
        <w:gridCol w:w="1397"/>
        <w:gridCol w:w="333"/>
        <w:gridCol w:w="1468"/>
        <w:gridCol w:w="372"/>
        <w:gridCol w:w="1785"/>
      </w:tblGrid>
      <w:tr>
        <w:tblPrEx>
          <w:tblCellMar>
            <w:top w:w="0" w:type="dxa"/>
            <w:left w:w="0" w:type="dxa"/>
            <w:bottom w:w="0" w:type="dxa"/>
            <w:right w:w="0" w:type="dxa"/>
          </w:tblCellMar>
        </w:tblPrEx>
        <w:trPr>
          <w:trHeight w:val="435" w:hRule="atLeast"/>
        </w:trPr>
        <w:tc>
          <w:tcPr>
            <w:tcW w:w="14189"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112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52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57"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公开03表</w:t>
            </w:r>
          </w:p>
        </w:tc>
      </w:tr>
      <w:tr>
        <w:tblPrEx>
          <w:tblCellMar>
            <w:top w:w="0" w:type="dxa"/>
            <w:left w:w="0" w:type="dxa"/>
            <w:bottom w:w="0" w:type="dxa"/>
            <w:right w:w="0" w:type="dxa"/>
          </w:tblCellMar>
        </w:tblPrEx>
        <w:trPr>
          <w:trHeight w:val="300" w:hRule="atLeast"/>
        </w:trPr>
        <w:tc>
          <w:tcPr>
            <w:tcW w:w="4736"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sz w:val="20"/>
                <w:szCs w:val="20"/>
                <w:highlight w:val="none"/>
              </w:rPr>
              <w:t>中共许昌市委许昌市人民政府督查局</w:t>
            </w: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57"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4736"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1448"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本年支出合计</w:t>
            </w:r>
          </w:p>
        </w:tc>
        <w:tc>
          <w:tcPr>
            <w:tcW w:w="144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基本支出</w:t>
            </w:r>
          </w:p>
        </w:tc>
        <w:tc>
          <w:tcPr>
            <w:tcW w:w="120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项目支出</w:t>
            </w:r>
          </w:p>
        </w:tc>
        <w:tc>
          <w:tcPr>
            <w:tcW w:w="173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上缴上级支出</w:t>
            </w:r>
          </w:p>
        </w:tc>
        <w:tc>
          <w:tcPr>
            <w:tcW w:w="184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经营支出</w:t>
            </w:r>
          </w:p>
        </w:tc>
        <w:tc>
          <w:tcPr>
            <w:tcW w:w="1785"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对附属单位补助支出</w:t>
            </w:r>
          </w:p>
        </w:tc>
      </w:tr>
      <w:tr>
        <w:tblPrEx>
          <w:tblCellMar>
            <w:top w:w="0" w:type="dxa"/>
            <w:left w:w="0" w:type="dxa"/>
            <w:bottom w:w="0" w:type="dxa"/>
            <w:right w:w="0" w:type="dxa"/>
          </w:tblCellMar>
        </w:tblPrEx>
        <w:trPr>
          <w:trHeight w:val="450" w:hRule="atLeast"/>
        </w:trPr>
        <w:tc>
          <w:tcPr>
            <w:tcW w:w="1032" w:type="dxa"/>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370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144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4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3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4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85"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70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4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4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3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4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85"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4736"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44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785"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4736"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336.43</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302.54</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33.89</w:t>
            </w: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313.89</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280.00</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33.89</w:t>
            </w: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20129</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群众团体事务</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1.02</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1.02</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2012906</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工会事务</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1.02</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1.02</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20131</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党委办公厅（室）及相关机构事务</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282.87</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248.98</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33.89</w:t>
            </w: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2013101</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行政运行</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248.98</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248.98</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2013102</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一般行政管理事务</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33.89</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0.00</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33.89</w:t>
            </w: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20199</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其他一般公共服务支出</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30.00</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30.00</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2019999</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其他一般公共服务支出</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30.00</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30.00</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208</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11.11</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11.11</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20805</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11.11</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11.11</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2080505</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11.11</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11.11</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210</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卫生健康支出</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11.43</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11.43</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21011</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11.43</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11.43</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2101101</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5.39</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5.39</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2101102</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 xml:space="preserve">  事业单位医疗</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0.47</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0.47</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32"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2101103</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 xml:space="preserve">  公务员医疗补助</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5.57</w:t>
            </w:r>
          </w:p>
        </w:tc>
        <w:tc>
          <w:tcPr>
            <w:tcW w:w="14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5.57</w:t>
            </w:r>
          </w:p>
        </w:tc>
        <w:tc>
          <w:tcPr>
            <w:tcW w:w="12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8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30" w:hRule="atLeast"/>
        </w:trPr>
        <w:tc>
          <w:tcPr>
            <w:tcW w:w="14189"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u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3744"/>
        <w:gridCol w:w="970"/>
        <w:gridCol w:w="1210"/>
        <w:gridCol w:w="2631"/>
        <w:gridCol w:w="640"/>
        <w:gridCol w:w="1170"/>
        <w:gridCol w:w="990"/>
        <w:gridCol w:w="617"/>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u w:val="none"/>
              </w:rPr>
            </w:pPr>
            <w:r>
              <w:rPr>
                <w:rFonts w:hint="eastAsia" w:ascii="华文中宋" w:hAnsi="华文中宋" w:eastAsia="华文中宋" w:cs="华文中宋"/>
                <w:color w:val="auto"/>
                <w:kern w:val="0"/>
                <w:sz w:val="32"/>
                <w:szCs w:val="32"/>
                <w:highlight w:val="none"/>
                <w:u w:val="none"/>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auto"/>
                <w:kern w:val="0"/>
                <w:sz w:val="32"/>
                <w:szCs w:val="32"/>
                <w:highlight w:val="none"/>
                <w:u w:val="none"/>
                <w:lang w:bidi="ar"/>
              </w:rPr>
            </w:pPr>
          </w:p>
        </w:tc>
      </w:tr>
      <w:tr>
        <w:tblPrEx>
          <w:tblCellMar>
            <w:top w:w="0" w:type="dxa"/>
            <w:left w:w="0" w:type="dxa"/>
            <w:bottom w:w="0" w:type="dxa"/>
            <w:right w:w="0" w:type="dxa"/>
          </w:tblCellMar>
        </w:tblPrEx>
        <w:trPr>
          <w:trHeight w:val="199" w:hRule="atLeast"/>
        </w:trPr>
        <w:tc>
          <w:tcPr>
            <w:tcW w:w="374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7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263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64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17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607"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rPr>
              <w:t xml:space="preserve"> </w:t>
            </w:r>
            <w:r>
              <w:rPr>
                <w:rFonts w:ascii="宋体" w:hAnsi="宋体" w:cs="宋体"/>
                <w:color w:val="auto"/>
                <w:sz w:val="20"/>
                <w:szCs w:val="20"/>
                <w:highlight w:val="none"/>
                <w:u w:val="none"/>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kern w:val="0"/>
                <w:sz w:val="20"/>
                <w:szCs w:val="20"/>
                <w:highlight w:val="none"/>
                <w:u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auto"/>
                <w:kern w:val="0"/>
                <w:sz w:val="20"/>
                <w:szCs w:val="20"/>
                <w:highlight w:val="none"/>
                <w:u w:val="none"/>
                <w:lang w:bidi="ar"/>
              </w:rPr>
            </w:pPr>
            <w:r>
              <w:rPr>
                <w:rFonts w:hint="eastAsia" w:ascii="宋体" w:hAnsi="宋体" w:cs="宋体"/>
                <w:color w:val="auto"/>
                <w:kern w:val="0"/>
                <w:sz w:val="20"/>
                <w:szCs w:val="20"/>
                <w:highlight w:val="none"/>
                <w:u w:val="none"/>
                <w:lang w:bidi="ar"/>
              </w:rPr>
              <w:t>公开04表</w:t>
            </w:r>
          </w:p>
        </w:tc>
      </w:tr>
      <w:tr>
        <w:tblPrEx>
          <w:tblCellMar>
            <w:top w:w="0" w:type="dxa"/>
            <w:left w:w="0" w:type="dxa"/>
            <w:bottom w:w="0" w:type="dxa"/>
            <w:right w:w="0" w:type="dxa"/>
          </w:tblCellMar>
        </w:tblPrEx>
        <w:trPr>
          <w:trHeight w:val="300" w:hRule="atLeast"/>
        </w:trPr>
        <w:tc>
          <w:tcPr>
            <w:tcW w:w="3744"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部门：中共许昌市委许昌市人民政府督查局</w:t>
            </w:r>
          </w:p>
        </w:tc>
        <w:tc>
          <w:tcPr>
            <w:tcW w:w="97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263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64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17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607"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kern w:val="0"/>
                <w:sz w:val="20"/>
                <w:szCs w:val="20"/>
                <w:highlight w:val="none"/>
                <w:u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auto"/>
                <w:kern w:val="0"/>
                <w:sz w:val="20"/>
                <w:szCs w:val="20"/>
                <w:highlight w:val="none"/>
                <w:u w:val="none"/>
                <w:lang w:bidi="ar"/>
              </w:rPr>
            </w:pPr>
            <w:r>
              <w:rPr>
                <w:rFonts w:hint="eastAsia" w:ascii="宋体" w:hAnsi="宋体" w:cs="宋体"/>
                <w:color w:val="auto"/>
                <w:kern w:val="0"/>
                <w:sz w:val="20"/>
                <w:szCs w:val="20"/>
                <w:highlight w:val="none"/>
                <w:u w:val="none"/>
                <w:lang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u w:val="none"/>
                <w:lang w:bidi="ar"/>
              </w:rPr>
            </w:pPr>
            <w:r>
              <w:rPr>
                <w:rFonts w:hint="eastAsia" w:ascii="宋体" w:hAnsi="宋体" w:cs="宋体"/>
                <w:color w:val="auto"/>
                <w:kern w:val="0"/>
                <w:sz w:val="22"/>
                <w:szCs w:val="22"/>
                <w:highlight w:val="none"/>
                <w:u w:val="none"/>
                <w:lang w:bidi="ar"/>
              </w:rPr>
              <w:t>支出</w:t>
            </w:r>
          </w:p>
        </w:tc>
      </w:tr>
      <w:tr>
        <w:tblPrEx>
          <w:tblCellMar>
            <w:top w:w="0" w:type="dxa"/>
            <w:left w:w="0" w:type="dxa"/>
            <w:bottom w:w="0" w:type="dxa"/>
            <w:right w:w="0" w:type="dxa"/>
          </w:tblCellMar>
        </w:tblPrEx>
        <w:trPr>
          <w:trHeight w:val="630" w:hRule="atLeast"/>
        </w:trPr>
        <w:tc>
          <w:tcPr>
            <w:tcW w:w="374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项    目</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金额</w:t>
            </w:r>
          </w:p>
        </w:tc>
        <w:tc>
          <w:tcPr>
            <w:tcW w:w="26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项    目</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行次</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合计</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auto"/>
                <w:kern w:val="0"/>
                <w:sz w:val="22"/>
                <w:szCs w:val="22"/>
                <w:highlight w:val="none"/>
                <w:u w:val="none"/>
                <w:lang w:bidi="ar"/>
              </w:rPr>
            </w:pPr>
            <w:r>
              <w:rPr>
                <w:rFonts w:hint="eastAsia" w:ascii="宋体" w:hAnsi="宋体" w:cs="宋体"/>
                <w:color w:val="auto"/>
                <w:sz w:val="22"/>
                <w:szCs w:val="22"/>
                <w:highlight w:val="none"/>
                <w:u w:val="none"/>
              </w:rPr>
              <w:t>国有资本经营预算财政拨款</w:t>
            </w: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栏    次</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w:t>
            </w:r>
          </w:p>
        </w:tc>
        <w:tc>
          <w:tcPr>
            <w:tcW w:w="26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栏    次</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auto"/>
                <w:kern w:val="0"/>
                <w:sz w:val="20"/>
                <w:szCs w:val="20"/>
                <w:highlight w:val="none"/>
                <w:u w:val="none"/>
                <w:lang w:bidi="ar"/>
              </w:rPr>
            </w:pPr>
            <w:r>
              <w:rPr>
                <w:rFonts w:ascii="宋体" w:hAnsi="宋体" w:cs="宋体"/>
                <w:color w:val="auto"/>
                <w:kern w:val="0"/>
                <w:sz w:val="20"/>
                <w:szCs w:val="20"/>
                <w:highlight w:val="none"/>
                <w:u w:val="none"/>
                <w:lang w:bidi="ar"/>
              </w:rPr>
              <w:t>5</w:t>
            </w: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一、一般公共预算财政拨款</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260.09</w:t>
            </w:r>
          </w:p>
        </w:tc>
        <w:tc>
          <w:tcPr>
            <w:tcW w:w="26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一、一般公共服务支出</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15</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lang w:val="en-US" w:eastAsia="zh-CN"/>
              </w:rPr>
              <w:t>313.89</w:t>
            </w:r>
          </w:p>
        </w:tc>
        <w:tc>
          <w:tcPr>
            <w:tcW w:w="99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313.89</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二、政府性基金预算财政拨款</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二、外交支出</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16</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9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三、国有资本经营预算财政拨款</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三、国防支出</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17</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9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四、公共安全支出</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18</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9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五、教育支出</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19</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9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六、科学技术支出</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20</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9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21</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9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u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u w:val="none"/>
              </w:rPr>
            </w:pPr>
          </w:p>
        </w:tc>
        <w:tc>
          <w:tcPr>
            <w:tcW w:w="26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0"/>
                <w:szCs w:val="20"/>
                <w:highlight w:val="none"/>
                <w:u w:val="none"/>
                <w:lang w:val="en-US" w:eastAsia="zh-CN" w:bidi="ar"/>
              </w:rPr>
            </w:pPr>
            <w:r>
              <w:rPr>
                <w:rFonts w:hint="eastAsia" w:ascii="宋体" w:hAnsi="宋体" w:cs="宋体"/>
                <w:color w:val="auto"/>
                <w:kern w:val="0"/>
                <w:sz w:val="20"/>
                <w:szCs w:val="20"/>
                <w:highlight w:val="none"/>
                <w:u w:val="none"/>
                <w:lang w:val="en-US" w:eastAsia="zh-CN" w:bidi="ar"/>
              </w:rPr>
              <w:t>22</w:t>
            </w:r>
          </w:p>
        </w:tc>
        <w:tc>
          <w:tcPr>
            <w:tcW w:w="117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lang w:val="en-US" w:eastAsia="zh-CN"/>
              </w:rPr>
              <w:t>11.11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11.11</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u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u w:val="none"/>
              </w:rPr>
            </w:pPr>
          </w:p>
        </w:tc>
        <w:tc>
          <w:tcPr>
            <w:tcW w:w="26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bidi="ar"/>
              </w:rPr>
              <w:t>23</w:t>
            </w:r>
          </w:p>
        </w:tc>
        <w:tc>
          <w:tcPr>
            <w:tcW w:w="117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r>
              <w:rPr>
                <w:rFonts w:hint="eastAsia" w:ascii="宋体" w:hAnsi="宋体" w:cs="宋体"/>
                <w:color w:val="auto"/>
                <w:sz w:val="20"/>
                <w:szCs w:val="20"/>
                <w:highlight w:val="none"/>
                <w:u w:val="none"/>
                <w:lang w:val="en-US" w:eastAsia="zh-CN"/>
              </w:rPr>
              <w:t>11.43</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11.43</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u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u w:val="none"/>
              </w:rPr>
            </w:pPr>
            <w:r>
              <w:rPr>
                <w:rFonts w:hint="eastAsia" w:ascii="宋体" w:hAnsi="宋体" w:cs="宋体"/>
                <w:b/>
                <w:color w:val="auto"/>
                <w:kern w:val="0"/>
                <w:sz w:val="22"/>
                <w:szCs w:val="22"/>
                <w:highlight w:val="none"/>
                <w:u w:val="none"/>
                <w:lang w:bidi="ar"/>
              </w:rPr>
              <w:t>本年收入合计</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26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u w:val="none"/>
              </w:rPr>
            </w:pPr>
            <w:r>
              <w:rPr>
                <w:rFonts w:hint="eastAsia" w:ascii="宋体" w:hAnsi="宋体" w:cs="宋体"/>
                <w:b/>
                <w:color w:val="auto"/>
                <w:kern w:val="0"/>
                <w:sz w:val="22"/>
                <w:szCs w:val="22"/>
                <w:highlight w:val="none"/>
                <w:u w:val="none"/>
                <w:lang w:bidi="ar"/>
              </w:rPr>
              <w:t>本年支出合计</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bidi="ar"/>
              </w:rPr>
              <w:t>24</w:t>
            </w:r>
          </w:p>
        </w:tc>
        <w:tc>
          <w:tcPr>
            <w:tcW w:w="117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auto"/>
                <w:sz w:val="20"/>
                <w:szCs w:val="20"/>
                <w:highlight w:val="none"/>
                <w:u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eastAsia="zh-CN" w:bidi="ar"/>
              </w:rPr>
              <w:t>年初</w:t>
            </w:r>
            <w:r>
              <w:rPr>
                <w:rFonts w:hint="eastAsia" w:ascii="宋体" w:hAnsi="宋体" w:cs="宋体"/>
                <w:color w:val="auto"/>
                <w:kern w:val="0"/>
                <w:sz w:val="22"/>
                <w:szCs w:val="22"/>
                <w:highlight w:val="none"/>
                <w:u w:val="none"/>
                <w:lang w:bidi="ar"/>
              </w:rPr>
              <w:t>财政拨款结转和结余</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76.34</w:t>
            </w:r>
          </w:p>
        </w:tc>
        <w:tc>
          <w:tcPr>
            <w:tcW w:w="26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年末财政拨款结转和结余</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bidi="ar"/>
              </w:rPr>
              <w:t>25</w:t>
            </w:r>
          </w:p>
        </w:tc>
        <w:tc>
          <w:tcPr>
            <w:tcW w:w="117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u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 xml:space="preserve">      一般公共预算财政拨款</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76.34</w:t>
            </w:r>
          </w:p>
        </w:tc>
        <w:tc>
          <w:tcPr>
            <w:tcW w:w="26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bidi="ar"/>
              </w:rPr>
              <w:t>26</w:t>
            </w:r>
          </w:p>
        </w:tc>
        <w:tc>
          <w:tcPr>
            <w:tcW w:w="117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u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 xml:space="preserve">        政府性基金预算财政拨款</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bidi="ar"/>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2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bidi="ar"/>
              </w:rPr>
              <w:t>27</w:t>
            </w:r>
          </w:p>
        </w:tc>
        <w:tc>
          <w:tcPr>
            <w:tcW w:w="117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u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u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auto"/>
                <w:sz w:val="20"/>
                <w:szCs w:val="20"/>
                <w:highlight w:val="none"/>
                <w:u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国有资本经营预算财政拨款</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28</w:t>
            </w:r>
          </w:p>
        </w:tc>
        <w:tc>
          <w:tcPr>
            <w:tcW w:w="117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74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总计</w:t>
            </w:r>
          </w:p>
        </w:tc>
        <w:tc>
          <w:tcPr>
            <w:tcW w:w="9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336.43</w:t>
            </w:r>
          </w:p>
        </w:tc>
        <w:tc>
          <w:tcPr>
            <w:tcW w:w="263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2"/>
                <w:szCs w:val="22"/>
                <w:highlight w:val="none"/>
                <w:lang w:bidi="ar"/>
              </w:rPr>
              <w:t>总计</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29</w:t>
            </w:r>
          </w:p>
        </w:tc>
        <w:tc>
          <w:tcPr>
            <w:tcW w:w="117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336.43</w:t>
            </w:r>
          </w:p>
        </w:tc>
        <w:tc>
          <w:tcPr>
            <w:tcW w:w="99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336.43</w:t>
            </w:r>
          </w:p>
        </w:tc>
        <w:tc>
          <w:tcPr>
            <w:tcW w:w="1560"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auto"/>
                <w:sz w:val="20"/>
                <w:szCs w:val="20"/>
                <w:highlight w:val="none"/>
              </w:rPr>
            </w:pPr>
          </w:p>
        </w:tc>
        <w:tc>
          <w:tcPr>
            <w:tcW w:w="1058"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auto"/>
                <w:sz w:val="20"/>
                <w:szCs w:val="20"/>
                <w:highlight w:val="none"/>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注：本表反映部门本年度一般公共预算财政拨款</w:t>
            </w:r>
            <w:r>
              <w:rPr>
                <w:rFonts w:hint="eastAsia" w:ascii="宋体" w:hAnsi="宋体" w:cs="宋体"/>
                <w:color w:val="auto"/>
                <w:kern w:val="0"/>
                <w:sz w:val="20"/>
                <w:szCs w:val="20"/>
                <w:highlight w:val="none"/>
                <w:lang w:val="en-US" w:eastAsia="zh-CN" w:bidi="ar"/>
              </w:rPr>
              <w:t>和</w:t>
            </w:r>
            <w:r>
              <w:rPr>
                <w:rFonts w:hint="eastAsia" w:ascii="宋体" w:hAnsi="宋体" w:cs="宋体"/>
                <w:color w:val="auto"/>
                <w:kern w:val="0"/>
                <w:sz w:val="20"/>
                <w:szCs w:val="20"/>
                <w:highlight w:val="none"/>
                <w:lang w:bidi="ar"/>
              </w:rPr>
              <w:t>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auto"/>
                <w:kern w:val="0"/>
                <w:sz w:val="20"/>
                <w:szCs w:val="20"/>
                <w:highlight w:val="none"/>
                <w:lang w:bidi="ar"/>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726"/>
        <w:gridCol w:w="1879"/>
        <w:gridCol w:w="4389"/>
        <w:gridCol w:w="1981"/>
        <w:gridCol w:w="2634"/>
        <w:gridCol w:w="2327"/>
      </w:tblGrid>
      <w:tr>
        <w:tblPrEx>
          <w:tblCellMar>
            <w:top w:w="0" w:type="dxa"/>
            <w:left w:w="0" w:type="dxa"/>
            <w:bottom w:w="0" w:type="dxa"/>
            <w:right w:w="0" w:type="dxa"/>
          </w:tblCellMar>
        </w:tblPrEx>
        <w:trPr>
          <w:trHeight w:val="600" w:hRule="atLeast"/>
        </w:trPr>
        <w:tc>
          <w:tcPr>
            <w:tcW w:w="13936"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79"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4389"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8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63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327"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w:t>
            </w:r>
            <w:r>
              <w:rPr>
                <w:rStyle w:val="19"/>
                <w:rFonts w:hint="default"/>
                <w:color w:val="auto"/>
                <w:highlight w:val="none"/>
                <w:lang w:bidi="ar"/>
              </w:rPr>
              <w:t>5表</w:t>
            </w:r>
          </w:p>
        </w:tc>
      </w:tr>
      <w:tr>
        <w:tblPrEx>
          <w:tblCellMar>
            <w:top w:w="0" w:type="dxa"/>
            <w:left w:w="0" w:type="dxa"/>
            <w:bottom w:w="0" w:type="dxa"/>
            <w:right w:w="0" w:type="dxa"/>
          </w:tblCellMar>
        </w:tblPrEx>
        <w:trPr>
          <w:trHeight w:val="367" w:hRule="atLeast"/>
        </w:trPr>
        <w:tc>
          <w:tcPr>
            <w:tcW w:w="6994"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sz w:val="20"/>
                <w:szCs w:val="20"/>
                <w:highlight w:val="none"/>
              </w:rPr>
              <w:t>中共许昌市委许昌市人民政府督查局</w:t>
            </w:r>
          </w:p>
        </w:tc>
        <w:tc>
          <w:tcPr>
            <w:tcW w:w="198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63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327"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05" w:hRule="atLeast"/>
        </w:trPr>
        <w:tc>
          <w:tcPr>
            <w:tcW w:w="699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项 </w:t>
            </w:r>
            <w:r>
              <w:rPr>
                <w:rStyle w:val="16"/>
                <w:rFonts w:hint="default"/>
                <w:color w:val="auto"/>
                <w:sz w:val="20"/>
                <w:szCs w:val="20"/>
                <w:highlight w:val="none"/>
                <w:lang w:bidi="ar"/>
              </w:rPr>
              <w:t xml:space="preserve">   </w:t>
            </w:r>
            <w:r>
              <w:rPr>
                <w:rStyle w:val="18"/>
                <w:rFonts w:hint="default"/>
                <w:color w:val="auto"/>
                <w:sz w:val="20"/>
                <w:szCs w:val="20"/>
                <w:highlight w:val="none"/>
                <w:lang w:bidi="ar"/>
              </w:rPr>
              <w:t>目</w:t>
            </w:r>
          </w:p>
        </w:tc>
        <w:tc>
          <w:tcPr>
            <w:tcW w:w="6942"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2605"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43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1981"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2634"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基本支出</w:t>
            </w:r>
          </w:p>
        </w:tc>
        <w:tc>
          <w:tcPr>
            <w:tcW w:w="2327"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项目支出</w:t>
            </w:r>
          </w:p>
        </w:tc>
      </w:tr>
      <w:tr>
        <w:tblPrEx>
          <w:tblCellMar>
            <w:top w:w="0" w:type="dxa"/>
            <w:left w:w="0" w:type="dxa"/>
            <w:bottom w:w="0" w:type="dxa"/>
            <w:right w:w="0" w:type="dxa"/>
          </w:tblCellMar>
        </w:tblPrEx>
        <w:trPr>
          <w:trHeight w:val="360" w:hRule="atLeast"/>
        </w:trPr>
        <w:tc>
          <w:tcPr>
            <w:tcW w:w="2605"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3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8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634"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327"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2605"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3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8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634"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327"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699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tblPrEx>
          <w:tblCellMar>
            <w:top w:w="0" w:type="dxa"/>
            <w:left w:w="0" w:type="dxa"/>
            <w:bottom w:w="0" w:type="dxa"/>
            <w:right w:w="0" w:type="dxa"/>
          </w:tblCellMar>
        </w:tblPrEx>
        <w:trPr>
          <w:trHeight w:val="450" w:hRule="atLeast"/>
        </w:trPr>
        <w:tc>
          <w:tcPr>
            <w:tcW w:w="699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336.43</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302.54</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33.89</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313.89</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280</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33.89</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20129</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群众团体事务</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1.02</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1.02</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2012906</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 xml:space="preserve">  工会事务</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1.02</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1.02</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20131</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党委办公厅（室）及相关机构事务</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282.87</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248.98</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2013101</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248.98</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u w:val="none"/>
                <w:lang w:val="en-US" w:eastAsia="zh-CN" w:bidi="ar"/>
              </w:rPr>
              <w:t>248.98</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2013102</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33.89</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u w:val="none"/>
                <w:lang w:val="en-US" w:eastAsia="zh-CN" w:bidi="ar"/>
              </w:rPr>
              <w:t>0.00</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2"/>
                <w:sz w:val="20"/>
                <w:szCs w:val="20"/>
                <w:highlight w:val="none"/>
                <w:lang w:val="en-US" w:eastAsia="zh-CN" w:bidi="ar-SA"/>
              </w:rPr>
            </w:pPr>
            <w:r>
              <w:rPr>
                <w:rFonts w:hint="eastAsia" w:ascii="宋体" w:hAnsi="宋体" w:eastAsia="宋体" w:cs="宋体"/>
                <w:i w:val="0"/>
                <w:iCs w:val="0"/>
                <w:color w:val="auto"/>
                <w:kern w:val="0"/>
                <w:sz w:val="20"/>
                <w:szCs w:val="20"/>
                <w:u w:val="none"/>
                <w:lang w:val="en-US" w:eastAsia="zh-CN" w:bidi="ar"/>
              </w:rPr>
              <w:t>33.89</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20199</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其他一般公共服务支出</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30.00</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30.00</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2019999</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 xml:space="preserve">  其他一般公共服务支出</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30.00</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30.00</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208</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11.11</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11.11</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20805</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11.11</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11.11</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2080505</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11.11</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11.11</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210</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卫生健康支出</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11.43</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11.43</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21011</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11.43</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11.43</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2101101</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5.39</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5.39</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2101102</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 xml:space="preserve">  事业单位医疗</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0.47</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0.47</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450" w:hRule="atLeast"/>
        </w:trPr>
        <w:tc>
          <w:tcPr>
            <w:tcW w:w="260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2101103</w:t>
            </w:r>
          </w:p>
        </w:tc>
        <w:tc>
          <w:tcPr>
            <w:tcW w:w="4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u w:val="none"/>
                <w:lang w:val="en-US" w:eastAsia="zh-CN" w:bidi="ar"/>
              </w:rPr>
              <w:t xml:space="preserve">  公务员医疗补助</w:t>
            </w:r>
          </w:p>
        </w:tc>
        <w:tc>
          <w:tcPr>
            <w:tcW w:w="1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5.57</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5.57</w:t>
            </w:r>
          </w:p>
        </w:tc>
        <w:tc>
          <w:tcPr>
            <w:tcW w:w="232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0.00</w:t>
            </w:r>
          </w:p>
        </w:tc>
      </w:tr>
      <w:tr>
        <w:tblPrEx>
          <w:tblCellMar>
            <w:top w:w="0" w:type="dxa"/>
            <w:left w:w="0" w:type="dxa"/>
            <w:bottom w:w="0" w:type="dxa"/>
            <w:right w:w="0" w:type="dxa"/>
          </w:tblCellMar>
        </w:tblPrEx>
        <w:trPr>
          <w:trHeight w:val="645" w:hRule="atLeast"/>
        </w:trPr>
        <w:tc>
          <w:tcPr>
            <w:tcW w:w="13936"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008"/>
        <w:gridCol w:w="3346"/>
        <w:gridCol w:w="1007"/>
        <w:gridCol w:w="1079"/>
        <w:gridCol w:w="2046"/>
        <w:gridCol w:w="988"/>
        <w:gridCol w:w="921"/>
        <w:gridCol w:w="265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34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07"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7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04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98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92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65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4354" w:type="dxa"/>
            <w:gridSpan w:val="2"/>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r>
              <w:rPr>
                <w:rFonts w:hint="eastAsia" w:ascii="宋体" w:hAnsi="宋体" w:cs="宋体"/>
                <w:color w:val="auto"/>
                <w:kern w:val="0"/>
                <w:sz w:val="20"/>
                <w:szCs w:val="20"/>
                <w:highlight w:val="none"/>
                <w:lang w:bidi="ar"/>
              </w:rPr>
              <w:t>部门</w:t>
            </w:r>
            <w:r>
              <w:rPr>
                <w:rFonts w:ascii="Arial" w:hAnsi="Arial" w:cs="Arial"/>
                <w:color w:val="auto"/>
                <w:kern w:val="0"/>
                <w:sz w:val="20"/>
                <w:szCs w:val="20"/>
                <w:highlight w:val="none"/>
                <w:lang w:bidi="ar"/>
              </w:rPr>
              <w:t>：</w:t>
            </w:r>
            <w:r>
              <w:rPr>
                <w:rFonts w:hint="eastAsia" w:ascii="Arial" w:hAnsi="Arial" w:cs="Arial"/>
                <w:color w:val="auto"/>
                <w:sz w:val="20"/>
                <w:szCs w:val="20"/>
                <w:highlight w:val="none"/>
              </w:rPr>
              <w:t>中共许昌市委许昌市人民政府督查局</w:t>
            </w:r>
          </w:p>
        </w:tc>
        <w:tc>
          <w:tcPr>
            <w:tcW w:w="1007"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1079"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2046"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988"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921"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2655"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334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100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c>
          <w:tcPr>
            <w:tcW w:w="1079"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204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98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c>
          <w:tcPr>
            <w:tcW w:w="92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265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工资福利支出</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226.51</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商品和服务支出</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76,03</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30101</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基本工资</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88.33</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30201</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办公费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34.18</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31001</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90"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30102</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津贴补贴</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2.88</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30202</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印刷费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31002</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30103</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奖金</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93.52</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30203</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咨询费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31003</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30106</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伙食补助费</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30204</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手续费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31005</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30107</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绩效工资</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30205</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水费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1.8</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31006</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30108</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机关事业单位基本养老保险费</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13.15</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30206</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电费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31007</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30109</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职业年金缴费</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30207</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邮电费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0.47</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31008</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30110</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职工基本医疗保险缴费</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6.29</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30208</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取暖费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31009</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30111</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公务员医疗补助缴费</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6.00</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30209</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物业管理费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31010</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30112</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其他社会保障缴费</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0.42</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30211</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差旅费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7.29</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31011</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30113</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住房公积金</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13.21</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30212</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因公出国（境）费用</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31012</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30114</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医疗费</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30213</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维修（护）费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31013</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30199</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其他工资福利支出</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30214</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租赁费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31019</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对个人和家庭的补助</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2.71</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30215</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会议费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2.00</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31021</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30301</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离休费</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30216</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培训费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31022</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30302</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退休费</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30217</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公务招待费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31099</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30303</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退职（役）费</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30218</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专用材料费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30304</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抚恤金</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30224</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被装购置费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31201</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30305</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生活补助</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2.71</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30225</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专用燃料费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31203</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30306</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救济费</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30226</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劳务费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31204</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30307</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医疗费补助</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30227</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委托业务费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31205</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30308</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助学金</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30228</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工会经费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1.02</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31299</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30309</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奖励金</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30229</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福利费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1.57</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30310</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个人农业生产补贴</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30231</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公务用车运行维护费</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2.6</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31302</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30399</w:t>
            </w: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对其他个人和家庭的补助支出</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30239</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其他交通费用</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9.9</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31303</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30240</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税金及附加费用</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30299</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其他商品和服务支出</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15.2</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39906</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债务利息及费用支出</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39907</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30701</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国内债务付息</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39908</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30702</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国外债务付息</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39999</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119"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30703</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国内债务发行费用</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435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30704</w:t>
            </w:r>
          </w:p>
        </w:tc>
        <w:tc>
          <w:tcPr>
            <w:tcW w:w="2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国外债务发行费用</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18"/>
                <w:szCs w:val="18"/>
                <w:highlight w:val="none"/>
              </w:rPr>
            </w:pP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4354"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人员经费合计</w:t>
            </w:r>
          </w:p>
        </w:tc>
        <w:tc>
          <w:tcPr>
            <w:tcW w:w="1007"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226.51</w:t>
            </w:r>
          </w:p>
        </w:tc>
        <w:tc>
          <w:tcPr>
            <w:tcW w:w="768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2"/>
                <w:szCs w:val="22"/>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76.03</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104" w:type="dxa"/>
        <w:tblInd w:w="0" w:type="dxa"/>
        <w:tblLayout w:type="fixed"/>
        <w:tblCellMar>
          <w:top w:w="0" w:type="dxa"/>
          <w:left w:w="0" w:type="dxa"/>
          <w:bottom w:w="0" w:type="dxa"/>
          <w:right w:w="0" w:type="dxa"/>
        </w:tblCellMar>
      </w:tblPr>
      <w:tblGrid>
        <w:gridCol w:w="1151"/>
        <w:gridCol w:w="1171"/>
        <w:gridCol w:w="1414"/>
        <w:gridCol w:w="1620"/>
        <w:gridCol w:w="1159"/>
        <w:gridCol w:w="818"/>
        <w:gridCol w:w="1594"/>
        <w:gridCol w:w="1099"/>
        <w:gridCol w:w="1161"/>
        <w:gridCol w:w="1030"/>
        <w:gridCol w:w="1133"/>
        <w:gridCol w:w="754"/>
      </w:tblGrid>
      <w:tr>
        <w:tblPrEx>
          <w:tblCellMar>
            <w:top w:w="0" w:type="dxa"/>
            <w:left w:w="0" w:type="dxa"/>
            <w:bottom w:w="0" w:type="dxa"/>
            <w:right w:w="0" w:type="dxa"/>
          </w:tblCellMar>
        </w:tblPrEx>
        <w:trPr>
          <w:trHeight w:val="600" w:hRule="atLeast"/>
        </w:trPr>
        <w:tc>
          <w:tcPr>
            <w:tcW w:w="14104"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7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41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62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81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9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09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6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03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887"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736"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sz w:val="20"/>
                <w:szCs w:val="20"/>
                <w:highlight w:val="none"/>
              </w:rPr>
              <w:t>中共许昌市委许昌市人民政府督查局</w:t>
            </w:r>
          </w:p>
        </w:tc>
        <w:tc>
          <w:tcPr>
            <w:tcW w:w="162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9"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818"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94"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099"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6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03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887"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7333"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771"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1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因公出国（境）费</w:t>
            </w:r>
          </w:p>
        </w:tc>
        <w:tc>
          <w:tcPr>
            <w:tcW w:w="419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公务用车购置及运行费</w:t>
            </w:r>
          </w:p>
        </w:tc>
        <w:tc>
          <w:tcPr>
            <w:tcW w:w="81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公务接待费</w:t>
            </w:r>
          </w:p>
        </w:tc>
        <w:tc>
          <w:tcPr>
            <w:tcW w:w="1594" w:type="dxa"/>
            <w:vMerge w:val="restart"/>
            <w:tcBorders>
              <w:top w:val="single" w:color="000000" w:sz="4" w:space="0"/>
              <w:left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09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因公出国（境）费</w:t>
            </w:r>
          </w:p>
        </w:tc>
        <w:tc>
          <w:tcPr>
            <w:tcW w:w="33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公务用车购置及运行费</w:t>
            </w:r>
          </w:p>
        </w:tc>
        <w:tc>
          <w:tcPr>
            <w:tcW w:w="754" w:type="dxa"/>
            <w:vMerge w:val="restart"/>
            <w:tcBorders>
              <w:top w:val="single" w:color="000000" w:sz="4" w:space="0"/>
              <w:left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1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6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购置费</w:t>
            </w:r>
          </w:p>
        </w:tc>
        <w:tc>
          <w:tcPr>
            <w:tcW w:w="115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运行费</w:t>
            </w:r>
          </w:p>
        </w:tc>
        <w:tc>
          <w:tcPr>
            <w:tcW w:w="818"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94" w:type="dxa"/>
            <w:vMerge w:val="continue"/>
            <w:tcBorders>
              <w:left w:val="nil"/>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099"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6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购置费</w:t>
            </w:r>
          </w:p>
        </w:tc>
        <w:tc>
          <w:tcPr>
            <w:tcW w:w="113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运行费</w:t>
            </w:r>
          </w:p>
        </w:tc>
        <w:tc>
          <w:tcPr>
            <w:tcW w:w="754" w:type="dxa"/>
            <w:vMerge w:val="continue"/>
            <w:tcBorders>
              <w:left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75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4.50</w:t>
            </w:r>
          </w:p>
        </w:tc>
        <w:tc>
          <w:tcPr>
            <w:tcW w:w="117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4.00</w:t>
            </w:r>
          </w:p>
        </w:tc>
        <w:tc>
          <w:tcPr>
            <w:tcW w:w="162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4.00</w:t>
            </w:r>
          </w:p>
        </w:tc>
        <w:tc>
          <w:tcPr>
            <w:tcW w:w="8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0.5</w:t>
            </w:r>
          </w:p>
        </w:tc>
        <w:tc>
          <w:tcPr>
            <w:tcW w:w="15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2.6</w:t>
            </w:r>
          </w:p>
        </w:tc>
        <w:tc>
          <w:tcPr>
            <w:tcW w:w="109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2.6</w:t>
            </w:r>
          </w:p>
        </w:tc>
        <w:tc>
          <w:tcPr>
            <w:tcW w:w="10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33"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2.6</w:t>
            </w:r>
          </w:p>
        </w:tc>
        <w:tc>
          <w:tcPr>
            <w:tcW w:w="75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900" w:hRule="atLeast"/>
        </w:trPr>
        <w:tc>
          <w:tcPr>
            <w:tcW w:w="14104"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8"/>
        <w:tblW w:w="13988" w:type="dxa"/>
        <w:tblInd w:w="0" w:type="dxa"/>
        <w:tblLayout w:type="fixed"/>
        <w:tblCellMar>
          <w:top w:w="0" w:type="dxa"/>
          <w:left w:w="0" w:type="dxa"/>
          <w:bottom w:w="0" w:type="dxa"/>
          <w:right w:w="0" w:type="dxa"/>
        </w:tblCellMar>
      </w:tblPr>
      <w:tblGrid>
        <w:gridCol w:w="612"/>
        <w:gridCol w:w="536"/>
        <w:gridCol w:w="3636"/>
        <w:gridCol w:w="90"/>
        <w:gridCol w:w="1450"/>
        <w:gridCol w:w="476"/>
        <w:gridCol w:w="1174"/>
        <w:gridCol w:w="752"/>
        <w:gridCol w:w="748"/>
        <w:gridCol w:w="1179"/>
        <w:gridCol w:w="251"/>
        <w:gridCol w:w="1520"/>
        <w:gridCol w:w="1564"/>
      </w:tblGrid>
      <w:tr>
        <w:tblPrEx>
          <w:tblCellMar>
            <w:top w:w="0" w:type="dxa"/>
            <w:left w:w="0" w:type="dxa"/>
            <w:bottom w:w="0" w:type="dxa"/>
            <w:right w:w="0" w:type="dxa"/>
          </w:tblCellMar>
        </w:tblPrEx>
        <w:trPr>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6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40"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00"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430"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2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64"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784"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sz w:val="20"/>
                <w:szCs w:val="20"/>
                <w:highlight w:val="none"/>
              </w:rPr>
              <w:t>中共许昌市委许昌市人民政府督查局</w:t>
            </w:r>
          </w:p>
        </w:tc>
        <w:tc>
          <w:tcPr>
            <w:tcW w:w="9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771"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64" w:type="dxa"/>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05" w:hRule="atLeast"/>
        </w:trPr>
        <w:tc>
          <w:tcPr>
            <w:tcW w:w="478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1540"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年初</w:t>
            </w:r>
            <w:r>
              <w:rPr>
                <w:rFonts w:hint="eastAsia" w:ascii="宋体" w:hAnsi="宋体" w:cs="宋体"/>
                <w:color w:val="auto"/>
                <w:kern w:val="0"/>
                <w:sz w:val="22"/>
                <w:szCs w:val="22"/>
                <w:highlight w:val="none"/>
                <w:lang w:bidi="ar"/>
              </w:rPr>
              <w:t>结转和结余</w:t>
            </w:r>
          </w:p>
        </w:tc>
        <w:tc>
          <w:tcPr>
            <w:tcW w:w="1650"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本年收入</w:t>
            </w:r>
          </w:p>
        </w:tc>
        <w:tc>
          <w:tcPr>
            <w:tcW w:w="4450" w:type="dxa"/>
            <w:gridSpan w:val="5"/>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本年支出</w:t>
            </w:r>
          </w:p>
        </w:tc>
        <w:tc>
          <w:tcPr>
            <w:tcW w:w="1564"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36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1540"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65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00"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430"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基本支出</w:t>
            </w:r>
          </w:p>
        </w:tc>
        <w:tc>
          <w:tcPr>
            <w:tcW w:w="1520"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项目支出</w:t>
            </w:r>
          </w:p>
        </w:tc>
        <w:tc>
          <w:tcPr>
            <w:tcW w:w="1564"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40"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5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0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20"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64"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40"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5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0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20"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64"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478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52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56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478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2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6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2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6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2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6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2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6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63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4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65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43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20"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56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注：本表反映部门本年度政府性基金预算财政拨款收入、支出及结转和结余情况。</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说明：我部门没有政府性基金收入，也没有使用政府性基金安排的支出，故本表无数据。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336.43</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71.64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17.56</w:t>
      </w:r>
      <w:r>
        <w:rPr>
          <w:rFonts w:hint="eastAsia" w:ascii="仿宋_GB2312" w:hAnsi="仿宋_GB2312" w:eastAsia="仿宋_GB2312" w:cs="仿宋_GB2312"/>
          <w:color w:val="auto"/>
          <w:sz w:val="32"/>
          <w:szCs w:val="32"/>
          <w:highlight w:val="none"/>
        </w:rPr>
        <w:t>%。主要</w:t>
      </w:r>
      <w:r>
        <w:rPr>
          <w:rFonts w:hint="eastAsia" w:ascii="仿宋_GB2312" w:hAnsi="仿宋_GB2312" w:eastAsia="仿宋_GB2312" w:cs="仿宋_GB2312"/>
          <w:color w:val="auto"/>
          <w:sz w:val="32"/>
          <w:szCs w:val="32"/>
          <w:highlight w:val="none"/>
          <w:lang w:eastAsia="zh-CN"/>
        </w:rPr>
        <w:t>原因是压减支出，</w:t>
      </w:r>
      <w:r>
        <w:rPr>
          <w:rFonts w:hint="eastAsia" w:ascii="仿宋_GB2312" w:hAnsi="仿宋_GB2312" w:eastAsia="仿宋_GB2312" w:cs="仿宋_GB2312"/>
          <w:color w:val="auto"/>
          <w:sz w:val="32"/>
          <w:szCs w:val="32"/>
          <w:highlight w:val="none"/>
        </w:rPr>
        <w:t>项目经费</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260.09</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260.09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336.43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302.54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89.93</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33.89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10.07</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336.43</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71.64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17.56</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压减支出，</w:t>
      </w:r>
      <w:r>
        <w:rPr>
          <w:rFonts w:hint="eastAsia" w:ascii="仿宋_GB2312" w:hAnsi="仿宋_GB2312" w:eastAsia="仿宋_GB2312" w:cs="仿宋_GB2312"/>
          <w:color w:val="auto"/>
          <w:sz w:val="32"/>
          <w:szCs w:val="32"/>
          <w:highlight w:val="none"/>
        </w:rPr>
        <w:t>项目经费</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336.43</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w:t>
      </w:r>
      <w:r>
        <w:rPr>
          <w:rFonts w:hint="eastAsia" w:ascii="仿宋_GB2312" w:hAnsi="仿宋_GB2312" w:eastAsia="仿宋_GB2312" w:cs="仿宋_GB2312"/>
          <w:color w:val="auto"/>
          <w:sz w:val="32"/>
          <w:szCs w:val="32"/>
          <w:highlight w:val="none"/>
          <w:lang w:val="en-US" w:eastAsia="zh-CN"/>
        </w:rPr>
        <w:t>增加9.68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增长2.96</w:t>
      </w:r>
      <w:r>
        <w:rPr>
          <w:rFonts w:hint="eastAsia" w:ascii="仿宋_GB2312" w:hAnsi="仿宋_GB2312" w:eastAsia="仿宋_GB2312" w:cs="仿宋_GB2312"/>
          <w:color w:val="auto"/>
          <w:sz w:val="32"/>
          <w:szCs w:val="32"/>
          <w:highlight w:val="none"/>
        </w:rPr>
        <w:t>%。主要原因是2020年结转资金于2021年支出。</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336.43</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313.89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93.30</w:t>
      </w:r>
      <w:r>
        <w:rPr>
          <w:rFonts w:hint="eastAsia" w:ascii="仿宋_GB2312" w:hAnsi="仿宋_GB2312" w:eastAsia="仿宋_GB2312" w:cs="仿宋_GB2312"/>
          <w:color w:val="auto"/>
          <w:sz w:val="32"/>
          <w:szCs w:val="32"/>
          <w:highlight w:val="none"/>
        </w:rPr>
        <w:t>%；社会保障和就业支出（类）支出</w:t>
      </w:r>
      <w:r>
        <w:rPr>
          <w:rFonts w:hint="eastAsia" w:ascii="仿宋_GB2312" w:hAnsi="仿宋_GB2312" w:eastAsia="仿宋_GB2312" w:cs="仿宋_GB2312"/>
          <w:color w:val="auto"/>
          <w:sz w:val="32"/>
          <w:szCs w:val="32"/>
          <w:highlight w:val="none"/>
          <w:lang w:val="en-US" w:eastAsia="zh-CN"/>
        </w:rPr>
        <w:t>11.11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3.30</w:t>
      </w:r>
      <w:r>
        <w:rPr>
          <w:rFonts w:hint="eastAsia" w:ascii="仿宋_GB2312" w:hAnsi="仿宋_GB2312" w:eastAsia="仿宋_GB2312" w:cs="仿宋_GB2312"/>
          <w:color w:val="auto"/>
          <w:sz w:val="32"/>
          <w:szCs w:val="32"/>
          <w:highlight w:val="none"/>
        </w:rPr>
        <w:t>%；卫生健康支出（类）支出</w:t>
      </w:r>
      <w:r>
        <w:rPr>
          <w:rFonts w:hint="eastAsia" w:ascii="仿宋_GB2312" w:hAnsi="仿宋_GB2312" w:eastAsia="仿宋_GB2312" w:cs="仿宋_GB2312"/>
          <w:color w:val="auto"/>
          <w:sz w:val="32"/>
          <w:szCs w:val="32"/>
          <w:highlight w:val="none"/>
          <w:lang w:val="en-US" w:eastAsia="zh-CN"/>
        </w:rPr>
        <w:t>11.43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3.40</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248.19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313.89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126.47</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2．一般公共服务支出（类）党委办公厅（室）及相关机构事务（款）行政运行（项）。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221.70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248.98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112.30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预算数存在差异的主要原因是在职人员增加，</w:t>
      </w:r>
      <w:r>
        <w:rPr>
          <w:rFonts w:hint="eastAsia" w:ascii="仿宋_GB2312" w:hAnsi="仿宋_GB2312" w:eastAsia="仿宋_GB2312" w:cs="仿宋_GB2312"/>
          <w:color w:val="auto"/>
          <w:sz w:val="32"/>
          <w:szCs w:val="32"/>
          <w:highlight w:val="none"/>
          <w:lang w:val="en-US" w:eastAsia="zh-CN"/>
        </w:rPr>
        <w:t>公用</w:t>
      </w:r>
      <w:r>
        <w:rPr>
          <w:rFonts w:hint="eastAsia" w:ascii="仿宋_GB2312" w:hAnsi="仿宋_GB2312" w:eastAsia="仿宋_GB2312" w:cs="仿宋_GB2312"/>
          <w:color w:val="auto"/>
          <w:sz w:val="32"/>
          <w:szCs w:val="32"/>
          <w:highlight w:val="none"/>
        </w:rPr>
        <w:t>经费增长。</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一般公共服务支出（类）党委办公厅（室）及相关机构事务（款）一般行政管理事务（项）。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33.89</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w:t>
      </w:r>
      <w:r>
        <w:rPr>
          <w:rFonts w:hint="eastAsia" w:ascii="仿宋_GB2312" w:hAnsi="仿宋_GB2312" w:eastAsia="仿宋_GB2312" w:cs="仿宋_GB2312"/>
          <w:color w:val="auto"/>
          <w:sz w:val="32"/>
          <w:szCs w:val="32"/>
          <w:highlight w:val="none"/>
          <w:lang w:eastAsia="zh-CN"/>
        </w:rPr>
        <w:t>主要原因是该资金为</w:t>
      </w:r>
      <w:r>
        <w:rPr>
          <w:rFonts w:hint="eastAsia" w:ascii="仿宋_GB2312" w:hAnsi="仿宋_GB2312" w:eastAsia="仿宋_GB2312" w:cs="仿宋_GB2312"/>
          <w:color w:val="auto"/>
          <w:sz w:val="32"/>
          <w:szCs w:val="32"/>
          <w:highlight w:val="none"/>
          <w:lang w:val="en-US" w:eastAsia="zh-CN"/>
        </w:rPr>
        <w:t>上年结转资金，用于工作经费开支</w:t>
      </w:r>
      <w:r>
        <w:rPr>
          <w:rFonts w:hint="eastAsia" w:ascii="仿宋_GB2312" w:hAnsi="仿宋_GB2312" w:eastAsia="仿宋_GB2312" w:cs="仿宋_GB2312"/>
          <w:color w:val="auto"/>
          <w:sz w:val="32"/>
          <w:szCs w:val="32"/>
          <w:highlight w:val="none"/>
        </w:rPr>
        <w:t>。</w:t>
      </w:r>
    </w:p>
    <w:p>
      <w:pPr>
        <w:pStyle w:val="7"/>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4</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一般公共服务支出（类）其他一般公共服务支出（款）其他一般公共服务支出（项）。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w:t>
      </w:r>
      <w:r>
        <w:rPr>
          <w:rFonts w:hint="eastAsia" w:ascii="仿宋_GB2312" w:hAnsi="仿宋_GB2312" w:eastAsia="仿宋_GB2312" w:cs="仿宋_GB2312"/>
          <w:color w:val="auto"/>
          <w:sz w:val="32"/>
          <w:szCs w:val="32"/>
          <w:highlight w:val="none"/>
          <w:lang w:eastAsia="zh-CN"/>
        </w:rPr>
        <w:t>主要原因是该资金为</w:t>
      </w:r>
      <w:r>
        <w:rPr>
          <w:rFonts w:hint="eastAsia" w:ascii="仿宋_GB2312" w:hAnsi="仿宋_GB2312" w:eastAsia="仿宋_GB2312" w:cs="仿宋_GB2312"/>
          <w:color w:val="auto"/>
          <w:sz w:val="32"/>
          <w:szCs w:val="32"/>
          <w:highlight w:val="none"/>
          <w:lang w:val="en-US" w:eastAsia="zh-CN"/>
        </w:rPr>
        <w:t>上年结转资金，用于弥补办公经费缺口</w:t>
      </w:r>
      <w:r>
        <w:rPr>
          <w:rFonts w:hint="eastAsia" w:ascii="仿宋_GB2312" w:hAnsi="仿宋_GB2312" w:eastAsia="仿宋_GB2312" w:cs="仿宋_GB2312"/>
          <w:color w:val="auto"/>
          <w:sz w:val="32"/>
          <w:szCs w:val="32"/>
          <w:highlight w:val="none"/>
        </w:rPr>
        <w:t>。</w:t>
      </w:r>
    </w:p>
    <w:p>
      <w:pPr>
        <w:pStyle w:val="7"/>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12.60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11.11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88.17</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2021年5月调走2名在职人员，2021年8月、9月、11月各调入1名在职人员</w:t>
      </w:r>
      <w:r>
        <w:rPr>
          <w:rFonts w:hint="eastAsia" w:ascii="仿宋_GB2312" w:hAnsi="仿宋_GB2312" w:eastAsia="仿宋_GB2312" w:cs="仿宋_GB2312"/>
          <w:color w:val="auto"/>
          <w:sz w:val="32"/>
          <w:szCs w:val="32"/>
          <w:highlight w:val="none"/>
        </w:rPr>
        <w:t>。</w:t>
      </w:r>
    </w:p>
    <w:p>
      <w:pPr>
        <w:pStyle w:val="7"/>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卫生健康支出（类）行政事业单位医疗（款）行政单位医疗（项）。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6.13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5.39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87.93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2021年5月调走2名在职人员，2021年8月、9月、11月各调入1名在职人员</w:t>
      </w:r>
      <w:r>
        <w:rPr>
          <w:rFonts w:hint="eastAsia" w:ascii="仿宋_GB2312" w:hAnsi="仿宋_GB2312" w:eastAsia="仿宋_GB2312" w:cs="仿宋_GB2312"/>
          <w:color w:val="auto"/>
          <w:sz w:val="32"/>
          <w:szCs w:val="32"/>
          <w:highlight w:val="none"/>
        </w:rPr>
        <w:t>。</w:t>
      </w:r>
    </w:p>
    <w:p>
      <w:pPr>
        <w:pStyle w:val="7"/>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卫生健康支出（类）行政事业单位医疗（款）事业单位医疗（项）。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0.47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0.47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color w:val="auto"/>
          <w:sz w:val="32"/>
          <w:szCs w:val="32"/>
          <w:highlight w:val="none"/>
        </w:rPr>
        <w:t>。</w:t>
      </w:r>
    </w:p>
    <w:p>
      <w:pPr>
        <w:pStyle w:val="7"/>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卫生健康支出（类）行政事业单位医疗（款）公务员医疗补助（项）。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6.27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5.57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88.84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2021年5月调走2名在职人员，2021年8月、9月、11月各调入1名在职人员</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highlight w:val="none"/>
          <w:lang w:val="zh-CN"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302.54</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226.51</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zh-CN" w:eastAsia="zh-CN"/>
        </w:rPr>
        <w:t>基本工资、津贴补贴、奖金、机关事业单位基本养老保险缴费、职工基本医疗保险缴费、公务员医疗补助缴费、住房公积金等</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76.03</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zh-CN" w:eastAsia="zh-CN"/>
        </w:rPr>
        <w:t>办公费、差旅费、会议费、工会经费、福利费、公务用车运行维护费、其他交</w:t>
      </w:r>
      <w:bookmarkStart w:id="0" w:name="_GoBack"/>
      <w:bookmarkEnd w:id="0"/>
      <w:r>
        <w:rPr>
          <w:rFonts w:hint="eastAsia" w:ascii="仿宋_GB2312" w:hAnsi="仿宋_GB2312" w:eastAsia="仿宋_GB2312" w:cs="仿宋_GB2312"/>
          <w:color w:val="auto"/>
          <w:sz w:val="32"/>
          <w:szCs w:val="32"/>
          <w:highlight w:val="none"/>
          <w:lang w:val="zh-CN" w:eastAsia="zh-CN"/>
        </w:rPr>
        <w:t>通费用、其他商品和服务支出等。</w:t>
      </w:r>
    </w:p>
    <w:p>
      <w:pPr>
        <w:widowControl/>
        <w:spacing w:line="590" w:lineRule="exact"/>
        <w:ind w:left="319" w:leftChars="152" w:firstLine="320" w:firstLineChars="1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4.50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2.60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57.78</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年度“三公”经费支出决算数与预算数存在差异的主要原因是2021年因疫情原因公务用车运行维护费减少。</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2.60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pPr>
        <w:spacing w:beforeLines="0" w:afterLines="0" w:line="59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b/>
          <w:color w:val="auto"/>
          <w:sz w:val="32"/>
          <w:szCs w:val="24"/>
          <w:lang w:val="en-US"/>
        </w:rPr>
        <w:t>1．因公出国（境）费</w:t>
      </w:r>
      <w:r>
        <w:rPr>
          <w:rFonts w:hint="eastAsia" w:ascii="仿宋_GB2312" w:hAnsi="仿宋_GB2312" w:eastAsia="仿宋_GB2312"/>
          <w:color w:val="auto"/>
          <w:sz w:val="32"/>
          <w:szCs w:val="24"/>
          <w:lang w:val="en-US"/>
        </w:rPr>
        <w:t>预算为0万元，支出决算为0万元。决算数与预算数不存在差异。因公出国（境）团组数0个，因公出国（境）人次数0人。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2.60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%。决算数与预算数存在差异的主要原因是2021年因疫情原因公务用车运行维护费减少。其中：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2.60</w:t>
      </w:r>
      <w:r>
        <w:rPr>
          <w:rFonts w:hint="eastAsia" w:ascii="仿宋_GB2312" w:hAnsi="仿宋_GB2312" w:eastAsia="仿宋_GB2312" w:cs="仿宋_GB2312"/>
          <w:color w:val="auto"/>
          <w:sz w:val="32"/>
          <w:szCs w:val="32"/>
          <w:highlight w:val="none"/>
        </w:rPr>
        <w:t>万元。主要用于</w:t>
      </w:r>
      <w:r>
        <w:rPr>
          <w:rFonts w:hint="eastAsia" w:ascii="仿宋" w:hAnsi="仿宋" w:eastAsia="仿宋"/>
          <w:color w:val="auto"/>
          <w:sz w:val="32"/>
          <w:szCs w:val="32"/>
          <w:shd w:val="clear" w:color="auto" w:fill="auto"/>
        </w:rPr>
        <w:t>公车运行</w:t>
      </w:r>
      <w:r>
        <w:rPr>
          <w:rFonts w:hint="eastAsia" w:ascii="仿宋" w:hAnsi="仿宋" w:eastAsia="仿宋"/>
          <w:color w:val="auto"/>
          <w:sz w:val="32"/>
          <w:szCs w:val="32"/>
          <w:shd w:val="clear" w:color="auto" w:fill="auto"/>
          <w:lang w:eastAsia="zh-CN"/>
        </w:rPr>
        <w:t>及</w:t>
      </w:r>
      <w:r>
        <w:rPr>
          <w:rFonts w:hint="eastAsia" w:ascii="仿宋" w:hAnsi="仿宋" w:eastAsia="仿宋"/>
          <w:color w:val="auto"/>
          <w:sz w:val="32"/>
          <w:szCs w:val="32"/>
          <w:shd w:val="clear" w:color="auto" w:fill="auto"/>
        </w:rPr>
        <w:t>维护费</w:t>
      </w:r>
      <w:r>
        <w:rPr>
          <w:rFonts w:hint="eastAsia" w:ascii="仿宋" w:hAnsi="仿宋" w:eastAsia="仿宋"/>
          <w:color w:val="auto"/>
          <w:sz w:val="32"/>
          <w:szCs w:val="32"/>
          <w:shd w:val="clear" w:color="auto" w:fill="auto"/>
          <w:lang w:eastAsia="zh-CN"/>
        </w:rPr>
        <w:t>用</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0.50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万元。决算数与预算数存在差异的主要原因是2021年因疫情原因</w:t>
      </w:r>
      <w:r>
        <w:rPr>
          <w:rFonts w:hint="eastAsia" w:ascii="仿宋_GB2312" w:hAnsi="仿宋_GB2312" w:eastAsia="仿宋_GB2312" w:cs="仿宋_GB2312"/>
          <w:color w:val="auto"/>
          <w:sz w:val="32"/>
          <w:szCs w:val="32"/>
          <w:highlight w:val="none"/>
          <w:lang w:eastAsia="zh-CN"/>
        </w:rPr>
        <w:t>未发生公务接待活动</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0万元</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。情况说明：我部门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lang w:eastAsia="zh-CN"/>
        </w:rPr>
        <w:t>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47.31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76.03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160.71</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预算数存在差异的主要原因是2021年在职人员增加，业务量增长。</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0万元</w:t>
      </w:r>
      <w:r>
        <w:rPr>
          <w:rFonts w:hint="eastAsia" w:ascii="仿宋_GB2312" w:hAnsi="仿宋_GB2312" w:eastAsia="仿宋_GB2312" w:cs="仿宋_GB2312"/>
          <w:color w:val="auto"/>
          <w:sz w:val="32"/>
          <w:szCs w:val="32"/>
          <w:highlight w:val="none"/>
        </w:rPr>
        <w:t>，其中：政府采购货物支出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部门高度重视绩效管理工作，全面深化贯穿预算编制、执行、监督全过程的绩效管理理念，积极开展预算绩效管理工作，采取事前申报绩效目标、事中开展绩效日常监督、事后进行绩效评价的方式，建立了全过程的绩效管理模式，并将绩效结果运用到实际工作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积极实施绩效自评工作，全面做好全市重点督查工作。整体自评得分96分，其中预算执行率10分、履职能效29分、管理效率和运行成本37分、服务满意和可持续性20分。各项指标基本达到了预期绩效目标。二是项目绩效自评情况。我单位共有1个项目批复了绩效目标，项目金额33.89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color w:val="auto"/>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2021年我部门没有开展重点绩效评价的项目。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pStyle w:val="7"/>
        <w:ind w:left="0" w:leftChars="0" w:firstLine="0" w:firstLineChars="0"/>
        <w:rPr>
          <w:rFonts w:hint="eastAsia" w:ascii="黑体" w:hAnsi="宋体" w:eastAsia="黑体" w:cs="宋体"/>
          <w:color w:val="auto"/>
          <w:kern w:val="0"/>
          <w:sz w:val="28"/>
          <w:szCs w:val="28"/>
          <w:highlight w:val="none"/>
        </w:rPr>
      </w:pPr>
    </w:p>
    <w:p>
      <w:pPr>
        <w:pStyle w:val="7"/>
        <w:rPr>
          <w:rFonts w:hint="eastAsia" w:ascii="黑体" w:hAnsi="宋体" w:eastAsia="黑体" w:cs="宋体"/>
          <w:color w:val="auto"/>
          <w:kern w:val="0"/>
          <w:sz w:val="28"/>
          <w:szCs w:val="28"/>
          <w:highlight w:val="none"/>
        </w:rPr>
      </w:pPr>
    </w:p>
    <w:p>
      <w:pPr>
        <w:pStyle w:val="7"/>
        <w:ind w:left="0" w:leftChars="0" w:firstLine="0" w:firstLineChars="0"/>
        <w:rPr>
          <w:rFonts w:hint="eastAsia" w:ascii="黑体" w:hAnsi="宋体" w:eastAsia="黑体" w:cs="宋体"/>
          <w:color w:val="auto"/>
          <w:kern w:val="0"/>
          <w:sz w:val="28"/>
          <w:szCs w:val="28"/>
          <w:highlight w:val="none"/>
        </w:rPr>
      </w:pPr>
    </w:p>
    <w:p>
      <w:pPr>
        <w:pStyle w:val="7"/>
        <w:ind w:left="0" w:leftChars="0" w:firstLine="0" w:firstLineChars="0"/>
        <w:rPr>
          <w:rFonts w:hint="eastAsia" w:ascii="黑体" w:hAnsi="宋体" w:eastAsia="黑体" w:cs="宋体"/>
          <w:color w:val="auto"/>
          <w:kern w:val="0"/>
          <w:sz w:val="28"/>
          <w:szCs w:val="28"/>
          <w:highlight w:val="none"/>
        </w:rPr>
      </w:pPr>
    </w:p>
    <w:p>
      <w:pPr>
        <w:pStyle w:val="7"/>
        <w:ind w:left="0" w:leftChars="0" w:firstLine="0" w:firstLineChars="0"/>
        <w:rPr>
          <w:rFonts w:hint="eastAsia" w:ascii="黑体" w:hAnsi="宋体" w:eastAsia="黑体" w:cs="宋体"/>
          <w:color w:val="auto"/>
          <w:kern w:val="0"/>
          <w:sz w:val="28"/>
          <w:szCs w:val="28"/>
          <w:highlight w:val="none"/>
        </w:rPr>
      </w:pPr>
    </w:p>
    <w:p>
      <w:pPr>
        <w:pStyle w:val="7"/>
        <w:ind w:left="0" w:leftChars="0" w:firstLine="0" w:firstLineChars="0"/>
        <w:rPr>
          <w:rFonts w:hint="eastAsia" w:ascii="黑体" w:hAnsi="宋体" w:eastAsia="黑体" w:cs="宋体"/>
          <w:color w:val="auto"/>
          <w:kern w:val="0"/>
          <w:sz w:val="28"/>
          <w:szCs w:val="28"/>
          <w:highlight w:val="none"/>
        </w:rPr>
      </w:pPr>
    </w:p>
    <w:p>
      <w:pPr>
        <w:pStyle w:val="7"/>
        <w:ind w:left="0" w:leftChars="0" w:firstLine="0" w:firstLineChars="0"/>
        <w:rPr>
          <w:rFonts w:hint="eastAsia" w:ascii="黑体" w:hAnsi="宋体" w:eastAsia="黑体" w:cs="宋体"/>
          <w:color w:val="auto"/>
          <w:kern w:val="0"/>
          <w:sz w:val="28"/>
          <w:szCs w:val="28"/>
          <w:highlight w:val="none"/>
        </w:rPr>
      </w:pPr>
    </w:p>
    <w:p>
      <w:pPr>
        <w:numPr>
          <w:ilvl w:val="0"/>
          <w:numId w:val="2"/>
        </w:num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 xml:space="preserve"> 名词解释</w:t>
      </w:r>
    </w:p>
    <w:p>
      <w:pPr>
        <w:pStyle w:val="7"/>
        <w:rPr>
          <w:rFonts w:hint="eastAsia" w:ascii="黑体" w:hAnsi="黑体" w:eastAsia="黑体" w:cs="黑体"/>
          <w:color w:val="auto"/>
          <w:sz w:val="48"/>
          <w:szCs w:val="48"/>
          <w:highlight w:val="none"/>
        </w:rPr>
      </w:pPr>
    </w:p>
    <w:p>
      <w:pPr>
        <w:pStyle w:val="7"/>
        <w:rPr>
          <w:rFonts w:hint="eastAsia" w:ascii="黑体" w:hAnsi="黑体" w:eastAsia="黑体" w:cs="黑体"/>
          <w:color w:val="auto"/>
          <w:sz w:val="48"/>
          <w:szCs w:val="48"/>
          <w:highlight w:val="none"/>
        </w:rPr>
      </w:pPr>
    </w:p>
    <w:p>
      <w:pPr>
        <w:pStyle w:val="7"/>
        <w:rPr>
          <w:rFonts w:hint="eastAsia" w:ascii="黑体" w:hAnsi="黑体" w:eastAsia="黑体" w:cs="黑体"/>
          <w:color w:val="auto"/>
          <w:sz w:val="48"/>
          <w:szCs w:val="48"/>
          <w:highlight w:val="none"/>
        </w:rPr>
      </w:pPr>
    </w:p>
    <w:p>
      <w:pPr>
        <w:pStyle w:val="7"/>
        <w:rPr>
          <w:rFonts w:hint="eastAsia" w:ascii="黑体" w:hAnsi="黑体" w:eastAsia="黑体" w:cs="黑体"/>
          <w:color w:val="auto"/>
          <w:sz w:val="48"/>
          <w:szCs w:val="48"/>
          <w:highlight w:val="none"/>
        </w:rPr>
      </w:pPr>
    </w:p>
    <w:p>
      <w:pPr>
        <w:pStyle w:val="7"/>
        <w:rPr>
          <w:rFonts w:hint="eastAsia" w:ascii="黑体" w:hAnsi="黑体" w:eastAsia="黑体" w:cs="黑体"/>
          <w:color w:val="auto"/>
          <w:sz w:val="48"/>
          <w:szCs w:val="48"/>
          <w:highlight w:val="none"/>
        </w:rPr>
      </w:pPr>
    </w:p>
    <w:p>
      <w:pPr>
        <w:pStyle w:val="7"/>
        <w:rPr>
          <w:rFonts w:hint="eastAsia" w:ascii="黑体" w:hAnsi="黑体" w:eastAsia="黑体" w:cs="黑体"/>
          <w:color w:val="auto"/>
          <w:sz w:val="48"/>
          <w:szCs w:val="48"/>
          <w:highlight w:val="none"/>
        </w:rPr>
      </w:pPr>
    </w:p>
    <w:p>
      <w:pPr>
        <w:pStyle w:val="7"/>
        <w:rPr>
          <w:rFonts w:hint="eastAsia" w:ascii="黑体" w:hAnsi="黑体" w:eastAsia="黑体" w:cs="黑体"/>
          <w:color w:val="auto"/>
          <w:sz w:val="48"/>
          <w:szCs w:val="48"/>
          <w:highlight w:val="none"/>
        </w:rPr>
      </w:pPr>
    </w:p>
    <w:p>
      <w:pPr>
        <w:pStyle w:val="7"/>
        <w:rPr>
          <w:rFonts w:hint="eastAsia" w:ascii="黑体" w:hAnsi="黑体" w:eastAsia="黑体" w:cs="黑体"/>
          <w:color w:val="auto"/>
          <w:sz w:val="48"/>
          <w:szCs w:val="48"/>
          <w:highlight w:val="none"/>
        </w:rPr>
      </w:pPr>
    </w:p>
    <w:p>
      <w:pPr>
        <w:pStyle w:val="7"/>
        <w:ind w:left="0" w:leftChars="0" w:firstLine="0" w:firstLineChars="0"/>
        <w:rPr>
          <w:rFonts w:hint="eastAsia" w:ascii="黑体" w:hAnsi="黑体" w:eastAsia="黑体" w:cs="黑体"/>
          <w:color w:val="auto"/>
          <w:sz w:val="48"/>
          <w:szCs w:val="48"/>
          <w:highlight w:val="none"/>
        </w:r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9F01B"/>
    <w:multiLevelType w:val="singleLevel"/>
    <w:tmpl w:val="EE39F01B"/>
    <w:lvl w:ilvl="0" w:tentative="0">
      <w:start w:val="4"/>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436B2B"/>
    <w:rsid w:val="01DC6F05"/>
    <w:rsid w:val="02A3489A"/>
    <w:rsid w:val="02CA138D"/>
    <w:rsid w:val="033646FC"/>
    <w:rsid w:val="0370259D"/>
    <w:rsid w:val="03C75F80"/>
    <w:rsid w:val="04523272"/>
    <w:rsid w:val="0478364D"/>
    <w:rsid w:val="053D4C0D"/>
    <w:rsid w:val="0557532E"/>
    <w:rsid w:val="062A345C"/>
    <w:rsid w:val="065C703A"/>
    <w:rsid w:val="06F8469B"/>
    <w:rsid w:val="0799329C"/>
    <w:rsid w:val="07DE071F"/>
    <w:rsid w:val="08397436"/>
    <w:rsid w:val="086F16A7"/>
    <w:rsid w:val="0A0F7225"/>
    <w:rsid w:val="0A2B7D82"/>
    <w:rsid w:val="0A8455AD"/>
    <w:rsid w:val="0ADC40E9"/>
    <w:rsid w:val="0AE607F4"/>
    <w:rsid w:val="0B386127"/>
    <w:rsid w:val="0B451598"/>
    <w:rsid w:val="0BEC73F4"/>
    <w:rsid w:val="0C14619B"/>
    <w:rsid w:val="0C392698"/>
    <w:rsid w:val="10BD36F6"/>
    <w:rsid w:val="11BF0649"/>
    <w:rsid w:val="123E3E08"/>
    <w:rsid w:val="12BA3BA4"/>
    <w:rsid w:val="133212F4"/>
    <w:rsid w:val="13D22E22"/>
    <w:rsid w:val="1525798D"/>
    <w:rsid w:val="156F53E5"/>
    <w:rsid w:val="15865383"/>
    <w:rsid w:val="161C2DFF"/>
    <w:rsid w:val="16373578"/>
    <w:rsid w:val="169F551D"/>
    <w:rsid w:val="16D3336B"/>
    <w:rsid w:val="17200028"/>
    <w:rsid w:val="17806C36"/>
    <w:rsid w:val="17A74F62"/>
    <w:rsid w:val="18A47774"/>
    <w:rsid w:val="1A8D28EB"/>
    <w:rsid w:val="1A9F2D78"/>
    <w:rsid w:val="1B2E6FD8"/>
    <w:rsid w:val="1B877D21"/>
    <w:rsid w:val="1C4319A9"/>
    <w:rsid w:val="1E130D2A"/>
    <w:rsid w:val="1E443B4B"/>
    <w:rsid w:val="1E994F4A"/>
    <w:rsid w:val="1EAF0224"/>
    <w:rsid w:val="1F2230A4"/>
    <w:rsid w:val="20210932"/>
    <w:rsid w:val="202448E0"/>
    <w:rsid w:val="20F614FE"/>
    <w:rsid w:val="21302EEA"/>
    <w:rsid w:val="21E65D2C"/>
    <w:rsid w:val="21FC7CC7"/>
    <w:rsid w:val="22376FB5"/>
    <w:rsid w:val="22861DA0"/>
    <w:rsid w:val="23215C4E"/>
    <w:rsid w:val="23E152D7"/>
    <w:rsid w:val="23EE2489"/>
    <w:rsid w:val="24EC4023"/>
    <w:rsid w:val="255D43C8"/>
    <w:rsid w:val="26714EF8"/>
    <w:rsid w:val="26876BDD"/>
    <w:rsid w:val="268D72DB"/>
    <w:rsid w:val="270E597B"/>
    <w:rsid w:val="2714632A"/>
    <w:rsid w:val="27541E73"/>
    <w:rsid w:val="27B0539E"/>
    <w:rsid w:val="280C22E7"/>
    <w:rsid w:val="284B72B3"/>
    <w:rsid w:val="28951274"/>
    <w:rsid w:val="29365CF8"/>
    <w:rsid w:val="299469B3"/>
    <w:rsid w:val="2A805789"/>
    <w:rsid w:val="2ADC0D75"/>
    <w:rsid w:val="2B4A0E52"/>
    <w:rsid w:val="2BF44157"/>
    <w:rsid w:val="2C975890"/>
    <w:rsid w:val="2DEF21BB"/>
    <w:rsid w:val="2E4A2F05"/>
    <w:rsid w:val="2ECC1061"/>
    <w:rsid w:val="2FA476AD"/>
    <w:rsid w:val="303F7540"/>
    <w:rsid w:val="30C129C1"/>
    <w:rsid w:val="31DD00BF"/>
    <w:rsid w:val="32334ED4"/>
    <w:rsid w:val="324A4137"/>
    <w:rsid w:val="3293174C"/>
    <w:rsid w:val="32BB38D4"/>
    <w:rsid w:val="32C9376D"/>
    <w:rsid w:val="33780472"/>
    <w:rsid w:val="33AF0905"/>
    <w:rsid w:val="348B1120"/>
    <w:rsid w:val="355932F4"/>
    <w:rsid w:val="35611882"/>
    <w:rsid w:val="360C62D3"/>
    <w:rsid w:val="36746FC3"/>
    <w:rsid w:val="368763AE"/>
    <w:rsid w:val="395D59E7"/>
    <w:rsid w:val="39A93932"/>
    <w:rsid w:val="3A567C8C"/>
    <w:rsid w:val="3A915562"/>
    <w:rsid w:val="3B8D4765"/>
    <w:rsid w:val="3C000DBA"/>
    <w:rsid w:val="3DC045D3"/>
    <w:rsid w:val="3E504FFB"/>
    <w:rsid w:val="3E615CD0"/>
    <w:rsid w:val="3E9C47F6"/>
    <w:rsid w:val="3F4E7B31"/>
    <w:rsid w:val="3F6525B0"/>
    <w:rsid w:val="3F8B0112"/>
    <w:rsid w:val="3FAB3095"/>
    <w:rsid w:val="3FE45947"/>
    <w:rsid w:val="41242965"/>
    <w:rsid w:val="414E27DD"/>
    <w:rsid w:val="435671EA"/>
    <w:rsid w:val="440809E9"/>
    <w:rsid w:val="442374B8"/>
    <w:rsid w:val="442407A6"/>
    <w:rsid w:val="446A2417"/>
    <w:rsid w:val="44805EA1"/>
    <w:rsid w:val="45710696"/>
    <w:rsid w:val="46142B1B"/>
    <w:rsid w:val="46B25BC1"/>
    <w:rsid w:val="477737C9"/>
    <w:rsid w:val="47E60DD0"/>
    <w:rsid w:val="48735039"/>
    <w:rsid w:val="492C684B"/>
    <w:rsid w:val="49500594"/>
    <w:rsid w:val="49E7604E"/>
    <w:rsid w:val="4A783AE0"/>
    <w:rsid w:val="4ACD0ED9"/>
    <w:rsid w:val="4BF67CDD"/>
    <w:rsid w:val="4D173441"/>
    <w:rsid w:val="4D603DD6"/>
    <w:rsid w:val="4D9E1AAF"/>
    <w:rsid w:val="4EBF010F"/>
    <w:rsid w:val="4F471EB0"/>
    <w:rsid w:val="51331326"/>
    <w:rsid w:val="51740A7F"/>
    <w:rsid w:val="51A5541E"/>
    <w:rsid w:val="51C30723"/>
    <w:rsid w:val="51C96242"/>
    <w:rsid w:val="53906AE1"/>
    <w:rsid w:val="54F46F60"/>
    <w:rsid w:val="55A37BEA"/>
    <w:rsid w:val="56362CD2"/>
    <w:rsid w:val="56811F6E"/>
    <w:rsid w:val="5784687B"/>
    <w:rsid w:val="57846959"/>
    <w:rsid w:val="578E6A87"/>
    <w:rsid w:val="59FF2A2E"/>
    <w:rsid w:val="5AC2203A"/>
    <w:rsid w:val="5C921833"/>
    <w:rsid w:val="5CBB3334"/>
    <w:rsid w:val="5D115FAF"/>
    <w:rsid w:val="5D50269A"/>
    <w:rsid w:val="5E9B0A51"/>
    <w:rsid w:val="60144AA9"/>
    <w:rsid w:val="6042276E"/>
    <w:rsid w:val="62811722"/>
    <w:rsid w:val="62E75A72"/>
    <w:rsid w:val="62F47319"/>
    <w:rsid w:val="63960CD7"/>
    <w:rsid w:val="64571880"/>
    <w:rsid w:val="649125B6"/>
    <w:rsid w:val="64F96500"/>
    <w:rsid w:val="652F4C1A"/>
    <w:rsid w:val="666D37F1"/>
    <w:rsid w:val="66BB0B84"/>
    <w:rsid w:val="67087D8F"/>
    <w:rsid w:val="671F687E"/>
    <w:rsid w:val="67F415F8"/>
    <w:rsid w:val="682640D1"/>
    <w:rsid w:val="684B73E5"/>
    <w:rsid w:val="688F051A"/>
    <w:rsid w:val="68D403D6"/>
    <w:rsid w:val="696F20FA"/>
    <w:rsid w:val="6A047A2A"/>
    <w:rsid w:val="6EFB7548"/>
    <w:rsid w:val="6F2D283B"/>
    <w:rsid w:val="6F3831C3"/>
    <w:rsid w:val="6F7F73E4"/>
    <w:rsid w:val="6F8B71C1"/>
    <w:rsid w:val="70753482"/>
    <w:rsid w:val="707B522A"/>
    <w:rsid w:val="70D31ABE"/>
    <w:rsid w:val="72345C8F"/>
    <w:rsid w:val="72725974"/>
    <w:rsid w:val="729A01E8"/>
    <w:rsid w:val="73194D05"/>
    <w:rsid w:val="73A83B0E"/>
    <w:rsid w:val="743F6FB9"/>
    <w:rsid w:val="744D3EF9"/>
    <w:rsid w:val="74794411"/>
    <w:rsid w:val="75867C40"/>
    <w:rsid w:val="75B10B26"/>
    <w:rsid w:val="76432199"/>
    <w:rsid w:val="76F44829"/>
    <w:rsid w:val="77A267C0"/>
    <w:rsid w:val="78882278"/>
    <w:rsid w:val="78B118A6"/>
    <w:rsid w:val="79135044"/>
    <w:rsid w:val="792F0F5E"/>
    <w:rsid w:val="7A7D0F99"/>
    <w:rsid w:val="7C09004F"/>
    <w:rsid w:val="7C2D3E7B"/>
    <w:rsid w:val="7C593B46"/>
    <w:rsid w:val="7D5BEE89"/>
    <w:rsid w:val="7E4A0E7C"/>
    <w:rsid w:val="7EFD449D"/>
    <w:rsid w:val="7F3DBDB1"/>
    <w:rsid w:val="A7FF58D1"/>
    <w:rsid w:val="ADDF01A1"/>
    <w:rsid w:val="B7B37DBB"/>
    <w:rsid w:val="BA5DBDA1"/>
    <w:rsid w:val="EFBF0B6C"/>
    <w:rsid w:val="FBFD857B"/>
    <w:rsid w:val="FCFF83C1"/>
    <w:rsid w:val="FF7674F2"/>
    <w:rsid w:val="FFF4D318"/>
    <w:rsid w:val="FFF938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ody Text"/>
    <w:basedOn w:val="1"/>
    <w:next w:val="1"/>
    <w:qFormat/>
    <w:uiPriority w:val="0"/>
    <w:pPr>
      <w:spacing w:after="120" w:afterLines="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420" w:firstLineChars="1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批注框文本 Char"/>
    <w:link w:val="4"/>
    <w:semiHidden/>
    <w:qFormat/>
    <w:uiPriority w:val="99"/>
    <w:rPr>
      <w:kern w:val="2"/>
      <w:sz w:val="18"/>
      <w:szCs w:val="1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99"/>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5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8299</Words>
  <Characters>9974</Characters>
  <Lines>60</Lines>
  <Paragraphs>16</Paragraphs>
  <TotalTime>2</TotalTime>
  <ScaleCrop>false</ScaleCrop>
  <LinksUpToDate>false</LinksUpToDate>
  <CharactersWithSpaces>10314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2007-12-01T11:41:00Z</dcterms:created>
  <dc:creator>管理者</dc:creator>
  <cp:lastModifiedBy>Administrator</cp:lastModifiedBy>
  <cp:lastPrinted>2018-07-26T18:50:00Z</cp:lastPrinted>
  <dcterms:modified xsi:type="dcterms:W3CDTF">2023-05-19T02:26:50Z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93AECD6D788B4385BD67D5D1D276CBC2</vt:lpwstr>
  </property>
</Properties>
</file>