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中共许昌市委老干部局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中共许昌市委老干部局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中共许昌市委老干部局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（一）贯彻落实党中央、国务院及省、市关于老干部工作的方针、政策和规定。</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（二）做好老干部的医疗保健工作，参与研究制定老干部医疗保健工作的规定和办法。</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（三）做好外地老干部来许参观考察的接待和我市老干部外出参观、考察、慰问看望等活动的组织服务工作。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（四）管理市干休所、市老干部活动中心、市老干部大学、市关心下一代委员会办公室。</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中共许昌市委老干部局内设机构4个，包括：办公室、市直工作科、研究室、医疗保健和待遇落实科。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中共许昌市委老干部局部门决算包括：本级决算（1个）、所属单位决算（3个）</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本决算为汇总决算，纳入本部门2021年度部门决算编制范围的单位共4个，其中二级预算单位3个，具体是：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1.中共许昌市委老干部局（本级）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2.许昌市关心下一代工作委员会教育指导中心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3.许昌市老干部活动中心</w:t>
      </w:r>
    </w:p>
    <w:p>
      <w:pPr>
        <w:widowControl/>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4.许昌市干部休养所</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36"/>
        <w:gridCol w:w="656"/>
        <w:gridCol w:w="1096"/>
        <w:gridCol w:w="3516"/>
        <w:gridCol w:w="656"/>
        <w:gridCol w:w="4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848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3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
        <w:gridCol w:w="267"/>
        <w:gridCol w:w="641"/>
        <w:gridCol w:w="3836"/>
        <w:gridCol w:w="1738"/>
        <w:gridCol w:w="1159"/>
        <w:gridCol w:w="1313"/>
        <w:gridCol w:w="1213"/>
        <w:gridCol w:w="1173"/>
        <w:gridCol w:w="1296"/>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5"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9"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17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7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1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3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2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2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8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1,124.06</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1,124.06</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882.22</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882.22</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857.26</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857.26</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538.29</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538.29</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318.97</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318.97</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23.10</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23.10</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23.10</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23.10</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221.71</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221.71</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181.84</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181.84</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152.96</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152.96</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28.88</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28.88</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11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0"/>
        <w:gridCol w:w="260"/>
        <w:gridCol w:w="602"/>
        <w:gridCol w:w="3512"/>
        <w:gridCol w:w="1619"/>
        <w:gridCol w:w="1227"/>
        <w:gridCol w:w="1347"/>
        <w:gridCol w:w="1721"/>
        <w:gridCol w:w="1228"/>
        <w:gridCol w:w="2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0"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0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1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4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0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34"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161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4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0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3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72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2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51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3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2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3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1,235.56</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895.03</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340.53</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979.96</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660.03</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319.93</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954.11</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634.18</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319.93</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613.43</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613.43</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340.68</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20.75</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319.93</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235.48</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214.88</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194.45</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194.45</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163.24</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163.24</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31.21</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31.21</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5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1"/>
        <w:gridCol w:w="512"/>
        <w:gridCol w:w="1074"/>
        <w:gridCol w:w="2591"/>
        <w:gridCol w:w="553"/>
        <w:gridCol w:w="1246"/>
        <w:gridCol w:w="1398"/>
        <w:gridCol w:w="173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39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221"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51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9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5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trPr>
        <w:tc>
          <w:tcPr>
            <w:tcW w:w="3221"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51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9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5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480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17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25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6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1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53"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1,124.06</w:t>
            </w: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979.96</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979.96</w:t>
            </w: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235.48</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235.48</w:t>
            </w: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1,124.06</w:t>
            </w: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111.50</w:t>
            </w: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111.50</w:t>
            </w:r>
          </w:p>
        </w:tc>
        <w:tc>
          <w:tcPr>
            <w:tcW w:w="259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9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2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1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25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13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1,235.56</w:t>
            </w:r>
          </w:p>
        </w:tc>
        <w:tc>
          <w:tcPr>
            <w:tcW w:w="1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398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222"/>
        <w:gridCol w:w="3956"/>
        <w:gridCol w:w="1379"/>
        <w:gridCol w:w="1140"/>
        <w:gridCol w:w="4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74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2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1,235.56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895.03</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340.5</w:t>
            </w:r>
            <w:r>
              <w:rPr>
                <w:rFonts w:hint="eastAsia" w:ascii="宋体" w:hAnsi="宋体" w:cs="宋体"/>
                <w:b/>
                <w:bCs/>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979.96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660.03</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w:t>
            </w:r>
            <w:r>
              <w:rPr>
                <w:rFonts w:hint="eastAsia" w:ascii="宋体" w:hAnsi="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634.18</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w:t>
            </w:r>
            <w:r>
              <w:rPr>
                <w:rFonts w:hint="eastAsia" w:ascii="宋体" w:hAnsi="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613.43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613.43</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20.75</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319.9</w:t>
            </w:r>
            <w:r>
              <w:rPr>
                <w:rFonts w:hint="eastAsia" w:ascii="宋体" w:hAnsi="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23.99</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214.88</w:t>
            </w: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194.45</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163.24</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31.21</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9.92</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4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966"/>
        <w:gridCol w:w="961"/>
        <w:gridCol w:w="795"/>
        <w:gridCol w:w="2045"/>
        <w:gridCol w:w="918"/>
        <w:gridCol w:w="821"/>
        <w:gridCol w:w="3665"/>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96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8"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96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0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557.52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141.21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139.96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222.17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9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9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31.47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19.98</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17.22</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6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18.19</w:t>
            </w:r>
          </w:p>
        </w:tc>
        <w:tc>
          <w:tcPr>
            <w:tcW w:w="8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6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9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6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8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82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6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6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753.46</w:t>
            </w:r>
          </w:p>
        </w:tc>
        <w:tc>
          <w:tcPr>
            <w:tcW w:w="8244"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9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6"/>
        <w:gridCol w:w="1330"/>
        <w:gridCol w:w="954"/>
        <w:gridCol w:w="1159"/>
        <w:gridCol w:w="1143"/>
        <w:gridCol w:w="1448"/>
        <w:gridCol w:w="955"/>
        <w:gridCol w:w="1125"/>
        <w:gridCol w:w="903"/>
        <w:gridCol w:w="1125"/>
        <w:gridCol w:w="1313"/>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7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3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4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0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8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612" w:type="dxa"/>
            <w:gridSpan w:val="5"/>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144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0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0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71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5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4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4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4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14.74</w:t>
            </w:r>
          </w:p>
        </w:tc>
        <w:tc>
          <w:tcPr>
            <w:tcW w:w="13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8.44</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9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12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7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222"/>
        <w:gridCol w:w="1096"/>
        <w:gridCol w:w="1432"/>
        <w:gridCol w:w="1432"/>
        <w:gridCol w:w="1432"/>
        <w:gridCol w:w="1432"/>
        <w:gridCol w:w="1432"/>
        <w:gridCol w:w="2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部门：中共许昌市委老干部局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29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4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4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4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4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4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1235.56</w:t>
      </w:r>
      <w:r>
        <w:rPr>
          <w:rFonts w:hint="eastAsia" w:ascii="仿宋_GB2312" w:hAnsi="仿宋_GB2312" w:eastAsia="仿宋_GB2312" w:cs="仿宋_GB2312"/>
          <w:color w:val="auto"/>
          <w:sz w:val="32"/>
          <w:szCs w:val="32"/>
          <w:highlight w:val="none"/>
        </w:rPr>
        <w:t>万元。与上年度相比，收、支总计各</w:t>
      </w:r>
      <w:r>
        <w:rPr>
          <w:rFonts w:hint="eastAsia" w:ascii="仿宋_GB2312" w:hAnsi="仿宋_GB2312" w:eastAsia="仿宋_GB2312"/>
          <w:color w:val="auto"/>
          <w:sz w:val="32"/>
          <w:szCs w:val="24"/>
          <w:highlight w:val="none"/>
        </w:rPr>
        <w:t>增加151.74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olor w:val="auto"/>
          <w:sz w:val="32"/>
          <w:szCs w:val="24"/>
          <w:highlight w:val="none"/>
        </w:rPr>
        <w:t>增长1</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s="仿宋_GB2312"/>
          <w:color w:val="auto"/>
          <w:sz w:val="32"/>
          <w:szCs w:val="32"/>
          <w:highlight w:val="none"/>
        </w:rPr>
        <w:t>%。主要原因是职级晋升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晋级晋档</w:t>
      </w:r>
      <w:r>
        <w:rPr>
          <w:rFonts w:hint="eastAsia" w:ascii="仿宋_GB2312" w:hAnsi="仿宋_GB2312" w:eastAsia="仿宋_GB2312" w:cs="仿宋_GB2312"/>
          <w:color w:val="auto"/>
          <w:sz w:val="32"/>
          <w:szCs w:val="32"/>
          <w:highlight w:val="none"/>
          <w:lang w:eastAsia="zh-CN"/>
        </w:rPr>
        <w:t>等导致人员经费增加，</w:t>
      </w:r>
      <w:r>
        <w:rPr>
          <w:rFonts w:hint="eastAsia" w:ascii="仿宋_GB2312" w:hAnsi="仿宋_GB2312" w:eastAsia="仿宋_GB2312" w:cs="仿宋_GB2312"/>
          <w:color w:val="auto"/>
          <w:sz w:val="32"/>
          <w:szCs w:val="32"/>
          <w:highlight w:val="none"/>
          <w:lang w:val="en-US" w:eastAsia="zh-CN"/>
        </w:rPr>
        <w:t>新建老年大学建设追加项目经费支出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lang w:val="en-US"/>
        </w:rPr>
        <w:t>1124.06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lang w:val="en-US"/>
        </w:rPr>
        <w:t>1124.06</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上级补助收入0万元；事业收入0万元；经营收入0万元；附属单位上缴收入0万元；其他收入0万元</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olor w:val="auto"/>
          <w:sz w:val="32"/>
          <w:szCs w:val="24"/>
          <w:highlight w:val="none"/>
          <w:lang w:val="en-US"/>
        </w:rPr>
        <w:t>1235.56</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olor w:val="auto"/>
          <w:sz w:val="32"/>
          <w:szCs w:val="24"/>
          <w:highlight w:val="none"/>
          <w:lang w:val="en-US"/>
        </w:rPr>
        <w:t>895.03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72.44</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olor w:val="auto"/>
          <w:sz w:val="32"/>
          <w:szCs w:val="24"/>
          <w:highlight w:val="none"/>
          <w:lang w:val="en-US"/>
        </w:rPr>
        <w:t>340.53万元，占27.56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上缴上级支出0万元；经营支出0万元；对附属单位补助支出0万元</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1235.56</w:t>
      </w:r>
      <w:r>
        <w:rPr>
          <w:rFonts w:hint="eastAsia" w:ascii="仿宋_GB2312" w:hAnsi="仿宋_GB2312" w:eastAsia="仿宋_GB2312" w:cs="仿宋_GB2312"/>
          <w:color w:val="auto"/>
          <w:sz w:val="32"/>
          <w:szCs w:val="32"/>
          <w:highlight w:val="none"/>
        </w:rPr>
        <w:t>万元。与上年度相比，财政拨款收、支总计各</w:t>
      </w:r>
      <w:r>
        <w:rPr>
          <w:rFonts w:hint="eastAsia" w:ascii="仿宋_GB2312" w:hAnsi="仿宋_GB2312" w:eastAsia="仿宋_GB2312"/>
          <w:color w:val="auto"/>
          <w:sz w:val="32"/>
          <w:szCs w:val="24"/>
          <w:highlight w:val="none"/>
        </w:rPr>
        <w:t>增加</w:t>
      </w:r>
      <w:r>
        <w:rPr>
          <w:rFonts w:hint="eastAsia" w:ascii="仿宋_GB2312" w:hAnsi="仿宋_GB2312" w:eastAsia="仿宋_GB2312"/>
          <w:color w:val="auto"/>
          <w:sz w:val="32"/>
          <w:szCs w:val="24"/>
          <w:highlight w:val="none"/>
          <w:lang w:val="en-US"/>
        </w:rPr>
        <w:t>151.74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olor w:val="auto"/>
          <w:sz w:val="32"/>
          <w:szCs w:val="24"/>
          <w:highlight w:val="none"/>
        </w:rPr>
        <w:t>增长</w:t>
      </w:r>
      <w:r>
        <w:rPr>
          <w:rFonts w:hint="eastAsia" w:ascii="仿宋_GB2312" w:hAnsi="仿宋_GB2312" w:eastAsia="仿宋_GB2312"/>
          <w:color w:val="auto"/>
          <w:sz w:val="32"/>
          <w:szCs w:val="24"/>
          <w:highlight w:val="none"/>
          <w:lang w:val="en-US"/>
        </w:rPr>
        <w:t>14</w:t>
      </w:r>
      <w:r>
        <w:rPr>
          <w:rFonts w:hint="eastAsia" w:ascii="仿宋_GB2312" w:hAnsi="仿宋_GB2312" w:eastAsia="仿宋_GB2312" w:cs="仿宋_GB2312"/>
          <w:color w:val="auto"/>
          <w:sz w:val="32"/>
          <w:szCs w:val="32"/>
          <w:highlight w:val="none"/>
        </w:rPr>
        <w:t>%。主要原因是职级晋升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晋级晋档</w:t>
      </w:r>
      <w:r>
        <w:rPr>
          <w:rFonts w:hint="eastAsia" w:ascii="仿宋_GB2312" w:hAnsi="仿宋_GB2312" w:eastAsia="仿宋_GB2312" w:cs="仿宋_GB2312"/>
          <w:color w:val="auto"/>
          <w:sz w:val="32"/>
          <w:szCs w:val="32"/>
          <w:highlight w:val="none"/>
          <w:lang w:eastAsia="zh-CN"/>
        </w:rPr>
        <w:t>等导致人员经费增加，</w:t>
      </w:r>
      <w:r>
        <w:rPr>
          <w:rFonts w:hint="eastAsia" w:ascii="仿宋_GB2312" w:hAnsi="仿宋_GB2312" w:eastAsia="仿宋_GB2312" w:cs="仿宋_GB2312"/>
          <w:color w:val="auto"/>
          <w:sz w:val="32"/>
          <w:szCs w:val="32"/>
          <w:highlight w:val="none"/>
          <w:lang w:val="en-US" w:eastAsia="zh-CN"/>
        </w:rPr>
        <w:t>新建老年大学建设追加项目经费支出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1235.56</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olor w:val="auto"/>
          <w:sz w:val="32"/>
          <w:szCs w:val="24"/>
          <w:highlight w:val="none"/>
          <w:lang w:val="en-US"/>
        </w:rPr>
        <w:t>292.16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lang w:val="en-US"/>
        </w:rPr>
        <w:t>30.97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年中</w:t>
      </w:r>
      <w:r>
        <w:rPr>
          <w:rFonts w:hint="eastAsia" w:ascii="仿宋_GB2312" w:hAnsi="仿宋_GB2312" w:eastAsia="仿宋_GB2312" w:cs="仿宋_GB2312"/>
          <w:color w:val="auto"/>
          <w:sz w:val="32"/>
          <w:szCs w:val="32"/>
          <w:highlight w:val="none"/>
          <w:lang w:val="en-US" w:eastAsia="zh-CN"/>
        </w:rPr>
        <w:t>追加项目经费，并使用上年结转项目经费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1235.56</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一般公共服务（类）支出979.96万元，占79.32%；社会保障和就业（类）支出235.48万元，占19.06%；卫生健康（类）支出20.13万元，占1.62%。</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w:t>
      </w:r>
      <w:r>
        <w:rPr>
          <w:rFonts w:hint="eastAsia" w:ascii="仿宋_GB2312" w:hAnsi="仿宋_GB2312" w:eastAsia="仿宋_GB2312"/>
          <w:color w:val="auto"/>
          <w:sz w:val="32"/>
          <w:szCs w:val="24"/>
          <w:highlight w:val="none"/>
          <w:lang w:val="en-US"/>
        </w:rPr>
        <w:t>810.1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olor w:val="auto"/>
          <w:sz w:val="32"/>
          <w:szCs w:val="24"/>
          <w:highlight w:val="none"/>
          <w:lang w:val="en-US"/>
        </w:rPr>
        <w:t>1235.56</w:t>
      </w:r>
      <w:r>
        <w:rPr>
          <w:rFonts w:hint="eastAsia"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olor w:val="auto"/>
          <w:sz w:val="32"/>
          <w:szCs w:val="24"/>
          <w:highlight w:val="none"/>
          <w:lang w:val="en-US"/>
        </w:rPr>
        <w:t>152.52</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shd w:val="clear" w:color="FFFFFF" w:fill="D9D9D9"/>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shd w:val="clear" w:color="auto" w:fill="auto"/>
          <w:lang w:val="en-US" w:eastAsia="zh-CN"/>
        </w:rPr>
        <w:t>（类）政府办公厅（室）及相关机构事务（款）行政运行（项）。</w:t>
      </w:r>
      <w:r>
        <w:rPr>
          <w:rFonts w:hint="eastAsia" w:ascii="仿宋_GB2312" w:hAnsi="仿宋_GB2312" w:eastAsia="仿宋_GB2312" w:cs="仿宋_GB2312"/>
          <w:color w:val="auto"/>
          <w:sz w:val="32"/>
          <w:szCs w:val="32"/>
          <w:highlight w:val="none"/>
          <w:shd w:val="clear" w:color="auto" w:fill="auto"/>
          <w:lang w:val="en-US" w:eastAsia="zh-CN"/>
        </w:rPr>
        <w:t>年初预算为0万元，支出决算为0.34万元。决算数与年初预算数存在差异的主要原因是</w:t>
      </w:r>
      <w:r>
        <w:rPr>
          <w:rFonts w:hint="eastAsia" w:ascii="仿宋_GB2312" w:eastAsia="仿宋_GB2312"/>
          <w:color w:val="auto"/>
          <w:sz w:val="32"/>
          <w:szCs w:val="32"/>
          <w:highlight w:val="none"/>
          <w:lang w:eastAsia="zh-CN"/>
        </w:rPr>
        <w:t>预算当中没有安排，</w:t>
      </w:r>
      <w:r>
        <w:rPr>
          <w:rFonts w:hint="eastAsia" w:ascii="仿宋_GB2312" w:hAnsi="仿宋_GB2312" w:eastAsia="仿宋_GB2312" w:cs="仿宋_GB2312"/>
          <w:color w:val="auto"/>
          <w:sz w:val="32"/>
          <w:szCs w:val="32"/>
          <w:highlight w:val="none"/>
          <w:lang w:val="en-US" w:eastAsia="zh-CN"/>
        </w:rPr>
        <w:t>科目调整引起的变化</w:t>
      </w:r>
      <w:r>
        <w:rPr>
          <w:rFonts w:hint="eastAsia" w:ascii="仿宋_GB2312" w:eastAsia="仿宋_GB2312"/>
          <w:color w:val="auto"/>
          <w:sz w:val="32"/>
          <w:szCs w:val="32"/>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年初预算为1.52万元，支出决算为1.52万元，完成年初预算的100%。决算数与年初预算数不存在差异。</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shd w:val="clear" w:color="FFFFFF" w:fill="D9D9D9"/>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shd w:val="clear" w:color="auto" w:fill="auto"/>
          <w:lang w:val="en-US" w:eastAsia="zh-CN"/>
        </w:rPr>
        <w:t>（类）组织事务（款）行政运行（项）。</w:t>
      </w:r>
      <w:r>
        <w:rPr>
          <w:rFonts w:hint="eastAsia" w:ascii="仿宋_GB2312" w:hAnsi="仿宋_GB2312" w:eastAsia="仿宋_GB2312" w:cs="仿宋_GB2312"/>
          <w:color w:val="auto"/>
          <w:sz w:val="32"/>
          <w:szCs w:val="32"/>
          <w:highlight w:val="none"/>
          <w:shd w:val="clear" w:color="auto" w:fill="auto"/>
          <w:lang w:val="en-US" w:eastAsia="zh-CN"/>
        </w:rPr>
        <w:t>年初预算562.21万元，支出决算为613.43万元。</w:t>
      </w:r>
      <w:r>
        <w:rPr>
          <w:rFonts w:hint="eastAsia" w:ascii="仿宋_GB2312" w:hAnsi="仿宋_GB2312" w:eastAsia="仿宋_GB2312" w:cs="仿宋_GB2312"/>
          <w:color w:val="auto"/>
          <w:sz w:val="32"/>
          <w:szCs w:val="32"/>
          <w:highlight w:val="none"/>
          <w:lang w:val="en-US" w:eastAsia="zh-CN"/>
        </w:rPr>
        <w:t>完成年初预算的109.11%。</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决算数与年初预算数存在差异的主要原因是</w:t>
      </w:r>
      <w:r>
        <w:rPr>
          <w:rFonts w:hint="eastAsia" w:ascii="仿宋_GB2312" w:hAnsi="仿宋_GB2312" w:eastAsia="仿宋_GB2312" w:cs="仿宋_GB2312"/>
          <w:color w:val="auto"/>
          <w:sz w:val="32"/>
          <w:szCs w:val="32"/>
          <w:highlight w:val="none"/>
        </w:rPr>
        <w:t>职级晋升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晋级晋档</w:t>
      </w:r>
      <w:r>
        <w:rPr>
          <w:rFonts w:hint="eastAsia" w:ascii="仿宋_GB2312" w:hAnsi="仿宋_GB2312" w:eastAsia="仿宋_GB2312" w:cs="仿宋_GB2312"/>
          <w:color w:val="auto"/>
          <w:sz w:val="32"/>
          <w:szCs w:val="32"/>
          <w:highlight w:val="none"/>
          <w:lang w:eastAsia="zh-CN"/>
        </w:rPr>
        <w:t>等导致人员经费增加</w:t>
      </w:r>
      <w:r>
        <w:rPr>
          <w:rFonts w:hint="eastAsia" w:ascii="仿宋_GB2312" w:eastAsia="仿宋_GB2312"/>
          <w:color w:val="auto"/>
          <w:sz w:val="32"/>
          <w:szCs w:val="32"/>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一般公共服务支出（类）组织事务（款）一般行政管理事务（项）。</w:t>
      </w:r>
      <w:r>
        <w:rPr>
          <w:rFonts w:hint="eastAsia" w:ascii="仿宋_GB2312" w:hAnsi="仿宋_GB2312" w:eastAsia="仿宋_GB2312" w:cs="仿宋_GB2312"/>
          <w:color w:val="auto"/>
          <w:sz w:val="32"/>
          <w:szCs w:val="32"/>
          <w:highlight w:val="none"/>
          <w:lang w:val="en-US" w:eastAsia="zh-CN"/>
        </w:rPr>
        <w:t>年初预算为21.99万元，支出决算为340.68万元，</w:t>
      </w:r>
      <w:r>
        <w:rPr>
          <w:rFonts w:hint="eastAsia" w:ascii="仿宋_GB2312" w:eastAsia="仿宋_GB2312"/>
          <w:color w:val="auto"/>
          <w:sz w:val="32"/>
          <w:szCs w:val="32"/>
          <w:highlight w:val="none"/>
        </w:rPr>
        <w:t>完成年初预算</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lang w:val="en-US" w:eastAsia="zh-CN"/>
        </w:rPr>
        <w:t>1549.25</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color w:val="auto"/>
          <w:sz w:val="32"/>
          <w:szCs w:val="32"/>
          <w:highlight w:val="none"/>
          <w:shd w:val="clear" w:color="auto" w:fill="auto"/>
          <w:lang w:val="en-US" w:eastAsia="zh-CN"/>
        </w:rPr>
        <w:t>追加春节慰问、</w:t>
      </w:r>
      <w:r>
        <w:rPr>
          <w:rFonts w:hint="eastAsia" w:ascii="仿宋_GB2312" w:hAnsi="仿宋_GB2312" w:eastAsia="仿宋_GB2312" w:cs="仿宋_GB2312"/>
          <w:color w:val="auto"/>
          <w:sz w:val="32"/>
          <w:szCs w:val="32"/>
          <w:highlight w:val="none"/>
          <w:lang w:val="en-US" w:eastAsia="zh-CN"/>
        </w:rPr>
        <w:t>新建老年大学建设等项目经费支出</w:t>
      </w:r>
      <w:r>
        <w:rPr>
          <w:rFonts w:hint="eastAsia" w:ascii="仿宋_GB2312" w:eastAsia="仿宋_GB2312"/>
          <w:color w:val="auto"/>
          <w:sz w:val="32"/>
          <w:szCs w:val="32"/>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一般公共服务支出（类）其他共产党事务支出（款）行政运行（项）。</w:t>
      </w:r>
      <w:r>
        <w:rPr>
          <w:rFonts w:hint="eastAsia" w:ascii="仿宋_GB2312" w:hAnsi="仿宋_GB2312" w:eastAsia="仿宋_GB2312" w:cs="仿宋_GB2312"/>
          <w:color w:val="auto"/>
          <w:sz w:val="32"/>
          <w:szCs w:val="32"/>
          <w:highlight w:val="none"/>
          <w:lang w:val="en-US" w:eastAsia="zh-CN"/>
        </w:rPr>
        <w:t>年初预算为0万元，支出决算为23.99万元。决算数与年初预算数存在差异的主要原因是</w:t>
      </w:r>
      <w:r>
        <w:rPr>
          <w:rFonts w:hint="eastAsia" w:ascii="仿宋_GB2312" w:eastAsia="仿宋_GB2312"/>
          <w:color w:val="auto"/>
          <w:sz w:val="32"/>
          <w:szCs w:val="32"/>
          <w:highlight w:val="none"/>
          <w:lang w:eastAsia="zh-CN"/>
        </w:rPr>
        <w:t>年中追加项目经费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宋体" w:eastAsia="仿宋_GB2312" w:cs="Courier New"/>
          <w:b/>
          <w:bCs/>
          <w:color w:val="auto"/>
          <w:sz w:val="32"/>
          <w:szCs w:val="32"/>
          <w:highlight w:val="none"/>
          <w:lang w:val="en-US" w:eastAsia="zh-CN"/>
        </w:rPr>
        <w:t>社会</w:t>
      </w:r>
      <w:r>
        <w:rPr>
          <w:rFonts w:hint="eastAsia" w:ascii="仿宋_GB2312" w:hAnsi="宋体" w:eastAsia="仿宋_GB2312" w:cs="Courier New"/>
          <w:b/>
          <w:bCs/>
          <w:color w:val="auto"/>
          <w:sz w:val="32"/>
          <w:szCs w:val="32"/>
          <w:highlight w:val="none"/>
        </w:rPr>
        <w:t>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color w:val="auto"/>
          <w:sz w:val="32"/>
          <w:szCs w:val="32"/>
          <w:highlight w:val="none"/>
        </w:rPr>
        <w:t>（类）</w:t>
      </w:r>
      <w:r>
        <w:rPr>
          <w:rFonts w:hint="eastAsia" w:ascii="仿宋_GB2312" w:eastAsia="仿宋_GB2312"/>
          <w:b/>
          <w:color w:val="auto"/>
          <w:sz w:val="32"/>
          <w:szCs w:val="32"/>
          <w:highlight w:val="none"/>
        </w:rPr>
        <w:t>行政事业单位</w:t>
      </w:r>
      <w:r>
        <w:rPr>
          <w:rFonts w:hint="eastAsia" w:ascii="仿宋_GB2312" w:eastAsia="仿宋_GB2312"/>
          <w:b/>
          <w:color w:val="auto"/>
          <w:sz w:val="32"/>
          <w:szCs w:val="32"/>
          <w:highlight w:val="none"/>
          <w:lang w:val="en-US" w:eastAsia="zh-CN"/>
        </w:rPr>
        <w:t>养老支出</w:t>
      </w:r>
      <w:r>
        <w:rPr>
          <w:rFonts w:hint="eastAsia" w:ascii="仿宋_GB2312" w:eastAsia="仿宋_GB2312"/>
          <w:b/>
          <w:color w:val="auto"/>
          <w:sz w:val="32"/>
          <w:szCs w:val="32"/>
          <w:highlight w:val="none"/>
        </w:rPr>
        <w:t>（款）行政单位离退休（项）。</w:t>
      </w:r>
      <w:r>
        <w:rPr>
          <w:rFonts w:hint="eastAsia" w:ascii="仿宋_GB2312"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157.37</w:t>
      </w:r>
      <w:r>
        <w:rPr>
          <w:rFonts w:hint="eastAsia" w:ascii="仿宋_GB2312" w:eastAsia="仿宋_GB2312"/>
          <w:color w:val="auto"/>
          <w:sz w:val="32"/>
          <w:szCs w:val="32"/>
          <w:highlight w:val="none"/>
        </w:rPr>
        <w:t>万元，支出决算为</w:t>
      </w:r>
      <w:r>
        <w:rPr>
          <w:rFonts w:hint="eastAsia" w:ascii="仿宋_GB2312" w:hAnsi="仿宋_GB2312" w:eastAsia="仿宋_GB2312" w:cs="仿宋_GB2312"/>
          <w:color w:val="auto"/>
          <w:sz w:val="32"/>
          <w:szCs w:val="32"/>
          <w:highlight w:val="none"/>
          <w:shd w:val="clear" w:color="auto" w:fill="auto"/>
          <w:lang w:val="en-US" w:eastAsia="zh-CN"/>
        </w:rPr>
        <w:t>163.24</w:t>
      </w:r>
      <w:r>
        <w:rPr>
          <w:rFonts w:hint="eastAsia" w:ascii="仿宋_GB2312" w:eastAsia="仿宋_GB2312"/>
          <w:color w:val="auto"/>
          <w:sz w:val="32"/>
          <w:szCs w:val="32"/>
          <w:highlight w:val="none"/>
        </w:rPr>
        <w:t>万元，完成年初预算</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lang w:val="en-US" w:eastAsia="zh-CN"/>
        </w:rPr>
        <w:t>103.73</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ascii="仿宋_GB2312" w:eastAsia="仿宋_GB2312"/>
          <w:color w:val="auto"/>
          <w:sz w:val="32"/>
          <w:szCs w:val="32"/>
          <w:highlight w:val="none"/>
        </w:rPr>
        <w:t>的主要原因</w:t>
      </w:r>
      <w:r>
        <w:rPr>
          <w:rFonts w:hint="eastAsia" w:ascii="仿宋_GB2312" w:eastAsia="仿宋_GB2312"/>
          <w:color w:val="auto"/>
          <w:sz w:val="32"/>
          <w:szCs w:val="32"/>
          <w:highlight w:val="none"/>
          <w:lang w:eastAsia="zh-CN"/>
        </w:rPr>
        <w:t>是离退休人员的文明奖、年度健康休养费、平时健康休养费等奖金增加；</w:t>
      </w:r>
      <w:r>
        <w:rPr>
          <w:rFonts w:hint="eastAsia" w:ascii="仿宋_GB2312" w:hAnsi="仿宋_GB2312" w:eastAsia="仿宋_GB2312" w:cs="仿宋_GB2312"/>
          <w:color w:val="auto"/>
          <w:sz w:val="32"/>
          <w:szCs w:val="32"/>
          <w:highlight w:val="none"/>
          <w:lang w:eastAsia="zh-CN"/>
        </w:rPr>
        <w:t>新增退休人员。</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Courier New"/>
          <w:b/>
          <w:bCs/>
          <w:color w:val="auto"/>
          <w:sz w:val="32"/>
          <w:szCs w:val="32"/>
          <w:highlight w:val="none"/>
          <w:lang w:val="en-US" w:eastAsia="zh-CN"/>
        </w:rPr>
        <w:t>7.</w:t>
      </w:r>
      <w:r>
        <w:rPr>
          <w:rFonts w:hint="eastAsia" w:ascii="仿宋_GB2312" w:hAnsi="宋体" w:eastAsia="仿宋_GB2312" w:cs="Courier New"/>
          <w:b/>
          <w:bCs/>
          <w:color w:val="auto"/>
          <w:sz w:val="32"/>
          <w:szCs w:val="32"/>
          <w:highlight w:val="none"/>
          <w:lang w:val="en-US" w:eastAsia="zh-CN"/>
        </w:rPr>
        <w:t>社会</w:t>
      </w:r>
      <w:r>
        <w:rPr>
          <w:rFonts w:hint="eastAsia" w:ascii="仿宋_GB2312" w:hAnsi="宋体" w:eastAsia="仿宋_GB2312" w:cs="Courier New"/>
          <w:b/>
          <w:bCs/>
          <w:color w:val="auto"/>
          <w:sz w:val="32"/>
          <w:szCs w:val="32"/>
          <w:highlight w:val="none"/>
        </w:rPr>
        <w:t>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color w:val="auto"/>
          <w:sz w:val="32"/>
          <w:szCs w:val="32"/>
          <w:highlight w:val="none"/>
        </w:rPr>
        <w:t>（类）</w:t>
      </w:r>
      <w:r>
        <w:rPr>
          <w:rFonts w:hint="eastAsia" w:ascii="仿宋_GB2312" w:eastAsia="仿宋_GB2312"/>
          <w:b/>
          <w:color w:val="auto"/>
          <w:sz w:val="32"/>
          <w:szCs w:val="32"/>
          <w:highlight w:val="none"/>
        </w:rPr>
        <w:t>行政事业单位</w:t>
      </w:r>
      <w:r>
        <w:rPr>
          <w:rFonts w:hint="eastAsia" w:ascii="仿宋_GB2312" w:eastAsia="仿宋_GB2312"/>
          <w:b/>
          <w:color w:val="auto"/>
          <w:sz w:val="32"/>
          <w:szCs w:val="32"/>
          <w:highlight w:val="none"/>
          <w:lang w:val="en-US" w:eastAsia="zh-CN"/>
        </w:rPr>
        <w:t>养老支出</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lang w:val="en-US" w:eastAsia="zh-CN"/>
        </w:rPr>
        <w:t>款</w:t>
      </w:r>
      <w:r>
        <w:rPr>
          <w:rFonts w:hint="eastAsia" w:ascii="仿宋_GB2312" w:eastAsia="仿宋_GB2312"/>
          <w:b/>
          <w:color w:val="auto"/>
          <w:sz w:val="32"/>
          <w:szCs w:val="32"/>
          <w:highlight w:val="none"/>
          <w:lang w:eastAsia="zh-CN"/>
        </w:rPr>
        <w:t>）机关事业单位基本养老保险缴费支出</w:t>
      </w:r>
      <w:r>
        <w:rPr>
          <w:rFonts w:hint="eastAsia" w:ascii="仿宋_GB2312" w:eastAsia="仿宋_GB2312"/>
          <w:b/>
          <w:color w:val="auto"/>
          <w:sz w:val="32"/>
          <w:szCs w:val="32"/>
          <w:highlight w:val="none"/>
        </w:rPr>
        <w:t>（项）。</w:t>
      </w:r>
      <w:r>
        <w:rPr>
          <w:rFonts w:hint="eastAsia" w:ascii="仿宋_GB2312"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 xml:space="preserve"> 32.95</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shd w:val="clear" w:color="auto" w:fill="auto"/>
          <w:lang w:val="en-US" w:eastAsia="zh-CN"/>
        </w:rPr>
        <w:t>1.21</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94.72</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是人员调出及退休。</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Courier New"/>
          <w:b/>
          <w:bCs/>
          <w:color w:val="auto"/>
          <w:sz w:val="32"/>
          <w:szCs w:val="32"/>
          <w:highlight w:val="none"/>
          <w:lang w:val="en-US" w:eastAsia="zh-CN"/>
        </w:rPr>
        <w:t>8.</w:t>
      </w:r>
      <w:r>
        <w:rPr>
          <w:rFonts w:hint="eastAsia" w:ascii="仿宋_GB2312" w:hAnsi="宋体" w:eastAsia="仿宋_GB2312" w:cs="Courier New"/>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color w:val="auto"/>
          <w:sz w:val="32"/>
          <w:szCs w:val="32"/>
          <w:highlight w:val="none"/>
        </w:rPr>
        <w:t>（类）</w:t>
      </w:r>
      <w:r>
        <w:rPr>
          <w:rFonts w:hint="eastAsia" w:ascii="仿宋_GB2312" w:hAnsi="宋体" w:eastAsia="仿宋_GB2312" w:cs="Courier New"/>
          <w:b/>
          <w:bCs/>
          <w:color w:val="auto"/>
          <w:sz w:val="32"/>
          <w:szCs w:val="32"/>
          <w:highlight w:val="none"/>
          <w:lang w:eastAsia="zh-CN"/>
        </w:rPr>
        <w:t>抚恤</w:t>
      </w:r>
      <w:r>
        <w:rPr>
          <w:rFonts w:hint="eastAsia" w:ascii="仿宋_GB2312" w:eastAsia="仿宋_GB2312"/>
          <w:b/>
          <w:color w:val="auto"/>
          <w:sz w:val="32"/>
          <w:szCs w:val="32"/>
          <w:highlight w:val="none"/>
        </w:rPr>
        <w:t>（款）</w:t>
      </w:r>
      <w:r>
        <w:rPr>
          <w:rFonts w:hint="eastAsia" w:ascii="仿宋_GB2312" w:eastAsia="仿宋_GB2312"/>
          <w:b/>
          <w:color w:val="auto"/>
          <w:sz w:val="32"/>
          <w:szCs w:val="32"/>
          <w:highlight w:val="none"/>
          <w:lang w:eastAsia="zh-CN"/>
        </w:rPr>
        <w:t>死亡抚恤</w:t>
      </w:r>
      <w:r>
        <w:rPr>
          <w:rFonts w:hint="eastAsia" w:ascii="仿宋_GB2312" w:eastAsia="仿宋_GB2312"/>
          <w:b/>
          <w:color w:val="auto"/>
          <w:sz w:val="32"/>
          <w:szCs w:val="32"/>
          <w:highlight w:val="none"/>
        </w:rPr>
        <w:t>（项）。</w:t>
      </w:r>
      <w:r>
        <w:rPr>
          <w:rFonts w:hint="eastAsia" w:ascii="仿宋_GB2312"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万元，支出决算为</w:t>
      </w:r>
      <w:r>
        <w:rPr>
          <w:rFonts w:hint="eastAsia" w:ascii="仿宋_GB2312" w:hAnsi="仿宋_GB2312" w:eastAsia="仿宋_GB2312" w:cs="仿宋_GB2312"/>
          <w:color w:val="auto"/>
          <w:sz w:val="32"/>
          <w:szCs w:val="32"/>
          <w:highlight w:val="none"/>
          <w:shd w:val="clear" w:color="auto" w:fill="auto"/>
          <w:lang w:val="en-US" w:eastAsia="zh-CN"/>
        </w:rPr>
        <w:t>20.43</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决算数与年初预算数存在差异的</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是死亡抚恤金为追加人员经费。</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Courier New"/>
          <w:b/>
          <w:bCs/>
          <w:color w:val="auto"/>
          <w:sz w:val="32"/>
          <w:szCs w:val="32"/>
          <w:highlight w:val="none"/>
          <w:lang w:val="en-US" w:eastAsia="zh-CN"/>
        </w:rPr>
        <w:t>9.</w:t>
      </w:r>
      <w:r>
        <w:rPr>
          <w:rFonts w:hint="eastAsia" w:ascii="仿宋_GB2312" w:hAnsi="宋体" w:eastAsia="仿宋_GB2312" w:cs="Courier New"/>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color w:val="auto"/>
          <w:sz w:val="32"/>
          <w:szCs w:val="32"/>
          <w:highlight w:val="none"/>
        </w:rPr>
        <w:t>（类）</w:t>
      </w:r>
      <w:r>
        <w:rPr>
          <w:rFonts w:hint="eastAsia" w:ascii="仿宋_GB2312" w:eastAsia="仿宋_GB2312"/>
          <w:b/>
          <w:color w:val="auto"/>
          <w:sz w:val="32"/>
          <w:szCs w:val="32"/>
          <w:highlight w:val="none"/>
          <w:lang w:eastAsia="zh-CN"/>
        </w:rPr>
        <w:t>临时救助</w:t>
      </w:r>
      <w:r>
        <w:rPr>
          <w:rFonts w:hint="eastAsia" w:ascii="仿宋_GB2312" w:eastAsia="仿宋_GB2312"/>
          <w:b/>
          <w:color w:val="auto"/>
          <w:sz w:val="32"/>
          <w:szCs w:val="32"/>
          <w:highlight w:val="none"/>
        </w:rPr>
        <w:t>（款）</w:t>
      </w:r>
      <w:r>
        <w:rPr>
          <w:rFonts w:hint="eastAsia" w:ascii="仿宋_GB2312" w:eastAsia="仿宋_GB2312"/>
          <w:b/>
          <w:color w:val="auto"/>
          <w:sz w:val="32"/>
          <w:szCs w:val="32"/>
          <w:highlight w:val="none"/>
          <w:lang w:eastAsia="zh-CN"/>
        </w:rPr>
        <w:t>临时救助支出</w:t>
      </w:r>
      <w:r>
        <w:rPr>
          <w:rFonts w:hint="eastAsia" w:ascii="仿宋_GB2312" w:eastAsia="仿宋_GB2312"/>
          <w:b/>
          <w:color w:val="auto"/>
          <w:sz w:val="32"/>
          <w:szCs w:val="32"/>
          <w:highlight w:val="none"/>
        </w:rPr>
        <w:t>（项）。</w:t>
      </w:r>
      <w:r>
        <w:rPr>
          <w:rFonts w:hint="eastAsia" w:ascii="仿宋_GB2312"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万元，支出决算为</w:t>
      </w:r>
      <w:r>
        <w:rPr>
          <w:rFonts w:hint="eastAsia" w:ascii="仿宋_GB2312" w:hAnsi="仿宋_GB2312" w:eastAsia="仿宋_GB2312" w:cs="仿宋_GB2312"/>
          <w:color w:val="auto"/>
          <w:sz w:val="32"/>
          <w:szCs w:val="32"/>
          <w:highlight w:val="none"/>
          <w:shd w:val="clear" w:color="auto" w:fill="auto"/>
          <w:lang w:val="en-US" w:eastAsia="zh-CN"/>
        </w:rPr>
        <w:t>20.6</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ascii="仿宋_GB2312" w:eastAsia="仿宋_GB2312"/>
          <w:color w:val="auto"/>
          <w:sz w:val="32"/>
          <w:szCs w:val="32"/>
          <w:highlight w:val="none"/>
        </w:rPr>
        <w:t>的主要原因</w:t>
      </w:r>
      <w:r>
        <w:rPr>
          <w:rFonts w:hint="eastAsia" w:ascii="仿宋_GB2312" w:eastAsia="仿宋_GB2312"/>
          <w:color w:val="auto"/>
          <w:sz w:val="32"/>
          <w:szCs w:val="32"/>
          <w:highlight w:val="none"/>
          <w:lang w:eastAsia="zh-CN"/>
        </w:rPr>
        <w:t>是临时救助为年中追加经费。</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jc w:val="both"/>
        <w:textAlignment w:val="auto"/>
        <w:rPr>
          <w:rFonts w:hint="eastAsia" w:ascii="Calibri" w:hAnsi="Calibri" w:eastAsia="仿宋_GB2312" w:cs="Times New Roman"/>
          <w:color w:val="auto"/>
          <w:sz w:val="32"/>
          <w:szCs w:val="32"/>
          <w:highlight w:val="none"/>
        </w:rPr>
      </w:pPr>
      <w:r>
        <w:rPr>
          <w:rFonts w:hint="eastAsia" w:ascii="仿宋_GB2312" w:hAnsi="宋体" w:eastAsia="仿宋_GB2312" w:cs="Courier New"/>
          <w:b/>
          <w:bCs/>
          <w:color w:val="auto"/>
          <w:sz w:val="32"/>
          <w:szCs w:val="32"/>
          <w:highlight w:val="none"/>
          <w:lang w:val="en-US" w:eastAsia="zh-CN"/>
        </w:rPr>
        <w:t>10.</w:t>
      </w:r>
      <w:r>
        <w:rPr>
          <w:rFonts w:hint="eastAsia" w:eastAsia="仿宋_GB2312"/>
          <w:b/>
          <w:color w:val="auto"/>
          <w:sz w:val="32"/>
          <w:szCs w:val="32"/>
          <w:highlight w:val="none"/>
          <w:lang w:val="en-US" w:eastAsia="zh-CN"/>
        </w:rPr>
        <w:t>卫生健康支出</w:t>
      </w:r>
      <w:r>
        <w:rPr>
          <w:rFonts w:hint="eastAsia" w:eastAsia="仿宋_GB2312"/>
          <w:b/>
          <w:color w:val="auto"/>
          <w:sz w:val="32"/>
          <w:szCs w:val="32"/>
          <w:highlight w:val="none"/>
        </w:rPr>
        <w:t>（类）行政事业单位医疗（款）行政单位医疗（项）。</w:t>
      </w:r>
      <w:r>
        <w:rPr>
          <w:rFonts w:hint="eastAsia" w:eastAsia="仿宋_GB2312"/>
          <w:color w:val="auto"/>
          <w:sz w:val="32"/>
          <w:szCs w:val="32"/>
          <w:highlight w:val="none"/>
        </w:rPr>
        <w:t>年初预</w:t>
      </w:r>
      <w:r>
        <w:rPr>
          <w:rFonts w:hint="eastAsia" w:ascii="Calibri" w:hAnsi="Calibri" w:eastAsia="仿宋_GB2312" w:cs="Times New Roman"/>
          <w:color w:val="auto"/>
          <w:sz w:val="32"/>
          <w:szCs w:val="32"/>
          <w:highlight w:val="none"/>
        </w:rPr>
        <w:t>算为</w:t>
      </w:r>
      <w:r>
        <w:rPr>
          <w:rFonts w:hint="eastAsia" w:ascii="仿宋_GB2312" w:hAnsi="仿宋_GB2312" w:eastAsia="仿宋_GB2312" w:cs="仿宋_GB2312"/>
          <w:color w:val="auto"/>
          <w:sz w:val="32"/>
          <w:szCs w:val="32"/>
          <w:highlight w:val="none"/>
          <w:shd w:val="clear" w:color="auto" w:fill="auto"/>
          <w:lang w:val="en-US" w:eastAsia="zh-CN"/>
        </w:rPr>
        <w:t>17.44</w:t>
      </w:r>
      <w:r>
        <w:rPr>
          <w:rFonts w:hint="eastAsia" w:ascii="Calibri" w:hAnsi="Calibri" w:eastAsia="仿宋_GB2312" w:cs="Times New Roman"/>
          <w:color w:val="auto"/>
          <w:sz w:val="32"/>
          <w:szCs w:val="32"/>
          <w:highlight w:val="none"/>
          <w:lang w:val="en-US" w:eastAsia="zh-CN"/>
        </w:rPr>
        <w:t>万元</w:t>
      </w:r>
      <w:r>
        <w:rPr>
          <w:rFonts w:hint="eastAsia" w:ascii="Calibri" w:hAnsi="Calibri" w:eastAsia="仿宋_GB2312" w:cs="Times New Roman"/>
          <w:color w:val="auto"/>
          <w:sz w:val="32"/>
          <w:szCs w:val="32"/>
          <w:highlight w:val="none"/>
        </w:rPr>
        <w:t>，支出决算为</w:t>
      </w:r>
      <w:r>
        <w:rPr>
          <w:rFonts w:hint="eastAsia" w:ascii="仿宋_GB2312" w:hAnsi="仿宋_GB2312" w:eastAsia="仿宋_GB2312" w:cs="仿宋_GB2312"/>
          <w:color w:val="auto"/>
          <w:sz w:val="32"/>
          <w:szCs w:val="32"/>
          <w:highlight w:val="none"/>
          <w:shd w:val="clear" w:color="auto" w:fill="auto"/>
          <w:lang w:val="en-US" w:eastAsia="zh-CN"/>
        </w:rPr>
        <w:t>9.92万</w:t>
      </w:r>
      <w:r>
        <w:rPr>
          <w:rFonts w:hint="eastAsia" w:ascii="Calibri" w:hAnsi="Calibri" w:eastAsia="仿宋_GB2312" w:cs="Times New Roman"/>
          <w:color w:val="auto"/>
          <w:sz w:val="32"/>
          <w:szCs w:val="32"/>
          <w:highlight w:val="none"/>
        </w:rPr>
        <w:t>元，完成年初预算的</w:t>
      </w:r>
      <w:r>
        <w:rPr>
          <w:rFonts w:hint="eastAsia" w:ascii="仿宋" w:hAnsi="仿宋" w:eastAsia="仿宋" w:cs="仿宋"/>
          <w:color w:val="auto"/>
          <w:sz w:val="32"/>
          <w:szCs w:val="32"/>
          <w:highlight w:val="none"/>
          <w:lang w:val="en-US" w:eastAsia="zh-CN"/>
        </w:rPr>
        <w:t>56.88%</w:t>
      </w:r>
      <w:r>
        <w:rPr>
          <w:rFonts w:hint="eastAsia" w:ascii="Calibri" w:hAnsi="Calibri" w:eastAsia="仿宋_GB2312" w:cs="Times New Roman"/>
          <w:color w:val="auto"/>
          <w:sz w:val="32"/>
          <w:szCs w:val="32"/>
          <w:highlight w:val="none"/>
        </w:rPr>
        <w:t>。</w:t>
      </w:r>
      <w:r>
        <w:rPr>
          <w:rFonts w:hint="eastAsia" w:ascii="Calibri" w:hAnsi="Calibri" w:eastAsia="仿宋_GB2312" w:cs="Times New Roman"/>
          <w:color w:val="auto"/>
          <w:sz w:val="32"/>
          <w:szCs w:val="32"/>
          <w:highlight w:val="none"/>
          <w:lang w:val="en-US" w:eastAsia="zh-CN"/>
        </w:rPr>
        <w:t>决算数与年初预算数存在差异的</w:t>
      </w:r>
      <w:r>
        <w:rPr>
          <w:rFonts w:hint="eastAsia" w:ascii="Calibri" w:hAnsi="Calibri" w:eastAsia="仿宋_GB2312" w:cs="Times New Roman"/>
          <w:color w:val="auto"/>
          <w:sz w:val="32"/>
          <w:szCs w:val="32"/>
          <w:highlight w:val="none"/>
        </w:rPr>
        <w:t>主要原因</w:t>
      </w:r>
      <w:r>
        <w:rPr>
          <w:rFonts w:hint="eastAsia" w:ascii="仿宋_GB2312" w:eastAsia="仿宋_GB2312"/>
          <w:color w:val="auto"/>
          <w:sz w:val="32"/>
          <w:szCs w:val="32"/>
          <w:highlight w:val="none"/>
          <w:lang w:eastAsia="zh-CN"/>
        </w:rPr>
        <w:t>是人员调出及退休。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s="Courier New"/>
          <w:b/>
          <w:bCs/>
          <w:color w:val="auto"/>
          <w:sz w:val="32"/>
          <w:szCs w:val="32"/>
          <w:highlight w:val="none"/>
          <w:lang w:val="en-US" w:eastAsia="zh-CN"/>
        </w:rPr>
        <w:t>11.</w:t>
      </w:r>
      <w:r>
        <w:rPr>
          <w:rFonts w:hint="eastAsia" w:eastAsia="仿宋_GB2312"/>
          <w:b/>
          <w:color w:val="auto"/>
          <w:sz w:val="32"/>
          <w:szCs w:val="32"/>
          <w:highlight w:val="none"/>
          <w:lang w:val="en-US" w:eastAsia="zh-CN"/>
        </w:rPr>
        <w:t>卫生健康支出</w:t>
      </w:r>
      <w:r>
        <w:rPr>
          <w:rFonts w:hint="eastAsia" w:eastAsia="仿宋_GB2312"/>
          <w:b/>
          <w:color w:val="auto"/>
          <w:sz w:val="32"/>
          <w:szCs w:val="32"/>
          <w:highlight w:val="none"/>
        </w:rPr>
        <w:t>（类）行政事业单位医疗（款）</w:t>
      </w:r>
      <w:r>
        <w:rPr>
          <w:rFonts w:hint="eastAsia" w:eastAsia="仿宋_GB2312"/>
          <w:b/>
          <w:color w:val="auto"/>
          <w:sz w:val="32"/>
          <w:szCs w:val="32"/>
          <w:highlight w:val="none"/>
          <w:lang w:eastAsia="zh-CN"/>
        </w:rPr>
        <w:t>公务员医疗补助</w:t>
      </w:r>
      <w:r>
        <w:rPr>
          <w:rFonts w:hint="eastAsia" w:eastAsia="仿宋_GB2312"/>
          <w:b/>
          <w:color w:val="auto"/>
          <w:sz w:val="32"/>
          <w:szCs w:val="32"/>
          <w:highlight w:val="none"/>
        </w:rPr>
        <w:t>（项）。</w:t>
      </w:r>
      <w:r>
        <w:rPr>
          <w:rFonts w:hint="eastAsia" w:eastAsia="仿宋_GB2312"/>
          <w:color w:val="auto"/>
          <w:sz w:val="32"/>
          <w:szCs w:val="32"/>
          <w:highlight w:val="none"/>
        </w:rPr>
        <w:t>年初预算为</w:t>
      </w:r>
      <w:r>
        <w:rPr>
          <w:rFonts w:hint="eastAsia" w:ascii="仿宋" w:hAnsi="仿宋" w:eastAsia="仿宋" w:cs="仿宋"/>
          <w:color w:val="auto"/>
          <w:sz w:val="32"/>
          <w:szCs w:val="32"/>
          <w:highlight w:val="none"/>
          <w:lang w:val="en-US" w:eastAsia="zh-CN"/>
        </w:rPr>
        <w:t>16.62</w:t>
      </w:r>
      <w:r>
        <w:rPr>
          <w:rFonts w:hint="eastAsia" w:eastAsia="仿宋_GB2312"/>
          <w:color w:val="auto"/>
          <w:sz w:val="32"/>
          <w:szCs w:val="32"/>
          <w:highlight w:val="none"/>
          <w:lang w:val="en-US" w:eastAsia="zh-CN"/>
        </w:rPr>
        <w:t>万元</w:t>
      </w:r>
      <w:r>
        <w:rPr>
          <w:rFonts w:hint="eastAsia" w:eastAsia="仿宋_GB2312"/>
          <w:color w:val="auto"/>
          <w:sz w:val="32"/>
          <w:szCs w:val="32"/>
          <w:highlight w:val="none"/>
        </w:rPr>
        <w:t>，支出决算为</w:t>
      </w:r>
      <w:r>
        <w:rPr>
          <w:rFonts w:hint="eastAsia" w:ascii="仿宋" w:hAnsi="仿宋" w:eastAsia="仿宋" w:cs="仿宋"/>
          <w:color w:val="auto"/>
          <w:sz w:val="32"/>
          <w:szCs w:val="32"/>
          <w:highlight w:val="none"/>
          <w:lang w:val="en-US" w:eastAsia="zh-CN"/>
        </w:rPr>
        <w:t>10.2</w:t>
      </w:r>
      <w:r>
        <w:rPr>
          <w:rFonts w:hint="eastAsia" w:eastAsia="仿宋_GB2312"/>
          <w:color w:val="auto"/>
          <w:sz w:val="32"/>
          <w:szCs w:val="32"/>
          <w:highlight w:val="none"/>
        </w:rPr>
        <w:t>万元，完成年初预算的</w:t>
      </w:r>
      <w:r>
        <w:rPr>
          <w:rFonts w:hint="eastAsia" w:ascii="仿宋" w:hAnsi="仿宋" w:eastAsia="仿宋" w:cs="仿宋"/>
          <w:color w:val="auto"/>
          <w:sz w:val="32"/>
          <w:szCs w:val="32"/>
          <w:highlight w:val="none"/>
          <w:lang w:val="en-US" w:eastAsia="zh-CN"/>
        </w:rPr>
        <w:t>61.37%。</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eastAsia="仿宋_GB2312"/>
          <w:color w:val="auto"/>
          <w:sz w:val="32"/>
          <w:szCs w:val="32"/>
          <w:highlight w:val="none"/>
        </w:rPr>
        <w:t>的主要原因是</w:t>
      </w:r>
      <w:r>
        <w:rPr>
          <w:rFonts w:hint="eastAsia" w:ascii="仿宋_GB2312" w:eastAsia="仿宋_GB2312"/>
          <w:color w:val="auto"/>
          <w:sz w:val="32"/>
          <w:szCs w:val="32"/>
          <w:highlight w:val="none"/>
          <w:lang w:eastAsia="zh-CN"/>
        </w:rPr>
        <w:t>人员调出及退休。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895.03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lang w:val="en-US"/>
        </w:rPr>
        <w:t>753.46</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基本工资、津贴补贴、奖金、机关事业单位基本养老保险缴费、职工基本医疗保险缴费、公务员医疗补助缴费、住房公积金、离休费、退休费、抚恤金等；公用经费</w:t>
      </w:r>
      <w:r>
        <w:rPr>
          <w:rFonts w:hint="eastAsia" w:ascii="仿宋_GB2312" w:hAnsi="仿宋_GB2312" w:eastAsia="仿宋_GB2312"/>
          <w:color w:val="auto"/>
          <w:sz w:val="32"/>
          <w:szCs w:val="24"/>
          <w:highlight w:val="none"/>
          <w:lang w:val="en-US"/>
        </w:rPr>
        <w:t>141.58</w:t>
      </w:r>
      <w:r>
        <w:rPr>
          <w:rFonts w:hint="eastAsia" w:ascii="仿宋_GB2312" w:hAnsi="仿宋_GB2312" w:eastAsia="仿宋_GB2312" w:cs="仿宋_GB2312"/>
          <w:color w:val="auto"/>
          <w:sz w:val="32"/>
          <w:szCs w:val="32"/>
          <w:highlight w:val="none"/>
          <w:lang w:val="en-US" w:eastAsia="zh-CN"/>
        </w:rPr>
        <w:t>万元，主要包括：办公费、电费、水费、差旅费、维修（护）费、公务接待费、劳务费、委托业务费、工会经费、福利费、公务用车运行维护费、其他交通费用等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lang w:val="en-US"/>
        </w:rPr>
        <w:t>14.74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5.52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37.4</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严格贯彻中央八项规定精神，节俭开支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olor w:val="auto"/>
          <w:sz w:val="32"/>
          <w:szCs w:val="24"/>
          <w:highlight w:val="none"/>
          <w:lang w:val="en-US"/>
        </w:rPr>
        <w:t>0万元，占0%；公务用车购置及运行费支出决算4.23万元，完成预算的50.</w:t>
      </w:r>
      <w:r>
        <w:rPr>
          <w:rFonts w:hint="eastAsia" w:ascii="仿宋_GB2312" w:hAnsi="仿宋_GB2312" w:eastAsia="仿宋_GB2312"/>
          <w:color w:val="auto"/>
          <w:sz w:val="32"/>
          <w:szCs w:val="24"/>
          <w:highlight w:val="none"/>
          <w:lang w:val="en-US" w:eastAsia="zh-CN"/>
        </w:rPr>
        <w:t>12</w:t>
      </w:r>
      <w:r>
        <w:rPr>
          <w:rFonts w:hint="eastAsia" w:ascii="仿宋_GB2312" w:hAnsi="仿宋_GB2312" w:eastAsia="仿宋_GB2312"/>
          <w:color w:val="auto"/>
          <w:sz w:val="32"/>
          <w:szCs w:val="24"/>
          <w:highlight w:val="none"/>
          <w:lang w:val="en-US"/>
        </w:rPr>
        <w:t>%，占76.6</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lang w:val="en-US"/>
        </w:rPr>
        <w:t>%；公务接待费支出决算1.29万元，完成预算的20.48%，占23.3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具体情况如下</w:t>
      </w:r>
      <w:r>
        <w:rPr>
          <w:rFonts w:hint="eastAsia" w:ascii="仿宋_GB2312" w:hAnsi="仿宋_GB2312" w:eastAsia="仿宋_GB2312" w:cs="仿宋_GB2312"/>
          <w:color w:val="auto"/>
          <w:sz w:val="32"/>
          <w:szCs w:val="32"/>
          <w:highlight w:val="none"/>
        </w:rPr>
        <w:t>：</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8.44万元，支出决算为4.23万元，完成预算的50.</w:t>
      </w:r>
      <w:r>
        <w:rPr>
          <w:rFonts w:hint="eastAsia" w:ascii="仿宋_GB2312" w:hAnsi="仿宋_GB2312" w:eastAsia="仿宋_GB2312"/>
          <w:color w:val="auto"/>
          <w:sz w:val="32"/>
          <w:szCs w:val="24"/>
          <w:highlight w:val="none"/>
          <w:lang w:val="en-US" w:eastAsia="zh-CN"/>
        </w:rPr>
        <w:t>12</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贯彻中央八项规定精神，节俭开支。其中：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lang w:val="en-US"/>
        </w:rPr>
        <w:t>4.23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服务老干部及公务办理。2021年期末，部门开支财政拨款的公务用车保有量为3辆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6.3</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万元，支出决算为1.29万元，完成年初预算的20.48</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贯彻中央八项规定精神，节俭开支</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olor w:val="auto"/>
          <w:sz w:val="32"/>
          <w:szCs w:val="24"/>
          <w:highlight w:val="none"/>
          <w:lang w:val="en-US"/>
        </w:rPr>
        <w:t>1.29</w:t>
      </w:r>
      <w:r>
        <w:rPr>
          <w:rFonts w:hint="eastAsia" w:ascii="仿宋_GB2312" w:hAnsi="仿宋_GB2312" w:eastAsia="仿宋_GB2312" w:cs="仿宋_GB2312"/>
          <w:color w:val="auto"/>
          <w:sz w:val="32"/>
          <w:szCs w:val="32"/>
          <w:highlight w:val="none"/>
          <w:lang w:val="en-US" w:eastAsia="zh-CN"/>
        </w:rPr>
        <w:t>万元。主要用于外地市老干部局来访参观考察。2021年共接待国内来访团组10个、来宾125人次（不包括陪同人员）。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0万元，支出决算为0万元。不存在项目年末结转和结余资金金额较大。情况说明：我部门2021年度没有政府性基金收入，也没有使用政府性基金安排的支出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113.84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141.58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124.37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新建老年大学等追加</w:t>
      </w:r>
      <w:r>
        <w:rPr>
          <w:rFonts w:hint="eastAsia" w:ascii="仿宋_GB2312" w:hAnsi="仿宋_GB2312" w:eastAsia="仿宋_GB2312" w:cs="仿宋_GB2312"/>
          <w:color w:val="auto"/>
          <w:sz w:val="32"/>
          <w:szCs w:val="32"/>
          <w:highlight w:val="none"/>
          <w:lang w:val="en-US" w:eastAsia="zh-CN"/>
        </w:rPr>
        <w:t>经费开支。</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149.33万元，其中：政府采购货物支出149.33万元、政府采购工程支出0万元、政府采购服务支出0万元。授予中小企业合同金额0万元</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3辆，其中：省级领导干部用车0辆、主要领导干部用车1辆、机要通信用车1辆、应急保障车0辆、执法执勤用车0辆、特种专业技术用车0辆、离退休干部用车1辆、其他用车0辆；单位价值50万元以上通用设备0台（套），单位价值100万元以上专用设备0台（套）</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事前进行绩效评估，年终围绕2021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单位）整体绩效目标和项目支出绩效目标进行了自评。一是部门（单位）整体绩效自评情况良好。我部门紧紧围绕本单位的工作职能和职责，严格按照资金使用内容和用途，及时将相关离休干部资金拨付到位。二是项目绩效自评情况。我部门共有7个项目批复了绩效目标，项目金额340.53万元。其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中共许昌市委老干部局（本级）3个，项目金额76.06万元；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许昌市老干部活动中心2个，项目金额258.61万元；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许昌市关心下一代工作委员会教育指导中心</w:t>
      </w:r>
      <w:r>
        <w:rPr>
          <w:rFonts w:hint="eastAsia" w:ascii="仿宋_GB2312" w:hAnsi="仿宋_GB2312" w:eastAsia="仿宋_GB2312" w:cs="仿宋_GB2312"/>
          <w:color w:val="auto"/>
          <w:sz w:val="32"/>
          <w:szCs w:val="32"/>
          <w:highlight w:val="none"/>
          <w:lang w:val="en-US" w:eastAsia="zh-CN"/>
        </w:rPr>
        <w:t>1个，项目金额2.71万元；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许昌市干部休养所1个，项目金额3.16万元。</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92.8分。其中：5个项目评价等级为“优”、2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plified Arabic Fixed">
    <w:panose1 w:val="02070309020205020404"/>
    <w:charset w:val="00"/>
    <w:family w:val="auto"/>
    <w:pitch w:val="default"/>
    <w:sig w:usb0="00002003" w:usb1="00000000" w:usb2="00000000" w:usb3="00000000" w:csb0="00000041" w:csb1="20080000"/>
  </w:font>
  <w:font w:name="Segoe UI Symbol">
    <w:panose1 w:val="020B0502040204020203"/>
    <w:charset w:val="00"/>
    <w:family w:val="auto"/>
    <w:pitch w:val="default"/>
    <w:sig w:usb0="8000006F" w:usb1="1200FBEF" w:usb2="0064C000" w:usb3="00000002" w:csb0="00000001" w:csb1="40000000"/>
  </w:font>
  <w:font w:name="Optima">
    <w:panose1 w:val="020B050205050809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9CECA"/>
    <w:multiLevelType w:val="singleLevel"/>
    <w:tmpl w:val="4919CECA"/>
    <w:lvl w:ilvl="0" w:tentative="0">
      <w:start w:val="1"/>
      <w:numFmt w:val="decimal"/>
      <w:suff w:val="nothing"/>
      <w:lvlText w:val="%1．"/>
      <w:lvlJc w:val="left"/>
      <w:pPr>
        <w:ind w:left="-13"/>
      </w:pPr>
      <w:rPr>
        <w:rFonts w:hint="default" w:ascii="仿宋" w:hAnsi="仿宋" w:eastAsia="仿宋" w:cs="仿宋"/>
        <w:b/>
        <w:bCs/>
        <w:sz w:val="32"/>
        <w:szCs w:val="32"/>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2f4baccf-ede4-449a-a9a8-8acf71e96739"/>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8D7421"/>
    <w:rsid w:val="02A3489A"/>
    <w:rsid w:val="02CA138D"/>
    <w:rsid w:val="033646FC"/>
    <w:rsid w:val="03C75F80"/>
    <w:rsid w:val="0478364D"/>
    <w:rsid w:val="053D4C0D"/>
    <w:rsid w:val="05571F68"/>
    <w:rsid w:val="0557532E"/>
    <w:rsid w:val="0799329C"/>
    <w:rsid w:val="08397436"/>
    <w:rsid w:val="086F16A7"/>
    <w:rsid w:val="0A0F7225"/>
    <w:rsid w:val="0A2B7D82"/>
    <w:rsid w:val="0ADC40E9"/>
    <w:rsid w:val="0AE607F4"/>
    <w:rsid w:val="0B386127"/>
    <w:rsid w:val="0B451598"/>
    <w:rsid w:val="0BEC73F4"/>
    <w:rsid w:val="0C392698"/>
    <w:rsid w:val="10AB055E"/>
    <w:rsid w:val="10BD36F6"/>
    <w:rsid w:val="11BF0649"/>
    <w:rsid w:val="123E3E08"/>
    <w:rsid w:val="133212F4"/>
    <w:rsid w:val="13BB1CF5"/>
    <w:rsid w:val="13D22E22"/>
    <w:rsid w:val="161C2DFF"/>
    <w:rsid w:val="16373578"/>
    <w:rsid w:val="16D3336B"/>
    <w:rsid w:val="17200028"/>
    <w:rsid w:val="17806C36"/>
    <w:rsid w:val="17A74F62"/>
    <w:rsid w:val="18A47774"/>
    <w:rsid w:val="19436564"/>
    <w:rsid w:val="1A8D28EB"/>
    <w:rsid w:val="1A9F2D78"/>
    <w:rsid w:val="1AA80E44"/>
    <w:rsid w:val="1ABA0B77"/>
    <w:rsid w:val="1B2E6FD8"/>
    <w:rsid w:val="1B877D21"/>
    <w:rsid w:val="1C4319A9"/>
    <w:rsid w:val="1E443B4B"/>
    <w:rsid w:val="1E994F4A"/>
    <w:rsid w:val="1EAF0224"/>
    <w:rsid w:val="1F2230A4"/>
    <w:rsid w:val="20210932"/>
    <w:rsid w:val="202448E0"/>
    <w:rsid w:val="20ED2C8C"/>
    <w:rsid w:val="20F614FE"/>
    <w:rsid w:val="21302EEA"/>
    <w:rsid w:val="216F3E03"/>
    <w:rsid w:val="22376FB5"/>
    <w:rsid w:val="23E152D7"/>
    <w:rsid w:val="23EE2489"/>
    <w:rsid w:val="255D43C8"/>
    <w:rsid w:val="266B71CA"/>
    <w:rsid w:val="26714EF8"/>
    <w:rsid w:val="26876BDD"/>
    <w:rsid w:val="2714632A"/>
    <w:rsid w:val="27541E73"/>
    <w:rsid w:val="27770815"/>
    <w:rsid w:val="27B0539E"/>
    <w:rsid w:val="286B70F1"/>
    <w:rsid w:val="28F33525"/>
    <w:rsid w:val="29365CF8"/>
    <w:rsid w:val="299469B3"/>
    <w:rsid w:val="2A805789"/>
    <w:rsid w:val="2ADC0D75"/>
    <w:rsid w:val="2B4A0E52"/>
    <w:rsid w:val="2C975890"/>
    <w:rsid w:val="2DEF21BB"/>
    <w:rsid w:val="2E4A2F05"/>
    <w:rsid w:val="2ECC1061"/>
    <w:rsid w:val="2FA476AD"/>
    <w:rsid w:val="303F7540"/>
    <w:rsid w:val="31DB328F"/>
    <w:rsid w:val="31DD00BF"/>
    <w:rsid w:val="31ED27DE"/>
    <w:rsid w:val="3293174C"/>
    <w:rsid w:val="32BB38D4"/>
    <w:rsid w:val="32C9376D"/>
    <w:rsid w:val="33780472"/>
    <w:rsid w:val="33AF0905"/>
    <w:rsid w:val="355932F4"/>
    <w:rsid w:val="35611882"/>
    <w:rsid w:val="35A149B6"/>
    <w:rsid w:val="36746FC3"/>
    <w:rsid w:val="368763AE"/>
    <w:rsid w:val="38AF4139"/>
    <w:rsid w:val="395D59E7"/>
    <w:rsid w:val="39A93932"/>
    <w:rsid w:val="3A915562"/>
    <w:rsid w:val="3AE3429F"/>
    <w:rsid w:val="3B8D4765"/>
    <w:rsid w:val="3C000DBA"/>
    <w:rsid w:val="3DC045D3"/>
    <w:rsid w:val="3E504FFB"/>
    <w:rsid w:val="3E615CD0"/>
    <w:rsid w:val="3E79623A"/>
    <w:rsid w:val="3E9C47F6"/>
    <w:rsid w:val="3EAF31F7"/>
    <w:rsid w:val="3F4E170B"/>
    <w:rsid w:val="3F8B0112"/>
    <w:rsid w:val="3FAB3095"/>
    <w:rsid w:val="3FE45947"/>
    <w:rsid w:val="3FF3E8EE"/>
    <w:rsid w:val="41242965"/>
    <w:rsid w:val="435671EA"/>
    <w:rsid w:val="440809E9"/>
    <w:rsid w:val="442407A6"/>
    <w:rsid w:val="44805EA1"/>
    <w:rsid w:val="452847AC"/>
    <w:rsid w:val="45710696"/>
    <w:rsid w:val="46142B1B"/>
    <w:rsid w:val="47E60DD0"/>
    <w:rsid w:val="48735039"/>
    <w:rsid w:val="492C684B"/>
    <w:rsid w:val="49500594"/>
    <w:rsid w:val="49E7604E"/>
    <w:rsid w:val="4BF67CDD"/>
    <w:rsid w:val="4D173441"/>
    <w:rsid w:val="4D603DD6"/>
    <w:rsid w:val="4D677E3B"/>
    <w:rsid w:val="4E320449"/>
    <w:rsid w:val="4E361CE8"/>
    <w:rsid w:val="4EBF010F"/>
    <w:rsid w:val="4F471EB0"/>
    <w:rsid w:val="4F873DB8"/>
    <w:rsid w:val="51331326"/>
    <w:rsid w:val="51642FB5"/>
    <w:rsid w:val="51740A7F"/>
    <w:rsid w:val="51A5541E"/>
    <w:rsid w:val="51C96242"/>
    <w:rsid w:val="53906AE1"/>
    <w:rsid w:val="54F46F60"/>
    <w:rsid w:val="55854FBF"/>
    <w:rsid w:val="55A37BEA"/>
    <w:rsid w:val="56362CD2"/>
    <w:rsid w:val="5784687B"/>
    <w:rsid w:val="57846959"/>
    <w:rsid w:val="578E6A87"/>
    <w:rsid w:val="5AC2203A"/>
    <w:rsid w:val="5CBB3334"/>
    <w:rsid w:val="5D115FAF"/>
    <w:rsid w:val="603608FE"/>
    <w:rsid w:val="62811722"/>
    <w:rsid w:val="62E75A72"/>
    <w:rsid w:val="64571880"/>
    <w:rsid w:val="649125B6"/>
    <w:rsid w:val="652F4C1A"/>
    <w:rsid w:val="666D37F1"/>
    <w:rsid w:val="67087D8F"/>
    <w:rsid w:val="671F687E"/>
    <w:rsid w:val="67882529"/>
    <w:rsid w:val="67E43A75"/>
    <w:rsid w:val="67F415F8"/>
    <w:rsid w:val="682640D1"/>
    <w:rsid w:val="684B73E5"/>
    <w:rsid w:val="6A047A2A"/>
    <w:rsid w:val="6EFB7548"/>
    <w:rsid w:val="6F3831C3"/>
    <w:rsid w:val="6F8B71C1"/>
    <w:rsid w:val="70753482"/>
    <w:rsid w:val="707B522A"/>
    <w:rsid w:val="73194D05"/>
    <w:rsid w:val="73A83B0E"/>
    <w:rsid w:val="73CE795E"/>
    <w:rsid w:val="744D3EF9"/>
    <w:rsid w:val="74794411"/>
    <w:rsid w:val="7561323F"/>
    <w:rsid w:val="75867C40"/>
    <w:rsid w:val="75B10B26"/>
    <w:rsid w:val="76432199"/>
    <w:rsid w:val="76F44829"/>
    <w:rsid w:val="77A267C0"/>
    <w:rsid w:val="77E704DA"/>
    <w:rsid w:val="78882278"/>
    <w:rsid w:val="78B118A6"/>
    <w:rsid w:val="79135044"/>
    <w:rsid w:val="7A7D0F99"/>
    <w:rsid w:val="7B164183"/>
    <w:rsid w:val="7BB650FF"/>
    <w:rsid w:val="7BE424D4"/>
    <w:rsid w:val="7E4A0E7C"/>
    <w:rsid w:val="7EFD449D"/>
    <w:rsid w:val="7F91776F"/>
    <w:rsid w:val="7FF7F7BD"/>
    <w:rsid w:val="B17F3A0F"/>
    <w:rsid w:val="FCBB0A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8656</Words>
  <Characters>10819</Characters>
  <Lines>60</Lines>
  <Paragraphs>16</Paragraphs>
  <TotalTime>221</TotalTime>
  <ScaleCrop>false</ScaleCrop>
  <LinksUpToDate>false</LinksUpToDate>
  <CharactersWithSpaces>11070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Administrator</cp:lastModifiedBy>
  <cp:lastPrinted>2018-07-26T02:50:00Z</cp:lastPrinted>
  <dcterms:modified xsi:type="dcterms:W3CDTF">2023-05-19T02:20:23Z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305905A53B574E40831743D9A7795D1C_13</vt:lpwstr>
  </property>
</Properties>
</file>