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rPr>
        <w:t>20</w:t>
      </w:r>
      <w:r>
        <w:rPr>
          <w:rFonts w:ascii="黑体" w:hAnsi="黑体" w:eastAsia="黑体" w:cs="黑体"/>
          <w:sz w:val="52"/>
          <w:szCs w:val="52"/>
          <w:highlight w:val="none"/>
        </w:rPr>
        <w:t>21</w:t>
      </w:r>
      <w:r>
        <w:rPr>
          <w:rFonts w:hint="eastAsia" w:ascii="黑体" w:hAnsi="黑体" w:eastAsia="黑体" w:cs="黑体"/>
          <w:sz w:val="52"/>
          <w:szCs w:val="52"/>
          <w:highlight w:val="none"/>
        </w:rPr>
        <w:t>年度</w:t>
      </w:r>
    </w:p>
    <w:p>
      <w:pPr>
        <w:jc w:val="center"/>
        <w:rPr>
          <w:rFonts w:hint="eastAsia" w:ascii="黑体" w:hAnsi="黑体" w:eastAsia="黑体" w:cs="黑体"/>
          <w:sz w:val="52"/>
          <w:szCs w:val="52"/>
          <w:highlight w:val="none"/>
        </w:rPr>
      </w:pPr>
      <w:r>
        <w:rPr>
          <w:rFonts w:hint="eastAsia" w:ascii="黑体" w:hAnsi="黑体" w:eastAsia="黑体" w:cs="黑体"/>
          <w:sz w:val="52"/>
          <w:szCs w:val="52"/>
          <w:highlight w:val="none"/>
          <w:lang w:val="en-US" w:eastAsia="zh-CN"/>
        </w:rPr>
        <w:t>中共许昌市委网络安全和信息化委员会办公室</w:t>
      </w:r>
      <w:r>
        <w:rPr>
          <w:rFonts w:hint="eastAsia" w:ascii="黑体" w:hAnsi="黑体" w:eastAsia="黑体" w:cs="黑体"/>
          <w:sz w:val="52"/>
          <w:szCs w:val="52"/>
          <w:highlight w:val="none"/>
        </w:rPr>
        <w:t>部门决算</w:t>
      </w:r>
    </w:p>
    <w:p>
      <w:pPr>
        <w:jc w:val="center"/>
        <w:rPr>
          <w:rFonts w:ascii="黑体" w:hAnsi="黑体" w:eastAsia="黑体" w:cs="黑体"/>
          <w:sz w:val="52"/>
          <w:szCs w:val="52"/>
          <w:highlight w:val="none"/>
        </w:rPr>
      </w:pPr>
    </w:p>
    <w:p>
      <w:pPr>
        <w:jc w:val="center"/>
        <w:rPr>
          <w:rFonts w:hint="eastAsia" w:ascii="黑体" w:hAnsi="黑体" w:eastAsia="黑体" w:cs="黑体"/>
          <w:sz w:val="52"/>
          <w:szCs w:val="52"/>
          <w:highlight w:val="none"/>
        </w:rPr>
      </w:pPr>
    </w:p>
    <w:p>
      <w:pPr>
        <w:jc w:val="both"/>
        <w:rPr>
          <w:rFonts w:hint="eastAsia" w:ascii="黑体" w:hAnsi="黑体" w:eastAsia="黑体" w:cs="黑体"/>
          <w:sz w:val="52"/>
          <w:szCs w:val="52"/>
          <w:highlight w:val="none"/>
        </w:rPr>
      </w:pPr>
    </w:p>
    <w:p>
      <w:pPr>
        <w:pStyle w:val="2"/>
        <w:rPr>
          <w:rFonts w:hint="eastAsia" w:ascii="黑体" w:hAnsi="黑体" w:eastAsia="黑体" w:cs="黑体"/>
          <w:sz w:val="52"/>
          <w:szCs w:val="52"/>
          <w:highlight w:val="none"/>
        </w:rPr>
      </w:pPr>
    </w:p>
    <w:p>
      <w:pPr>
        <w:pStyle w:val="2"/>
        <w:rPr>
          <w:rFonts w:hint="eastAsia" w:ascii="黑体" w:hAnsi="黑体" w:eastAsia="黑体" w:cs="黑体"/>
          <w:sz w:val="52"/>
          <w:szCs w:val="52"/>
          <w:highlight w:val="none"/>
        </w:rPr>
      </w:pPr>
    </w:p>
    <w:p>
      <w:pPr>
        <w:jc w:val="center"/>
        <w:rPr>
          <w:rFonts w:hint="eastAsia" w:ascii="黑体" w:hAnsi="黑体" w:eastAsia="黑体" w:cs="黑体"/>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40"/>
          <w:szCs w:val="40"/>
          <w:highlight w:val="none"/>
        </w:rPr>
        <w:t>二〇二二年</w:t>
      </w:r>
      <w:r>
        <w:rPr>
          <w:rFonts w:hint="eastAsia" w:ascii="黑体" w:hAnsi="黑体" w:eastAsia="黑体" w:cs="黑体"/>
          <w:sz w:val="40"/>
          <w:szCs w:val="40"/>
          <w:highlight w:val="none"/>
          <w:lang w:eastAsia="zh-CN"/>
        </w:rPr>
        <w:t>九</w:t>
      </w:r>
      <w:r>
        <w:rPr>
          <w:rFonts w:hint="eastAsia" w:ascii="黑体" w:hAnsi="黑体" w:eastAsia="黑体" w:cs="黑体"/>
          <w:sz w:val="40"/>
          <w:szCs w:val="40"/>
          <w:highlight w:val="none"/>
        </w:rPr>
        <w:t>月</w:t>
      </w:r>
    </w:p>
    <w:p>
      <w:pPr>
        <w:jc w:val="center"/>
        <w:rPr>
          <w:rFonts w:ascii="黑体" w:hAnsi="黑体" w:eastAsia="黑体" w:cs="黑体"/>
          <w:sz w:val="36"/>
          <w:szCs w:val="36"/>
          <w:highlight w:val="none"/>
        </w:rPr>
      </w:pPr>
      <w:r>
        <w:rPr>
          <w:rFonts w:hint="eastAsia" w:ascii="黑体" w:hAnsi="黑体" w:eastAsia="黑体" w:cs="黑体"/>
          <w:sz w:val="36"/>
          <w:szCs w:val="36"/>
          <w:highlight w:val="none"/>
        </w:rPr>
        <w:t>目　　录</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第一部分　</w:t>
      </w:r>
      <w:r>
        <w:rPr>
          <w:rFonts w:hint="eastAsia" w:ascii="黑体" w:hAnsi="黑体" w:eastAsia="黑体" w:cs="黑体"/>
          <w:sz w:val="32"/>
          <w:szCs w:val="32"/>
          <w:highlight w:val="none"/>
          <w:lang w:val="en-US" w:eastAsia="zh-CN"/>
        </w:rPr>
        <w:t>中共许昌市委网络安全和信息化委员会办公室</w:t>
      </w:r>
      <w:r>
        <w:rPr>
          <w:rFonts w:hint="eastAsia" w:ascii="黑体" w:hAnsi="黑体" w:eastAsia="黑体" w:cs="黑体"/>
          <w:sz w:val="32"/>
          <w:szCs w:val="32"/>
          <w:highlight w:val="none"/>
        </w:rPr>
        <w:t>概况</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部门职责</w:t>
      </w:r>
    </w:p>
    <w:p>
      <w:pPr>
        <w:numPr>
          <w:ilvl w:val="0"/>
          <w:numId w:val="1"/>
        </w:numPr>
        <w:ind w:firstLine="640" w:firstLineChars="200"/>
        <w:jc w:val="left"/>
        <w:rPr>
          <w:rFonts w:ascii="宋体" w:hAnsi="宋体" w:cs="宋体"/>
          <w:sz w:val="32"/>
          <w:szCs w:val="32"/>
          <w:highlight w:val="none"/>
        </w:rPr>
      </w:pPr>
      <w:r>
        <w:rPr>
          <w:rFonts w:hint="eastAsia" w:ascii="宋体" w:hAnsi="宋体" w:cs="宋体"/>
          <w:sz w:val="32"/>
          <w:szCs w:val="32"/>
          <w:highlight w:val="none"/>
        </w:rPr>
        <w:t>机构设置</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  2021年度部门决算表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一、收入支出决算总表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二、收入决算表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三、支出决算表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四、财政拨款收入支出决算总表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五、一般公共预算财政拨款支出决算表</w:t>
      </w:r>
    </w:p>
    <w:p>
      <w:pPr>
        <w:ind w:firstLine="640" w:firstLineChars="200"/>
        <w:jc w:val="left"/>
        <w:rPr>
          <w:rFonts w:ascii="宋体" w:hAnsi="宋体" w:cs="黑体"/>
          <w:sz w:val="32"/>
          <w:szCs w:val="32"/>
          <w:highlight w:val="none"/>
        </w:rPr>
      </w:pPr>
      <w:r>
        <w:rPr>
          <w:rFonts w:hint="eastAsia" w:ascii="宋体" w:hAnsi="宋体" w:cs="黑体"/>
          <w:sz w:val="32"/>
          <w:szCs w:val="32"/>
          <w:highlight w:val="none"/>
        </w:rPr>
        <w:t>六、一般公共预算财政拨款基本支出决算明细表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七、一般公共预算财政拨款“三公”经费支出决算表</w:t>
      </w:r>
    </w:p>
    <w:p>
      <w:pPr>
        <w:ind w:firstLine="640" w:firstLineChars="200"/>
        <w:jc w:val="left"/>
        <w:rPr>
          <w:rFonts w:hint="eastAsia" w:ascii="宋体" w:hAnsi="宋体" w:cs="黑体"/>
          <w:sz w:val="32"/>
          <w:szCs w:val="32"/>
          <w:highlight w:val="none"/>
        </w:rPr>
      </w:pPr>
      <w:r>
        <w:rPr>
          <w:rFonts w:hint="eastAsia" w:ascii="宋体" w:hAnsi="宋体" w:cs="黑体"/>
          <w:sz w:val="32"/>
          <w:szCs w:val="32"/>
          <w:highlight w:val="none"/>
        </w:rPr>
        <w:t>八、政府性基金预算财政拨款收入支出决算表</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第三部分　</w:t>
      </w:r>
      <w:r>
        <w:rPr>
          <w:rFonts w:ascii="黑体" w:hAnsi="黑体" w:eastAsia="黑体" w:cs="黑体"/>
          <w:sz w:val="32"/>
          <w:szCs w:val="32"/>
          <w:highlight w:val="none"/>
        </w:rPr>
        <w:t>2021</w:t>
      </w:r>
      <w:r>
        <w:rPr>
          <w:rFonts w:hint="eastAsia" w:ascii="黑体" w:hAnsi="黑体" w:eastAsia="黑体" w:cs="黑体"/>
          <w:sz w:val="32"/>
          <w:szCs w:val="32"/>
          <w:highlight w:val="none"/>
        </w:rPr>
        <w:t>年度</w:t>
      </w:r>
      <w:r>
        <w:rPr>
          <w:rFonts w:ascii="黑体" w:hAnsi="黑体" w:eastAsia="黑体" w:cs="黑体"/>
          <w:sz w:val="32"/>
          <w:szCs w:val="32"/>
          <w:highlight w:val="none"/>
        </w:rPr>
        <w:t>部门</w:t>
      </w:r>
      <w:r>
        <w:rPr>
          <w:rFonts w:hint="eastAsia" w:ascii="黑体" w:hAnsi="黑体" w:eastAsia="黑体" w:cs="黑体"/>
          <w:sz w:val="32"/>
          <w:szCs w:val="32"/>
          <w:highlight w:val="none"/>
        </w:rPr>
        <w:t>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一、收入支出决算总体情况说明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二、收入决算情况说明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三、支出决算情况说明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四、财政拨款收入支出决算总体情况说明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五、一般公共预算财政拨款支出决算情况说明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六、一般公共预算财政拨款基本支出决算情况说明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七、一般公共预算财政拨款“三公”经费支出决算情况说明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八、政府性基金预算财政拨款支出决算情况说明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九、机关运行经费支出情况说明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十、政府采购支出情况说明</w:t>
      </w:r>
    </w:p>
    <w:p>
      <w:pPr>
        <w:ind w:firstLine="640" w:firstLineChars="200"/>
        <w:jc w:val="left"/>
        <w:rPr>
          <w:rFonts w:ascii="宋体" w:hAnsi="宋体" w:cs="宋体"/>
          <w:sz w:val="32"/>
          <w:szCs w:val="32"/>
          <w:highlight w:val="none"/>
        </w:rPr>
      </w:pPr>
      <w:r>
        <w:rPr>
          <w:rFonts w:hint="eastAsia" w:ascii="宋体" w:hAnsi="宋体" w:cs="宋体"/>
          <w:sz w:val="32"/>
          <w:szCs w:val="32"/>
          <w:highlight w:val="none"/>
        </w:rPr>
        <w:t>十一、国有资产占用情况说明</w:t>
      </w:r>
    </w:p>
    <w:p>
      <w:pPr>
        <w:ind w:firstLine="640" w:firstLineChars="200"/>
        <w:jc w:val="left"/>
        <w:rPr>
          <w:rFonts w:hint="eastAsia" w:ascii="宋体" w:hAnsi="宋体" w:cs="宋体"/>
          <w:sz w:val="32"/>
          <w:szCs w:val="32"/>
          <w:highlight w:val="none"/>
        </w:rPr>
      </w:pPr>
      <w:r>
        <w:rPr>
          <w:rFonts w:hint="eastAsia" w:ascii="宋体" w:hAnsi="宋体" w:cs="宋体"/>
          <w:sz w:val="32"/>
          <w:szCs w:val="32"/>
          <w:highlight w:val="none"/>
        </w:rPr>
        <w:t>十二、预算绩效情况说明</w:t>
      </w:r>
    </w:p>
    <w:p>
      <w:pPr>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both"/>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黑体" w:eastAsia="黑体" w:cs="黑体"/>
          <w:sz w:val="48"/>
          <w:szCs w:val="48"/>
          <w:highlight w:val="none"/>
        </w:rPr>
      </w:pPr>
    </w:p>
    <w:p>
      <w:pPr>
        <w:widowControl/>
        <w:jc w:val="center"/>
        <w:outlineLvl w:val="0"/>
        <w:rPr>
          <w:rFonts w:hint="eastAsia" w:ascii="黑体" w:hAnsi="宋体" w:eastAsia="黑体" w:cs="宋体"/>
          <w:kern w:val="0"/>
          <w:sz w:val="28"/>
          <w:szCs w:val="28"/>
          <w:highlight w:val="none"/>
        </w:rPr>
      </w:pPr>
      <w:r>
        <w:rPr>
          <w:rFonts w:hint="eastAsia" w:ascii="黑体" w:hAnsi="黑体" w:eastAsia="黑体" w:cs="黑体"/>
          <w:sz w:val="48"/>
          <w:szCs w:val="48"/>
          <w:highlight w:val="none"/>
        </w:rPr>
        <w:t xml:space="preserve">第一部分  </w:t>
      </w:r>
      <w:r>
        <w:rPr>
          <w:rFonts w:hint="eastAsia" w:ascii="黑体" w:hAnsi="黑体" w:eastAsia="黑体" w:cs="黑体"/>
          <w:sz w:val="48"/>
          <w:szCs w:val="48"/>
          <w:highlight w:val="none"/>
          <w:lang w:val="en-US" w:eastAsia="zh-CN"/>
        </w:rPr>
        <w:t>中共许昌市委网络安全和信息化委员会办公室（汇总）</w:t>
      </w:r>
      <w:r>
        <w:rPr>
          <w:rFonts w:hint="eastAsia" w:ascii="黑体" w:hAnsi="黑体" w:eastAsia="黑体" w:cs="黑体"/>
          <w:sz w:val="48"/>
          <w:szCs w:val="48"/>
          <w:highlight w:val="none"/>
        </w:rPr>
        <w:t>概况</w:t>
      </w: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ind w:firstLine="640" w:firstLineChars="200"/>
        <w:jc w:val="left"/>
        <w:outlineLvl w:val="1"/>
        <w:rPr>
          <w:rFonts w:ascii="黑体" w:hAnsi="黑体" w:eastAsia="黑体" w:cs="黑体"/>
          <w:kern w:val="0"/>
          <w:sz w:val="32"/>
          <w:szCs w:val="32"/>
          <w:highlight w:val="none"/>
        </w:rPr>
      </w:pPr>
    </w:p>
    <w:p>
      <w:pPr>
        <w:widowControl/>
        <w:jc w:val="left"/>
        <w:outlineLvl w:val="1"/>
        <w:rPr>
          <w:rFonts w:ascii="黑体" w:hAnsi="黑体" w:eastAsia="黑体" w:cs="黑体"/>
          <w:kern w:val="0"/>
          <w:sz w:val="32"/>
          <w:szCs w:val="32"/>
          <w:highlight w:val="none"/>
        </w:rPr>
      </w:pP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一、部门</w:t>
      </w:r>
      <w:r>
        <w:rPr>
          <w:rFonts w:hint="eastAsia" w:ascii="黑体" w:hAnsi="黑体" w:eastAsia="黑体" w:cs="黑体"/>
          <w:bCs/>
          <w:sz w:val="32"/>
          <w:szCs w:val="32"/>
          <w:highlight w:val="none"/>
        </w:rPr>
        <w:t>职责</w:t>
      </w:r>
    </w:p>
    <w:p>
      <w:pPr>
        <w:spacing w:line="600" w:lineRule="exact"/>
        <w:ind w:firstLine="640" w:firstLineChars="200"/>
        <w:rPr>
          <w:rFonts w:hint="eastAsia" w:ascii="仿宋_GB2312" w:hAnsi="宋体" w:eastAsia="仿宋_GB2312" w:cs="宋体"/>
          <w:kern w:val="0"/>
          <w:sz w:val="32"/>
          <w:szCs w:val="32"/>
          <w:highlight w:val="none"/>
        </w:rPr>
      </w:pPr>
      <w:r>
        <w:rPr>
          <w:rFonts w:hint="eastAsia" w:ascii="仿宋_GB2312" w:hAnsi="仿宋_GB2312" w:eastAsia="仿宋_GB2312" w:cs="仿宋_GB2312"/>
          <w:b w:val="0"/>
          <w:bCs/>
          <w:color w:val="000000"/>
          <w:sz w:val="32"/>
          <w:szCs w:val="32"/>
          <w:lang w:val="en-US" w:eastAsia="zh-CN"/>
        </w:rPr>
        <w:t>在市委网信委正确领导下，</w:t>
      </w:r>
      <w:r>
        <w:rPr>
          <w:rFonts w:hint="eastAsia" w:ascii="仿宋_GB2312" w:hAnsi="仿宋_GB2312" w:eastAsia="仿宋_GB2312" w:cs="仿宋_GB2312"/>
          <w:b w:val="0"/>
          <w:bCs/>
          <w:color w:val="000000"/>
          <w:sz w:val="32"/>
          <w:szCs w:val="32"/>
        </w:rPr>
        <w:t>围绕中心、服务大局，不断提升网信工作水平，为许昌“智造之都、宜居之城”建设提供有力的网信工作保障。</w:t>
      </w:r>
    </w:p>
    <w:p>
      <w:pPr>
        <w:widowControl/>
        <w:ind w:firstLine="640" w:firstLineChars="200"/>
        <w:jc w:val="left"/>
        <w:outlineLvl w:val="1"/>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二、机构设置</w:t>
      </w:r>
    </w:p>
    <w:p>
      <w:pPr>
        <w:keepNext w:val="0"/>
        <w:keepLines w:val="0"/>
        <w:pageBreakBefore w:val="0"/>
        <w:numPr>
          <w:ilvl w:val="0"/>
          <w:numId w:val="0"/>
        </w:numPr>
        <w:kinsoku/>
        <w:wordWrap/>
        <w:overflowPunct/>
        <w:topLinePunct w:val="0"/>
        <w:bidi w:val="0"/>
        <w:adjustRightInd w:val="0"/>
        <w:snapToGrid w:val="0"/>
        <w:spacing w:line="360" w:lineRule="auto"/>
        <w:ind w:firstLine="640" w:firstLineChars="200"/>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lang w:val="en-US" w:eastAsia="zh-CN"/>
        </w:rPr>
        <w:t>中共许昌市委网络安全和信息化委员会办公室</w:t>
      </w:r>
      <w:r>
        <w:rPr>
          <w:rFonts w:hint="eastAsia" w:ascii="仿宋_GB2312" w:hAnsi="仿宋_GB2312" w:eastAsia="仿宋_GB2312" w:cs="仿宋_GB2312"/>
          <w:kern w:val="0"/>
          <w:sz w:val="32"/>
          <w:szCs w:val="32"/>
          <w:highlight w:val="none"/>
        </w:rPr>
        <w:t>内设机构</w:t>
      </w:r>
      <w:r>
        <w:rPr>
          <w:rFonts w:hint="eastAsia" w:ascii="仿宋_GB2312" w:hAnsi="仿宋_GB2312" w:eastAsia="仿宋_GB2312" w:cs="仿宋_GB2312"/>
          <w:kern w:val="0"/>
          <w:sz w:val="32"/>
          <w:szCs w:val="32"/>
          <w:highlight w:val="none"/>
          <w:lang w:val="en-US" w:eastAsia="zh-CN"/>
        </w:rPr>
        <w:t>3</w:t>
      </w:r>
      <w:r>
        <w:rPr>
          <w:rFonts w:hint="eastAsia" w:ascii="仿宋_GB2312" w:hAnsi="仿宋_GB2312" w:eastAsia="仿宋_GB2312" w:cs="仿宋_GB2312"/>
          <w:kern w:val="0"/>
          <w:sz w:val="32"/>
          <w:szCs w:val="32"/>
          <w:highlight w:val="none"/>
        </w:rPr>
        <w:t>个，包括：</w:t>
      </w:r>
      <w:r>
        <w:rPr>
          <w:rFonts w:hint="eastAsia" w:ascii="仿宋_GB2312" w:hAnsi="仿宋_GB2312" w:eastAsia="仿宋_GB2312" w:cs="仿宋_GB2312"/>
          <w:sz w:val="32"/>
          <w:szCs w:val="32"/>
          <w:lang w:val="en-US" w:eastAsia="zh-CN"/>
        </w:rPr>
        <w:t>综合科（政策法规科）</w:t>
      </w:r>
      <w:r>
        <w:rPr>
          <w:rFonts w:hint="eastAsia" w:ascii="仿宋_GB2312" w:hAnsi="仿宋_GB2312" w:eastAsia="仿宋_GB2312" w:cs="仿宋_GB2312"/>
          <w:kern w:val="0"/>
          <w:sz w:val="32"/>
          <w:szCs w:val="32"/>
          <w:highlight w:val="none"/>
        </w:rPr>
        <w:t>、</w:t>
      </w:r>
      <w:r>
        <w:rPr>
          <w:rFonts w:hint="eastAsia" w:ascii="仿宋_GB2312" w:hAnsi="仿宋_GB2312" w:eastAsia="仿宋_GB2312" w:cs="仿宋_GB2312"/>
          <w:sz w:val="32"/>
          <w:szCs w:val="32"/>
          <w:lang w:val="en-US" w:eastAsia="zh-CN"/>
        </w:rPr>
        <w:t>网络宣传科、网络管理和执法督查科</w:t>
      </w:r>
      <w:r>
        <w:rPr>
          <w:rFonts w:hint="eastAsia" w:ascii="仿宋_GB2312" w:hAnsi="仿宋_GB2312" w:eastAsia="仿宋_GB2312" w:cs="仿宋_GB2312"/>
          <w:kern w:val="0"/>
          <w:sz w:val="32"/>
          <w:szCs w:val="32"/>
          <w:highlight w:val="none"/>
        </w:rPr>
        <w:t>。另设有</w:t>
      </w:r>
      <w:r>
        <w:rPr>
          <w:rFonts w:hint="eastAsia" w:ascii="仿宋_GB2312" w:hAnsi="仿宋_GB2312" w:eastAsia="仿宋_GB2312" w:cs="仿宋_GB2312"/>
          <w:sz w:val="32"/>
          <w:szCs w:val="32"/>
          <w:lang w:val="en-US" w:eastAsia="zh-CN"/>
        </w:rPr>
        <w:t>许昌市委互联网应急指挥中心</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sz w:val="32"/>
          <w:szCs w:val="32"/>
          <w:lang w:val="en-US" w:eastAsia="zh-CN"/>
        </w:rPr>
        <w:t>许昌市互联网违法和不良信息举报中心</w:t>
      </w:r>
      <w:r>
        <w:rPr>
          <w:rFonts w:hint="eastAsia" w:ascii="仿宋_GB2312" w:hAnsi="仿宋_GB2312" w:eastAsia="仿宋_GB2312" w:cs="仿宋_GB2312"/>
          <w:kern w:val="0"/>
          <w:sz w:val="32"/>
          <w:szCs w:val="32"/>
          <w:highlight w:val="none"/>
        </w:rPr>
        <w:t>。</w:t>
      </w:r>
    </w:p>
    <w:p>
      <w:pPr>
        <w:widowControl/>
        <w:ind w:firstLine="640" w:firstLineChars="2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从决算单位构成看，</w:t>
      </w:r>
      <w:r>
        <w:rPr>
          <w:rFonts w:hint="eastAsia" w:ascii="仿宋_GB2312" w:hAnsi="仿宋_GB2312" w:eastAsia="仿宋_GB2312" w:cs="仿宋_GB2312"/>
          <w:kern w:val="0"/>
          <w:sz w:val="32"/>
          <w:szCs w:val="32"/>
          <w:highlight w:val="none"/>
          <w:lang w:val="en-US" w:eastAsia="zh-CN"/>
        </w:rPr>
        <w:t>中共许昌市委网络安全和信息化委员会办公室</w:t>
      </w:r>
      <w:r>
        <w:rPr>
          <w:rFonts w:hint="eastAsia" w:ascii="仿宋_GB2312" w:hAnsi="仿宋_GB2312" w:eastAsia="仿宋_GB2312" w:cs="仿宋_GB2312"/>
          <w:kern w:val="0"/>
          <w:sz w:val="32"/>
          <w:szCs w:val="32"/>
          <w:highlight w:val="none"/>
        </w:rPr>
        <w:t>部门决算包括：本级决算。</w:t>
      </w:r>
    </w:p>
    <w:p>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highlight w:val="none"/>
          <w:lang w:val="en-US" w:eastAsia="zh-CN"/>
        </w:rPr>
        <w:t>纳入本部门2021年度部门决算编制范围的单位共1个，具体是：</w:t>
      </w:r>
    </w:p>
    <w:p>
      <w:pPr>
        <w:widowControl/>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kern w:val="0"/>
          <w:sz w:val="32"/>
          <w:szCs w:val="32"/>
          <w:highlight w:val="none"/>
          <w:lang w:val="en-US" w:eastAsia="zh-CN"/>
        </w:rPr>
        <w:t>中共许昌市委网络安全和信息化委员会办公室本级（中共许昌市委网络安全和信息化委员会办公室本级</w:t>
      </w:r>
      <w:bookmarkStart w:id="0" w:name="_GoBack"/>
      <w:bookmarkEnd w:id="0"/>
      <w:r>
        <w:rPr>
          <w:rFonts w:hint="eastAsia" w:ascii="仿宋_GB2312" w:hAnsi="仿宋_GB2312" w:eastAsia="仿宋_GB2312" w:cs="仿宋_GB2312"/>
          <w:kern w:val="0"/>
          <w:sz w:val="32"/>
          <w:szCs w:val="32"/>
          <w:highlight w:val="none"/>
          <w:lang w:val="en-US" w:eastAsia="zh-CN"/>
        </w:rPr>
        <w:t>核算包含</w:t>
      </w:r>
      <w:r>
        <w:rPr>
          <w:rFonts w:hint="eastAsia" w:ascii="仿宋_GB2312" w:hAnsi="仿宋_GB2312" w:eastAsia="仿宋_GB2312" w:cs="仿宋_GB2312"/>
          <w:sz w:val="32"/>
          <w:szCs w:val="32"/>
          <w:lang w:val="en-US" w:eastAsia="zh-CN"/>
        </w:rPr>
        <w:t>许昌市互联网应急指挥中心</w:t>
      </w:r>
      <w:r>
        <w:rPr>
          <w:rFonts w:hint="eastAsia" w:ascii="仿宋_GB2312" w:hAnsi="仿宋_GB2312" w:eastAsia="仿宋_GB2312" w:cs="仿宋_GB2312"/>
          <w:kern w:val="0"/>
          <w:sz w:val="32"/>
          <w:szCs w:val="32"/>
          <w:highlight w:val="none"/>
        </w:rPr>
        <w:t>和</w:t>
      </w:r>
      <w:r>
        <w:rPr>
          <w:rFonts w:hint="eastAsia" w:ascii="仿宋_GB2312" w:hAnsi="仿宋_GB2312" w:eastAsia="仿宋_GB2312" w:cs="仿宋_GB2312"/>
          <w:sz w:val="32"/>
          <w:szCs w:val="32"/>
          <w:lang w:val="en-US" w:eastAsia="zh-CN"/>
        </w:rPr>
        <w:t>许昌市互联网违法和不良信息举报中心的预算资金</w:t>
      </w:r>
      <w:r>
        <w:rPr>
          <w:rFonts w:hint="eastAsia" w:ascii="仿宋_GB2312" w:hAnsi="仿宋_GB2312" w:eastAsia="仿宋_GB2312" w:cs="仿宋_GB2312"/>
          <w:kern w:val="0"/>
          <w:sz w:val="32"/>
          <w:szCs w:val="32"/>
          <w:highlight w:val="none"/>
          <w:lang w:val="en-US" w:eastAsia="zh-CN"/>
        </w:rPr>
        <w:t>）</w:t>
      </w:r>
    </w:p>
    <w:p>
      <w:pPr>
        <w:widowControl/>
        <w:ind w:firstLine="640" w:firstLineChars="200"/>
        <w:jc w:val="left"/>
        <w:rPr>
          <w:rFonts w:hint="eastAsia" w:ascii="仿宋_GB2312" w:hAnsi="仿宋_GB2312" w:eastAsia="仿宋_GB2312" w:cs="仿宋_GB2312"/>
          <w:kern w:val="0"/>
          <w:sz w:val="32"/>
          <w:szCs w:val="32"/>
          <w:highlight w:val="none"/>
        </w:rPr>
      </w:pPr>
    </w:p>
    <w:p>
      <w:pPr>
        <w:widowControl/>
        <w:jc w:val="left"/>
        <w:rPr>
          <w:rFonts w:hint="eastAsia" w:ascii="黑体" w:hAnsi="宋体" w:eastAsia="黑体" w:cs="宋体"/>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第二部分  2021年度部门决算表</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sectPr>
          <w:pgSz w:w="11906" w:h="16838"/>
          <w:pgMar w:top="1440" w:right="1800" w:bottom="1440" w:left="1800" w:header="720" w:footer="720" w:gutter="0"/>
          <w:pgNumType w:fmt="numberInDash"/>
          <w:cols w:space="720" w:num="1"/>
          <w:docGrid w:type="lines" w:linePitch="312" w:charSpace="0"/>
        </w:sectPr>
      </w:pPr>
    </w:p>
    <w:tbl>
      <w:tblPr>
        <w:tblStyle w:val="6"/>
        <w:tblW w:w="140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096"/>
        <w:gridCol w:w="895"/>
        <w:gridCol w:w="1195"/>
        <w:gridCol w:w="4795"/>
        <w:gridCol w:w="895"/>
        <w:gridCol w:w="119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70" w:type="dxa"/>
            <w:gridSpan w:val="6"/>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6"/>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74"/>
        <w:gridCol w:w="1357"/>
        <w:gridCol w:w="1357"/>
        <w:gridCol w:w="1076"/>
        <w:gridCol w:w="1076"/>
        <w:gridCol w:w="1076"/>
        <w:gridCol w:w="1179"/>
        <w:gridCol w:w="10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10" w:type="dxa"/>
            <w:gridSpan w:val="11"/>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本年收入</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财政拨款</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上级补助</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27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27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75"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350.09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246.32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157.32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1"/>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注：本表反映部门本年度取得的各项收入情况。本表金额转换为万元时，因四舍五入可能存在尾差。</w:t>
            </w:r>
          </w:p>
        </w:tc>
      </w:tr>
    </w:tbl>
    <w:p>
      <w:pPr>
        <w:rPr>
          <w:rFonts w:hint="eastAsia" w:ascii="仿宋_GB2312" w:hAnsi="仿宋_GB2312" w:eastAsia="仿宋_GB2312" w:cs="仿宋_GB2312"/>
          <w:sz w:val="32"/>
          <w:szCs w:val="32"/>
          <w:highlight w:val="none"/>
        </w:rPr>
      </w:pPr>
    </w:p>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5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13"/>
        <w:gridCol w:w="1442"/>
        <w:gridCol w:w="1442"/>
        <w:gridCol w:w="1442"/>
        <w:gridCol w:w="1165"/>
        <w:gridCol w:w="1165"/>
        <w:gridCol w:w="11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356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0" w:type="auto"/>
            <w:gridSpan w:val="6"/>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440"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440"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9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675"/>
        <w:gridCol w:w="587"/>
        <w:gridCol w:w="1185"/>
        <w:gridCol w:w="4185"/>
        <w:gridCol w:w="587"/>
        <w:gridCol w:w="1022"/>
        <w:gridCol w:w="1421"/>
        <w:gridCol w:w="1147"/>
        <w:gridCol w:w="1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95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4"/>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322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5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6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7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6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153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322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5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57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6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3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375.24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182.36</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8"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4955" w:type="dxa"/>
            <w:gridSpan w:val="9"/>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16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29"/>
        <w:gridCol w:w="329"/>
        <w:gridCol w:w="329"/>
        <w:gridCol w:w="4953"/>
        <w:gridCol w:w="1961"/>
        <w:gridCol w:w="1961"/>
        <w:gridCol w:w="19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1670" w:type="dxa"/>
            <w:gridSpan w:val="7"/>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50"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25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25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557.60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277.45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党委办公厅（室）及相关机构事务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102.60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网信事务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428.69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行政运行</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173.69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2013702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一般行政管理事务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卫生健康支出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13.16</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行政单位医疗</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2101103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6.42</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7"/>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注：本表反映部门本年度一般公共预算财政拨款支出情况。本套报表金额单位转换时可能存在尾数误差。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483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66"/>
        <w:gridCol w:w="3516"/>
        <w:gridCol w:w="876"/>
        <w:gridCol w:w="766"/>
        <w:gridCol w:w="2416"/>
        <w:gridCol w:w="766"/>
        <w:gridCol w:w="766"/>
        <w:gridCol w:w="4396"/>
        <w:gridCol w:w="7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835" w:type="dxa"/>
            <w:gridSpan w:val="9"/>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48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24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9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73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360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02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735"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48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4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9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73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360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02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258.30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39.68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99.33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10.44</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0.79</w:t>
            </w: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2"/>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260.90</w:t>
            </w:r>
          </w:p>
        </w:tc>
        <w:tc>
          <w:tcPr>
            <w:tcW w:w="0" w:type="auto"/>
            <w:gridSpan w:val="5"/>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9"/>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136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0"/>
        <w:gridCol w:w="1140"/>
        <w:gridCol w:w="1140"/>
        <w:gridCol w:w="1140"/>
        <w:gridCol w:w="1140"/>
        <w:gridCol w:w="1140"/>
        <w:gridCol w:w="1140"/>
        <w:gridCol w:w="1140"/>
        <w:gridCol w:w="1140"/>
        <w:gridCol w:w="1140"/>
        <w:gridCol w:w="1140"/>
        <w:gridCol w:w="11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680" w:type="dxa"/>
            <w:gridSpan w:val="12"/>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i w:val="0"/>
                <w:iCs w:val="0"/>
                <w:color w:val="000000"/>
                <w:kern w:val="0"/>
                <w:sz w:val="44"/>
                <w:szCs w:val="44"/>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3"/>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684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6840" w:type="dxa"/>
            <w:gridSpan w:val="6"/>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40" w:type="dxa"/>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420" w:type="dxa"/>
            <w:gridSpan w:val="3"/>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1140"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140" w:type="dxa"/>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1140"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1140" w:type="dxa"/>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0" w:type="dxa"/>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6.65</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3680"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sz w:val="32"/>
          <w:szCs w:val="32"/>
          <w:highlight w:val="none"/>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140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08"/>
        <w:gridCol w:w="408"/>
        <w:gridCol w:w="408"/>
        <w:gridCol w:w="2016"/>
        <w:gridCol w:w="1795"/>
        <w:gridCol w:w="1795"/>
        <w:gridCol w:w="1795"/>
        <w:gridCol w:w="1795"/>
        <w:gridCol w:w="1795"/>
        <w:gridCol w:w="17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14010" w:type="dxa"/>
            <w:gridSpan w:val="10"/>
            <w:tcBorders>
              <w:top w:val="nil"/>
              <w:left w:val="nil"/>
              <w:bottom w:val="nil"/>
              <w:right w:val="nil"/>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tcBorders>
              <w:top w:val="nil"/>
              <w:left w:val="nil"/>
              <w:bottom w:val="nil"/>
              <w:right w:val="nil"/>
            </w:tcBorders>
            <w:noWrap/>
            <w:vAlign w:val="bottom"/>
          </w:tcPr>
          <w:p>
            <w:pPr>
              <w:rPr>
                <w:rFonts w:hint="eastAsia"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jc w:val="center"/>
        </w:trPr>
        <w:tc>
          <w:tcPr>
            <w:tcW w:w="0" w:type="auto"/>
            <w:gridSpan w:val="5"/>
            <w:tcBorders>
              <w:top w:val="nil"/>
              <w:left w:val="nil"/>
              <w:bottom w:val="nil"/>
              <w:right w:val="nil"/>
            </w:tcBorders>
            <w:noWrap/>
            <w:vAlign w:val="bottom"/>
          </w:tcPr>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部门：中共许昌市委网络安全和信息化委员会办公室</w:t>
            </w: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tcBorders>
              <w:top w:val="nil"/>
              <w:left w:val="nil"/>
              <w:bottom w:val="nil"/>
              <w:right w:val="nil"/>
            </w:tcBorders>
            <w:noWrap/>
            <w:vAlign w:val="bottom"/>
          </w:tcPr>
          <w:p>
            <w:pPr>
              <w:rPr>
                <w:rFonts w:hint="default" w:ascii="Arial" w:hAnsi="Arial" w:cs="Arial"/>
                <w:i w:val="0"/>
                <w:iCs w:val="0"/>
                <w:color w:val="000000"/>
                <w:sz w:val="20"/>
                <w:szCs w:val="20"/>
                <w:u w:val="none"/>
              </w:rPr>
            </w:pPr>
          </w:p>
        </w:tc>
        <w:tc>
          <w:tcPr>
            <w:tcW w:w="0" w:type="auto"/>
            <w:gridSpan w:val="2"/>
            <w:tcBorders>
              <w:top w:val="nil"/>
              <w:left w:val="nil"/>
              <w:bottom w:val="nil"/>
              <w:right w:val="nil"/>
            </w:tcBorders>
            <w:noWrap/>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454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515" w:type="dxa"/>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15" w:type="dxa"/>
            <w:vMerge w:val="restart"/>
            <w:tcBorders>
              <w:top w:val="nil"/>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99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151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nil"/>
              <w:left w:val="nil"/>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4"/>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0" w:type="auto"/>
            <w:gridSpan w:val="10"/>
            <w:tcBorders>
              <w:top w:val="nil"/>
              <w:left w:val="nil"/>
              <w:bottom w:val="nil"/>
              <w:right w:val="nil"/>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注：本表反映部门本年度政府性基金预算财政拨款收入、支出及结转和结余情况。本表金额转换为万元时，因四舍五入可能存在尾差。</w:t>
            </w:r>
          </w:p>
        </w:tc>
      </w:tr>
    </w:tbl>
    <w:p>
      <w:pPr>
        <w:jc w:val="center"/>
        <w:outlineLvl w:val="9"/>
        <w:rPr>
          <w:rFonts w:hint="eastAsia" w:ascii="仿宋_GB2312" w:hAnsi="仿宋_GB2312" w:eastAsia="仿宋_GB2312" w:cs="仿宋_GB2312"/>
          <w:color w:val="auto"/>
          <w:sz w:val="32"/>
          <w:szCs w:val="32"/>
          <w:highlight w:val="none"/>
          <w:lang w:val="en-US" w:eastAsia="zh-CN"/>
        </w:rPr>
        <w:sectPr>
          <w:pgSz w:w="16838" w:h="11906" w:orient="landscape"/>
          <w:pgMar w:top="1800" w:right="1440" w:bottom="1800" w:left="1440" w:header="720" w:footer="720" w:gutter="0"/>
          <w:pgNumType w:fmt="numberInDash"/>
          <w:cols w:space="720" w:num="1"/>
          <w:docGrid w:type="lines" w:linePitch="312" w:charSpace="0"/>
        </w:sectPr>
      </w:pPr>
      <w:r>
        <w:rPr>
          <w:rFonts w:hint="eastAsia" w:ascii="仿宋_GB2312" w:hAnsi="仿宋_GB2312" w:eastAsia="仿宋_GB2312" w:cs="仿宋_GB2312"/>
          <w:color w:val="auto"/>
          <w:sz w:val="32"/>
          <w:szCs w:val="32"/>
          <w:highlight w:val="none"/>
          <w:lang w:val="en-US" w:eastAsia="zh-CN"/>
        </w:rPr>
        <w:t>说明：我部门没有政府性基金收入，也没有使用政府性基金安排的支出，故本表无数据。</w:t>
      </w: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第三部分 2021年度部门决算情况说明</w:t>
      </w:r>
    </w:p>
    <w:p>
      <w:pPr>
        <w:widowControl/>
        <w:jc w:val="left"/>
        <w:rPr>
          <w:rFonts w:hint="eastAsia" w:ascii="黑体" w:hAnsi="黑体" w:eastAsia="黑体" w:cs="黑体"/>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一、收入支出决算总体情况说明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年度收、支总计均为</w:t>
      </w:r>
      <w:r>
        <w:rPr>
          <w:rFonts w:hint="eastAsia" w:ascii="仿宋_GB2312" w:hAnsi="仿宋_GB2312" w:eastAsia="仿宋_GB2312" w:cs="仿宋_GB2312"/>
          <w:sz w:val="32"/>
          <w:szCs w:val="32"/>
          <w:highlight w:val="none"/>
          <w:lang w:val="en-US" w:eastAsia="zh-CN"/>
        </w:rPr>
        <w:t>557.60</w:t>
      </w:r>
      <w:r>
        <w:rPr>
          <w:rFonts w:hint="eastAsia" w:ascii="仿宋_GB2312" w:hAnsi="仿宋_GB2312" w:eastAsia="仿宋_GB2312" w:cs="仿宋_GB2312"/>
          <w:sz w:val="32"/>
          <w:szCs w:val="32"/>
          <w:highlight w:val="none"/>
        </w:rPr>
        <w:t>万元。与上年度相比，收、支总计各增加</w:t>
      </w:r>
      <w:r>
        <w:rPr>
          <w:rFonts w:hint="eastAsia" w:ascii="仿宋_GB2312" w:hAnsi="仿宋_GB2312" w:eastAsia="仿宋_GB2312" w:cs="仿宋_GB2312"/>
          <w:sz w:val="32"/>
          <w:szCs w:val="32"/>
          <w:highlight w:val="none"/>
          <w:lang w:val="en-US" w:eastAsia="zh-CN"/>
        </w:rPr>
        <w:t>59.17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上年度项目经费结余到本年度支出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二、收入决算情况说明</w:t>
      </w:r>
    </w:p>
    <w:p>
      <w:pPr>
        <w:widowControl/>
        <w:spacing w:line="590" w:lineRule="exact"/>
        <w:ind w:firstLine="640" w:firstLineChars="200"/>
        <w:rPr>
          <w:rFonts w:hint="eastAsia" w:ascii="黑体" w:hAnsi="黑体" w:eastAsia="黑体" w:cs="黑体"/>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年度收入合计</w:t>
      </w:r>
      <w:r>
        <w:rPr>
          <w:rFonts w:hint="eastAsia" w:ascii="仿宋_GB2312" w:hAnsi="仿宋_GB2312" w:eastAsia="仿宋_GB2312" w:cs="仿宋_GB2312"/>
          <w:sz w:val="32"/>
          <w:szCs w:val="32"/>
          <w:highlight w:val="none"/>
          <w:lang w:val="en-US" w:eastAsia="zh-CN"/>
        </w:rPr>
        <w:t>375.24</w:t>
      </w:r>
      <w:r>
        <w:rPr>
          <w:rFonts w:hint="eastAsia" w:ascii="仿宋_GB2312" w:hAnsi="仿宋_GB2312" w:eastAsia="仿宋_GB2312" w:cs="仿宋_GB2312"/>
          <w:sz w:val="32"/>
          <w:szCs w:val="32"/>
          <w:highlight w:val="none"/>
        </w:rPr>
        <w:t>万元，其中：财政拨款收入</w:t>
      </w:r>
      <w:r>
        <w:rPr>
          <w:rFonts w:hint="eastAsia" w:ascii="仿宋_GB2312" w:hAnsi="仿宋_GB2312" w:eastAsia="仿宋_GB2312" w:cs="仿宋_GB2312"/>
          <w:sz w:val="32"/>
          <w:szCs w:val="32"/>
          <w:highlight w:val="none"/>
          <w:lang w:val="en-US" w:eastAsia="zh-CN"/>
        </w:rPr>
        <w:t>375.24</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%；上级补助收入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%；事业收入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%；经营收入</w:t>
      </w:r>
      <w:r>
        <w:rPr>
          <w:rFonts w:hint="eastAsia" w:ascii="仿宋_GB2312" w:hAnsi="仿宋_GB2312" w:eastAsia="仿宋_GB2312" w:cs="仿宋_GB2312"/>
          <w:sz w:val="32"/>
          <w:szCs w:val="32"/>
          <w:highlight w:val="none"/>
          <w:lang w:val="en-US" w:eastAsia="zh-CN"/>
        </w:rPr>
        <w:t>0.00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%；附属单位上缴收入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%；其他收入</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三、支出决算情况说明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年度支出合计</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万元，其中：基本支出</w:t>
      </w:r>
      <w:r>
        <w:rPr>
          <w:rFonts w:hint="eastAsia" w:ascii="仿宋_GB2312" w:hAnsi="仿宋_GB2312" w:eastAsia="仿宋_GB2312" w:cs="仿宋_GB2312"/>
          <w:sz w:val="32"/>
          <w:szCs w:val="32"/>
          <w:highlight w:val="none"/>
          <w:lang w:val="en-US" w:eastAsia="zh-CN"/>
        </w:rPr>
        <w:t>302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54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27</w:t>
      </w:r>
      <w:r>
        <w:rPr>
          <w:rFonts w:hint="eastAsia" w:ascii="仿宋_GB2312" w:hAnsi="仿宋_GB2312" w:eastAsia="仿宋_GB2312" w:cs="仿宋_GB2312"/>
          <w:sz w:val="32"/>
          <w:szCs w:val="32"/>
          <w:highlight w:val="none"/>
        </w:rPr>
        <w:t>%；项目支出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73</w:t>
      </w:r>
      <w:r>
        <w:rPr>
          <w:rFonts w:hint="eastAsia" w:ascii="仿宋_GB2312" w:hAnsi="仿宋_GB2312" w:eastAsia="仿宋_GB2312" w:cs="仿宋_GB2312"/>
          <w:sz w:val="32"/>
          <w:szCs w:val="32"/>
          <w:highlight w:val="none"/>
        </w:rPr>
        <w:t>%；上缴上级支出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%；经营支出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%；对附属单位补助支出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年度财政拨款收、支总计均为</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万元。与上年度相比，财政拨款收、支总计各增加</w:t>
      </w:r>
      <w:r>
        <w:rPr>
          <w:rFonts w:hint="eastAsia" w:ascii="仿宋_GB2312" w:hAnsi="仿宋_GB2312" w:eastAsia="仿宋_GB2312" w:cs="仿宋_GB2312"/>
          <w:sz w:val="32"/>
          <w:szCs w:val="32"/>
          <w:highlight w:val="none"/>
          <w:lang w:val="en-US" w:eastAsia="zh-CN"/>
        </w:rPr>
        <w:t>59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17</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11.87</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上年度项目经费结余到本年度支出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（一）总体情况。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万元，占支出合计的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%。与上年度相比，一般公共预算财政拨款支出增加</w:t>
      </w:r>
      <w:r>
        <w:rPr>
          <w:rFonts w:hint="eastAsia" w:ascii="仿宋_GB2312" w:hAnsi="仿宋_GB2312" w:eastAsia="仿宋_GB2312" w:cs="仿宋_GB2312"/>
          <w:sz w:val="32"/>
          <w:szCs w:val="32"/>
          <w:highlight w:val="none"/>
          <w:lang w:val="en-US" w:eastAsia="zh-CN"/>
        </w:rPr>
        <w:t>243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万元，增长</w:t>
      </w:r>
      <w:r>
        <w:rPr>
          <w:rFonts w:hint="eastAsia" w:ascii="仿宋_GB2312" w:hAnsi="仿宋_GB2312" w:eastAsia="仿宋_GB2312" w:cs="仿宋_GB2312"/>
          <w:sz w:val="32"/>
          <w:szCs w:val="32"/>
          <w:highlight w:val="none"/>
          <w:lang w:val="en-US" w:eastAsia="zh-CN"/>
        </w:rPr>
        <w:t>77.61</w:t>
      </w:r>
      <w:r>
        <w:rPr>
          <w:rFonts w:hint="eastAsia" w:ascii="仿宋_GB2312" w:hAnsi="仿宋_GB2312" w:eastAsia="仿宋_GB2312" w:cs="仿宋_GB2312"/>
          <w:sz w:val="32"/>
          <w:szCs w:val="32"/>
          <w:highlight w:val="none"/>
        </w:rPr>
        <w:t>%。主要原因是</w:t>
      </w:r>
      <w:r>
        <w:rPr>
          <w:rFonts w:hint="eastAsia" w:ascii="仿宋_GB2312" w:hAnsi="仿宋_GB2312" w:eastAsia="仿宋_GB2312" w:cs="仿宋_GB2312"/>
          <w:sz w:val="32"/>
          <w:szCs w:val="32"/>
          <w:highlight w:val="none"/>
          <w:lang w:val="en-US" w:eastAsia="zh-CN"/>
        </w:rPr>
        <w:t>上年度项目经费结余到本年度支出和本年度项目经费支出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（二）结构情况。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val="en-US" w:eastAsia="zh-CN"/>
        </w:rPr>
        <w:t>557.60</w:t>
      </w:r>
      <w:r>
        <w:rPr>
          <w:rFonts w:hint="eastAsia" w:ascii="仿宋_GB2312" w:hAnsi="仿宋_GB2312" w:eastAsia="仿宋_GB2312" w:cs="仿宋_GB2312"/>
          <w:sz w:val="32"/>
          <w:szCs w:val="32"/>
          <w:highlight w:val="none"/>
        </w:rPr>
        <w:t>万元，主要用于以下方面：一般公共服务（类）支出</w:t>
      </w:r>
      <w:r>
        <w:rPr>
          <w:rFonts w:hint="eastAsia" w:ascii="仿宋_GB2312" w:hAnsi="仿宋_GB2312" w:eastAsia="仿宋_GB2312" w:cs="仿宋_GB2312"/>
          <w:sz w:val="32"/>
          <w:szCs w:val="32"/>
          <w:highlight w:val="none"/>
          <w:lang w:val="en-US" w:eastAsia="zh-CN"/>
        </w:rPr>
        <w:t>532.45</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95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49</w:t>
      </w:r>
      <w:r>
        <w:rPr>
          <w:rFonts w:hint="eastAsia" w:ascii="仿宋_GB2312" w:hAnsi="仿宋_GB2312" w:eastAsia="仿宋_GB2312" w:cs="仿宋_GB2312"/>
          <w:sz w:val="32"/>
          <w:szCs w:val="32"/>
          <w:highlight w:val="none"/>
        </w:rPr>
        <w:t>%；外交（类）支出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%；社会保障和就业（类）支出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rPr>
        <w:t>%；卫生健康支出（类）支出</w:t>
      </w:r>
      <w:r>
        <w:rPr>
          <w:rFonts w:hint="eastAsia" w:ascii="仿宋_GB2312" w:hAnsi="仿宋_GB2312" w:eastAsia="仿宋_GB2312" w:cs="仿宋_GB2312"/>
          <w:sz w:val="32"/>
          <w:szCs w:val="32"/>
          <w:highlight w:val="none"/>
          <w:lang w:val="en-US" w:eastAsia="zh-CN"/>
        </w:rPr>
        <w:t>13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万元，占</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（三）具体情况。</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557</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206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63</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sz w:val="32"/>
          <w:szCs w:val="32"/>
          <w:highlight w:val="none"/>
        </w:rPr>
        <w:t>1．一般公共服务支出（类）群众团体事务（款）工会事务（项）。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16</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1.16</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rPr>
        <w:t>2．一般公共服务支出（类）党委办公厅（室）及相关机构事务（款）行政运行（项）。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102.60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color w:val="auto"/>
          <w:sz w:val="32"/>
          <w:szCs w:val="32"/>
          <w:highlight w:val="none"/>
          <w:lang w:val="en-US" w:eastAsia="zh-CN"/>
        </w:rPr>
        <w:t>决算数与年初预算数不存在差异</w:t>
      </w:r>
      <w:r>
        <w:rPr>
          <w:rFonts w:hint="eastAsia" w:ascii="仿宋_GB2312" w:hAnsi="仿宋_GB2312" w:eastAsia="仿宋_GB2312" w:cs="仿宋_GB2312"/>
          <w:sz w:val="32"/>
          <w:szCs w:val="32"/>
          <w:highlight w:val="none"/>
          <w:lang w:val="en-US" w:eastAsia="zh-CN"/>
        </w:rPr>
        <w:t>。</w:t>
      </w:r>
    </w:p>
    <w:p>
      <w:pPr>
        <w:widowControl/>
        <w:spacing w:line="59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w:t>
      </w:r>
      <w:r>
        <w:rPr>
          <w:rFonts w:hint="eastAsia" w:ascii="仿宋_GB2312" w:hAnsi="仿宋_GB2312" w:eastAsia="仿宋_GB2312" w:cs="仿宋_GB2312"/>
          <w:b/>
          <w:bCs/>
          <w:sz w:val="32"/>
          <w:szCs w:val="32"/>
          <w:highlight w:val="none"/>
        </w:rPr>
        <w:t>．一般公共服务支出（类）</w:t>
      </w:r>
      <w:r>
        <w:rPr>
          <w:rFonts w:hint="eastAsia" w:ascii="仿宋_GB2312" w:hAnsi="仿宋_GB2312" w:eastAsia="仿宋_GB2312" w:cs="仿宋_GB2312"/>
          <w:b/>
          <w:bCs/>
          <w:sz w:val="32"/>
          <w:szCs w:val="32"/>
          <w:highlight w:val="none"/>
          <w:lang w:val="en-US" w:eastAsia="zh-CN"/>
        </w:rPr>
        <w:t>网信事务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行政运行</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137.63</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173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126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20</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本年度新进人员追加的人员经费支出。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lang w:val="en-US" w:eastAsia="zh-CN"/>
        </w:rPr>
        <w:t>4</w:t>
      </w:r>
      <w:r>
        <w:rPr>
          <w:rFonts w:hint="eastAsia" w:ascii="仿宋_GB2312" w:hAnsi="仿宋_GB2312" w:eastAsia="仿宋_GB2312" w:cs="仿宋_GB2312"/>
          <w:b/>
          <w:bCs/>
          <w:sz w:val="32"/>
          <w:szCs w:val="32"/>
          <w:highlight w:val="none"/>
        </w:rPr>
        <w:t>．一般公共服务支出（类）</w:t>
      </w:r>
      <w:r>
        <w:rPr>
          <w:rFonts w:hint="eastAsia" w:ascii="仿宋_GB2312" w:hAnsi="仿宋_GB2312" w:eastAsia="仿宋_GB2312" w:cs="仿宋_GB2312"/>
          <w:b/>
          <w:bCs/>
          <w:sz w:val="32"/>
          <w:szCs w:val="32"/>
          <w:highlight w:val="none"/>
          <w:lang w:val="en-US" w:eastAsia="zh-CN"/>
        </w:rPr>
        <w:t>网信事务</w:t>
      </w:r>
      <w:r>
        <w:rPr>
          <w:rFonts w:hint="eastAsia" w:ascii="仿宋_GB2312" w:hAnsi="仿宋_GB2312" w:eastAsia="仿宋_GB2312" w:cs="仿宋_GB2312"/>
          <w:b/>
          <w:bCs/>
          <w:sz w:val="32"/>
          <w:szCs w:val="32"/>
          <w:highlight w:val="none"/>
        </w:rPr>
        <w:t>（款）</w:t>
      </w:r>
      <w:r>
        <w:rPr>
          <w:rFonts w:hint="eastAsia" w:ascii="仿宋_GB2312" w:hAnsi="仿宋_GB2312" w:eastAsia="仿宋_GB2312" w:cs="仿宋_GB2312"/>
          <w:b/>
          <w:bCs/>
          <w:sz w:val="32"/>
          <w:szCs w:val="32"/>
          <w:highlight w:val="none"/>
          <w:lang w:val="en-US" w:eastAsia="zh-CN"/>
        </w:rPr>
        <w:t>一般行政管理事务</w:t>
      </w:r>
      <w:r>
        <w:rPr>
          <w:rFonts w:hint="eastAsia" w:ascii="仿宋_GB2312" w:hAnsi="仿宋_GB2312" w:eastAsia="仿宋_GB2312" w:cs="仿宋_GB2312"/>
          <w:b/>
          <w:bCs/>
          <w:sz w:val="32"/>
          <w:szCs w:val="32"/>
          <w:highlight w:val="none"/>
        </w:rPr>
        <w:t>（项）。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255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上年度专项结余经费和追加本年度专项经费的支出</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5</w:t>
      </w:r>
      <w:r>
        <w:rPr>
          <w:rFonts w:hint="eastAsia" w:ascii="仿宋_GB2312" w:hAnsi="仿宋_GB2312" w:eastAsia="仿宋_GB2312" w:cs="仿宋_GB2312"/>
          <w:b/>
          <w:bCs/>
          <w:sz w:val="32"/>
          <w:szCs w:val="32"/>
          <w:highlight w:val="none"/>
        </w:rPr>
        <w:t>．社会保障和就业支出（类）行政事业单位养老支出（款）机关事业单位基本养老保险缴费支出（项）。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14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85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单位根据</w:t>
      </w:r>
      <w:r>
        <w:rPr>
          <w:rFonts w:hint="eastAsia" w:ascii="仿宋_GB2312" w:hAnsi="仿宋_GB2312" w:eastAsia="仿宋_GB2312" w:cs="仿宋_GB2312"/>
          <w:sz w:val="32"/>
          <w:szCs w:val="32"/>
          <w:highlight w:val="none"/>
        </w:rPr>
        <w:t>机关事业单位基本养老保险缴费</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b w:val="0"/>
          <w:bCs w:val="0"/>
          <w:sz w:val="32"/>
          <w:szCs w:val="32"/>
          <w:highlight w:val="none"/>
        </w:rPr>
        <w:t>支出</w:t>
      </w:r>
      <w:r>
        <w:rPr>
          <w:rFonts w:hint="eastAsia" w:ascii="仿宋_GB2312" w:hAnsi="仿宋_GB2312" w:eastAsia="仿宋_GB2312" w:cs="仿宋_GB2312"/>
          <w:b w:val="0"/>
          <w:bCs w:val="0"/>
          <w:sz w:val="32"/>
          <w:szCs w:val="32"/>
          <w:highlight w:val="none"/>
          <w:lang w:val="en-US" w:eastAsia="zh-CN"/>
        </w:rPr>
        <w:t>情况，据实合理编辑</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6</w:t>
      </w:r>
      <w:r>
        <w:rPr>
          <w:rFonts w:hint="eastAsia" w:ascii="仿宋_GB2312" w:hAnsi="仿宋_GB2312" w:eastAsia="仿宋_GB2312" w:cs="仿宋_GB2312"/>
          <w:b/>
          <w:bCs/>
          <w:sz w:val="32"/>
          <w:szCs w:val="32"/>
          <w:highlight w:val="none"/>
        </w:rPr>
        <w:t>．卫生健康支出（类）行政事业单位医疗（款）行政单位医疗（项）。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7.37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74</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单位根据</w:t>
      </w:r>
      <w:r>
        <w:rPr>
          <w:rFonts w:hint="eastAsia" w:ascii="仿宋_GB2312" w:hAnsi="仿宋_GB2312" w:eastAsia="仿宋_GB2312" w:cs="仿宋_GB2312"/>
          <w:b w:val="0"/>
          <w:bCs w:val="0"/>
          <w:sz w:val="32"/>
          <w:szCs w:val="32"/>
          <w:highlight w:val="none"/>
        </w:rPr>
        <w:t>行政单位医疗费</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b w:val="0"/>
          <w:bCs w:val="0"/>
          <w:sz w:val="32"/>
          <w:szCs w:val="32"/>
          <w:highlight w:val="none"/>
        </w:rPr>
        <w:t>支出</w:t>
      </w:r>
      <w:r>
        <w:rPr>
          <w:rFonts w:hint="eastAsia" w:ascii="仿宋_GB2312" w:hAnsi="仿宋_GB2312" w:eastAsia="仿宋_GB2312" w:cs="仿宋_GB2312"/>
          <w:b w:val="0"/>
          <w:bCs w:val="0"/>
          <w:sz w:val="32"/>
          <w:szCs w:val="32"/>
          <w:highlight w:val="none"/>
          <w:lang w:val="en-US" w:eastAsia="zh-CN"/>
        </w:rPr>
        <w:t>情况，据实合理编辑</w:t>
      </w:r>
      <w:r>
        <w:rPr>
          <w:rFonts w:hint="eastAsia" w:ascii="仿宋_GB2312" w:hAnsi="仿宋_GB2312" w:eastAsia="仿宋_GB2312" w:cs="仿宋_GB2312"/>
          <w:b w:val="0"/>
          <w:bCs w:val="0"/>
          <w:sz w:val="32"/>
          <w:szCs w:val="32"/>
          <w:highlight w:val="none"/>
        </w:rPr>
        <w:t>。</w:t>
      </w:r>
    </w:p>
    <w:p>
      <w:pPr>
        <w:widowControl/>
        <w:spacing w:line="590" w:lineRule="exact"/>
        <w:ind w:firstLine="643"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bCs/>
          <w:sz w:val="32"/>
          <w:szCs w:val="32"/>
          <w:highlight w:val="none"/>
          <w:lang w:val="en-US" w:eastAsia="zh-CN"/>
        </w:rPr>
        <w:t>7</w:t>
      </w:r>
      <w:r>
        <w:rPr>
          <w:rFonts w:hint="eastAsia" w:ascii="仿宋_GB2312" w:hAnsi="仿宋_GB2312" w:eastAsia="仿宋_GB2312" w:cs="仿宋_GB2312"/>
          <w:b/>
          <w:bCs/>
          <w:sz w:val="32"/>
          <w:szCs w:val="32"/>
          <w:highlight w:val="none"/>
        </w:rPr>
        <w:t>．卫生健康支出（类）行政事业单位医疗（款）公务员医疗补助（项）。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7.02</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42</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45</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val="en-US" w:eastAsia="zh-CN"/>
        </w:rPr>
        <w:t>单位根据</w:t>
      </w:r>
      <w:r>
        <w:rPr>
          <w:rFonts w:hint="eastAsia" w:ascii="仿宋_GB2312" w:hAnsi="仿宋_GB2312" w:eastAsia="仿宋_GB2312" w:cs="仿宋_GB2312"/>
          <w:b w:val="0"/>
          <w:bCs w:val="0"/>
          <w:sz w:val="32"/>
          <w:szCs w:val="32"/>
          <w:highlight w:val="none"/>
        </w:rPr>
        <w:t>公务员医疗补助</w:t>
      </w:r>
      <w:r>
        <w:rPr>
          <w:rFonts w:hint="eastAsia" w:ascii="仿宋_GB2312" w:hAnsi="仿宋_GB2312" w:eastAsia="仿宋_GB2312" w:cs="仿宋_GB2312"/>
          <w:sz w:val="32"/>
          <w:szCs w:val="32"/>
          <w:highlight w:val="none"/>
          <w:lang w:val="en-US" w:eastAsia="zh-CN"/>
        </w:rPr>
        <w:t>实际</w:t>
      </w:r>
      <w:r>
        <w:rPr>
          <w:rFonts w:hint="eastAsia" w:ascii="仿宋_GB2312" w:hAnsi="仿宋_GB2312" w:eastAsia="仿宋_GB2312" w:cs="仿宋_GB2312"/>
          <w:b w:val="0"/>
          <w:bCs w:val="0"/>
          <w:sz w:val="32"/>
          <w:szCs w:val="32"/>
          <w:highlight w:val="none"/>
        </w:rPr>
        <w:t>支出</w:t>
      </w:r>
      <w:r>
        <w:rPr>
          <w:rFonts w:hint="eastAsia" w:ascii="仿宋_GB2312" w:hAnsi="仿宋_GB2312" w:eastAsia="仿宋_GB2312" w:cs="仿宋_GB2312"/>
          <w:b w:val="0"/>
          <w:bCs w:val="0"/>
          <w:sz w:val="32"/>
          <w:szCs w:val="32"/>
          <w:highlight w:val="none"/>
          <w:lang w:val="en-US" w:eastAsia="zh-CN"/>
        </w:rPr>
        <w:t>情况，据实合理编辑</w:t>
      </w:r>
      <w:r>
        <w:rPr>
          <w:rFonts w:hint="eastAsia" w:ascii="仿宋_GB2312" w:hAnsi="仿宋_GB2312" w:eastAsia="仿宋_GB2312" w:cs="仿宋_GB2312"/>
          <w:b w:val="0"/>
          <w:bCs w:val="0"/>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年度一般公共预算财政拨款基本支出</w:t>
      </w:r>
      <w:r>
        <w:rPr>
          <w:rFonts w:hint="eastAsia" w:ascii="仿宋_GB2312" w:hAnsi="仿宋_GB2312" w:eastAsia="仿宋_GB2312" w:cs="仿宋_GB2312"/>
          <w:sz w:val="32"/>
          <w:szCs w:val="32"/>
          <w:highlight w:val="none"/>
          <w:lang w:val="en-US" w:eastAsia="zh-CN"/>
        </w:rPr>
        <w:t>302</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万元。其中：人员经费</w:t>
      </w:r>
      <w:r>
        <w:rPr>
          <w:rFonts w:hint="eastAsia" w:ascii="仿宋_GB2312" w:hAnsi="仿宋_GB2312" w:eastAsia="仿宋_GB2312" w:cs="仿宋_GB2312"/>
          <w:sz w:val="32"/>
          <w:szCs w:val="32"/>
          <w:highlight w:val="none"/>
          <w:lang w:val="en-US" w:eastAsia="zh-CN"/>
        </w:rPr>
        <w:t>260.90</w:t>
      </w:r>
      <w:r>
        <w:rPr>
          <w:rFonts w:hint="eastAsia" w:ascii="仿宋_GB2312" w:hAnsi="仿宋_GB2312" w:eastAsia="仿宋_GB2312" w:cs="仿宋_GB2312"/>
          <w:sz w:val="32"/>
          <w:szCs w:val="32"/>
          <w:highlight w:val="none"/>
        </w:rPr>
        <w:t>万元，主要包括：基本工资、津贴补贴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奖金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伙食补助费、机关事业单位基本养老保险缴费、职工基本医疗保险缴费</w:t>
      </w:r>
      <w:r>
        <w:rPr>
          <w:rFonts w:hint="eastAsia" w:ascii="仿宋_GB2312" w:hAnsi="仿宋_GB2312" w:eastAsia="仿宋_GB2312" w:cs="仿宋_GB2312"/>
          <w:sz w:val="32"/>
          <w:szCs w:val="32"/>
          <w:highlight w:val="none"/>
          <w:lang w:eastAsia="zh-CN"/>
        </w:rPr>
        <w:t>、公务员医疗补助缴费、</w:t>
      </w:r>
      <w:r>
        <w:rPr>
          <w:rFonts w:hint="eastAsia" w:ascii="仿宋_GB2312" w:hAnsi="仿宋_GB2312" w:eastAsia="仿宋_GB2312" w:cs="仿宋_GB2312"/>
          <w:sz w:val="32"/>
          <w:szCs w:val="32"/>
          <w:highlight w:val="none"/>
        </w:rPr>
        <w:t>其他社会保障缴费、住房公积金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其他工资福利支出、生活补助；公用经费</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万元，主要包括：办公费、印刷费、水费、邮电费、差旅费、维修（护）费、会议费、公务接待费、劳务费、工会经费、福利费、公务用车运行维护费、其他交通费用、其他商品和服务支出、办公设备购置。</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年度“三公”经费财政拨款支出预算为</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91</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72</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年度“三公”经费支出决算数与预算数存在差异的主要原因是</w:t>
      </w:r>
      <w:r>
        <w:rPr>
          <w:rFonts w:hint="eastAsia" w:ascii="仿宋_GB2312" w:hAnsi="仿宋_GB2312" w:eastAsia="仿宋_GB2312" w:cs="仿宋_GB2312"/>
          <w:sz w:val="32"/>
          <w:szCs w:val="32"/>
          <w:highlight w:val="none"/>
          <w:lang w:val="en-US" w:eastAsia="zh-CN"/>
        </w:rPr>
        <w:t>按照只减不增要求，坚持节约“三公”费用</w:t>
      </w:r>
      <w:r>
        <w:rPr>
          <w:rFonts w:hint="eastAsia" w:ascii="仿宋_GB2312" w:hAnsi="仿宋_GB2312" w:eastAsia="仿宋_GB2312" w:cs="仿宋_GB2312"/>
          <w:sz w:val="32"/>
          <w:szCs w:val="32"/>
          <w:highlight w:val="none"/>
        </w:rPr>
        <w:t>。</w:t>
      </w:r>
    </w:p>
    <w:p>
      <w:pPr>
        <w:widowControl/>
        <w:spacing w:line="590" w:lineRule="exact"/>
        <w:ind w:firstLine="643" w:firstLineChars="200"/>
        <w:outlineLvl w:val="2"/>
        <w:rPr>
          <w:rFonts w:hint="eastAsia" w:ascii="楷体_GB2312" w:hAnsi="楷体_GB2312" w:eastAsia="楷体_GB2312" w:cs="楷体_GB2312"/>
          <w:b/>
          <w:bCs/>
          <w:sz w:val="32"/>
          <w:szCs w:val="32"/>
          <w:highlight w:val="none"/>
        </w:rPr>
      </w:pPr>
      <w:r>
        <w:rPr>
          <w:rFonts w:hint="eastAsia" w:ascii="楷体_GB2312" w:hAnsi="楷体_GB2312" w:eastAsia="楷体_GB2312" w:cs="楷体_GB2312"/>
          <w:b/>
          <w:bCs/>
          <w:sz w:val="32"/>
          <w:szCs w:val="32"/>
          <w:highlight w:val="none"/>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年度“三公”经费财政拨款支出决算中，因公出国（境）费支出决算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%；公务用车购置及运行费支出决算</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53.93</w:t>
      </w:r>
      <w:r>
        <w:rPr>
          <w:rFonts w:hint="eastAsia" w:ascii="仿宋_GB2312" w:hAnsi="仿宋_GB2312" w:eastAsia="仿宋_GB2312" w:cs="仿宋_GB2312"/>
          <w:sz w:val="32"/>
          <w:szCs w:val="32"/>
          <w:highlight w:val="none"/>
        </w:rPr>
        <w:t>%；公务接待费支出决算</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%，占</w:t>
      </w:r>
      <w:r>
        <w:rPr>
          <w:rFonts w:hint="eastAsia" w:ascii="仿宋_GB2312" w:hAnsi="仿宋_GB2312" w:eastAsia="仿宋_GB2312" w:cs="仿宋_GB2312"/>
          <w:sz w:val="32"/>
          <w:szCs w:val="32"/>
          <w:highlight w:val="none"/>
          <w:lang w:val="en-US" w:eastAsia="zh-CN"/>
        </w:rPr>
        <w:t>46</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07</w:t>
      </w:r>
      <w:r>
        <w:rPr>
          <w:rFonts w:hint="eastAsia" w:ascii="仿宋_GB2312" w:hAnsi="仿宋_GB2312" w:eastAsia="仿宋_GB2312" w:cs="仿宋_GB2312"/>
          <w:sz w:val="32"/>
          <w:szCs w:val="32"/>
          <w:highlight w:val="none"/>
        </w:rPr>
        <w:t>%。具体情况如下：</w:t>
      </w:r>
    </w:p>
    <w:p>
      <w:pPr>
        <w:spacing w:beforeLines="0" w:afterLines="0" w:line="590" w:lineRule="exact"/>
        <w:ind w:firstLine="640"/>
        <w:rPr>
          <w:rFonts w:hint="default" w:ascii="Times New Roman" w:hAnsi="Times New Roman" w:eastAsia="Times New Roman"/>
          <w:kern w:val="0"/>
          <w:sz w:val="18"/>
          <w:szCs w:val="24"/>
          <w:lang w:val="zh-CN"/>
        </w:rPr>
      </w:pPr>
      <w:r>
        <w:rPr>
          <w:rFonts w:hint="eastAsia" w:ascii="仿宋_GB2312" w:hAnsi="仿宋_GB2312" w:eastAsia="仿宋_GB2312"/>
          <w:b/>
          <w:sz w:val="32"/>
          <w:szCs w:val="24"/>
          <w:lang w:val="en-US"/>
        </w:rPr>
        <w:t>1．因公出国（境）费</w:t>
      </w:r>
      <w:r>
        <w:rPr>
          <w:rFonts w:hint="eastAsia" w:ascii="仿宋_GB2312" w:hAnsi="仿宋_GB2312" w:eastAsia="仿宋_GB2312"/>
          <w:sz w:val="32"/>
          <w:szCs w:val="24"/>
          <w:lang w:val="en-US"/>
        </w:rPr>
        <w:t>预算为0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万元，支出决算为0</w:t>
      </w:r>
      <w:r>
        <w:rPr>
          <w:rFonts w:hint="eastAsia" w:ascii="仿宋_GB2312" w:hAnsi="仿宋_GB2312" w:eastAsia="仿宋_GB2312"/>
          <w:sz w:val="32"/>
          <w:szCs w:val="24"/>
          <w:lang w:val="en-US" w:eastAsia="zh-CN"/>
        </w:rPr>
        <w:t>.00</w:t>
      </w:r>
      <w:r>
        <w:rPr>
          <w:rFonts w:hint="eastAsia" w:ascii="仿宋_GB2312" w:hAnsi="仿宋_GB2312" w:eastAsia="仿宋_GB2312"/>
          <w:sz w:val="32"/>
          <w:szCs w:val="24"/>
          <w:lang w:val="en-US"/>
        </w:rPr>
        <w:t>万元。决算数与预算数不存在差异。因公出国（境）团组数0个，因公出国（境）人次数0人。</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2．公务用车购置及运行费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25</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75</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按照只减不增要求，坚持节约“三公”费用</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公务用车购置支出</w:t>
      </w:r>
      <w:r>
        <w:rPr>
          <w:rFonts w:hint="eastAsia" w:ascii="仿宋_GB2312" w:hAnsi="仿宋_GB2312" w:eastAsia="仿宋_GB2312" w:cs="仿宋_GB2312"/>
          <w:sz w:val="32"/>
          <w:szCs w:val="32"/>
          <w:highlight w:val="none"/>
        </w:rPr>
        <w:t>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万元，购置车辆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台，其中</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公务用车运行支出</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公务用车维修、保修、购买汽油和保险等支出</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年期末，单位开支财政拨款的公务用车保有量为</w:t>
      </w:r>
      <w:r>
        <w:rPr>
          <w:rFonts w:hint="eastAsia" w:ascii="仿宋_GB2312" w:hAnsi="仿宋_GB2312" w:eastAsia="仿宋_GB2312" w:cs="仿宋_GB2312"/>
          <w:sz w:val="32"/>
          <w:szCs w:val="32"/>
          <w:highlight w:val="none"/>
          <w:lang w:val="en-US" w:eastAsia="zh-CN"/>
        </w:rPr>
        <w:t>1辆</w:t>
      </w:r>
      <w:r>
        <w:rPr>
          <w:rFonts w:hint="eastAsia" w:ascii="仿宋_GB2312" w:hAnsi="仿宋_GB2312" w:eastAsia="仿宋_GB2312" w:cs="仿宋_GB2312"/>
          <w:sz w:val="32"/>
          <w:szCs w:val="32"/>
          <w:highlight w:val="none"/>
        </w:rPr>
        <w:t>。</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3.公务接待费</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2.65</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rPr>
        <w:t>万元，完成预算的</w:t>
      </w:r>
      <w:r>
        <w:rPr>
          <w:rFonts w:hint="eastAsia" w:ascii="仿宋_GB2312" w:hAnsi="仿宋_GB2312" w:eastAsia="仿宋_GB2312" w:cs="仿宋_GB2312"/>
          <w:sz w:val="32"/>
          <w:szCs w:val="32"/>
          <w:highlight w:val="none"/>
          <w:lang w:val="en-US" w:eastAsia="zh-CN"/>
        </w:rPr>
        <w:t>33</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21</w:t>
      </w:r>
      <w:r>
        <w:rPr>
          <w:rFonts w:hint="eastAsia" w:ascii="仿宋_GB2312" w:hAnsi="仿宋_GB2312" w:eastAsia="仿宋_GB2312" w:cs="仿宋_GB2312"/>
          <w:sz w:val="32"/>
          <w:szCs w:val="32"/>
          <w:highlight w:val="none"/>
        </w:rPr>
        <w:t>%。决算数与预算数存在差异的主要原因是</w:t>
      </w:r>
      <w:r>
        <w:rPr>
          <w:rFonts w:hint="eastAsia" w:ascii="仿宋_GB2312" w:hAnsi="仿宋_GB2312" w:eastAsia="仿宋_GB2312" w:cs="仿宋_GB2312"/>
          <w:sz w:val="32"/>
          <w:szCs w:val="32"/>
          <w:highlight w:val="none"/>
          <w:lang w:val="en-US" w:eastAsia="zh-CN"/>
        </w:rPr>
        <w:t>按照只减不增要求，减少公务接待费用</w:t>
      </w:r>
      <w:r>
        <w:rPr>
          <w:rFonts w:hint="eastAsia" w:ascii="仿宋_GB2312" w:hAnsi="仿宋_GB2312" w:eastAsia="仿宋_GB2312" w:cs="仿宋_GB2312"/>
          <w:sz w:val="32"/>
          <w:szCs w:val="32"/>
          <w:highlight w:val="none"/>
        </w:rPr>
        <w:t>。其中：</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外宾接待支出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年共接待国（境）外来访团组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个、来访外宾</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人次（不包括陪同人员）。</w:t>
      </w:r>
    </w:p>
    <w:p>
      <w:pPr>
        <w:widowControl/>
        <w:spacing w:line="590" w:lineRule="exact"/>
        <w:ind w:firstLine="643"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Pr>
        <w:t>其他国内公务接待支出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88</w:t>
      </w:r>
      <w:r>
        <w:rPr>
          <w:rFonts w:hint="eastAsia" w:ascii="仿宋_GB2312" w:hAnsi="仿宋_GB2312" w:eastAsia="仿宋_GB2312" w:cs="仿宋_GB2312"/>
          <w:sz w:val="32"/>
          <w:szCs w:val="32"/>
          <w:highlight w:val="none"/>
        </w:rPr>
        <w:t>万元。主要用于</w:t>
      </w:r>
      <w:r>
        <w:rPr>
          <w:rFonts w:hint="eastAsia" w:ascii="仿宋_GB2312" w:hAnsi="仿宋_GB2312" w:eastAsia="仿宋_GB2312" w:cs="仿宋_GB2312"/>
          <w:sz w:val="32"/>
          <w:szCs w:val="32"/>
          <w:highlight w:val="none"/>
          <w:lang w:val="en-US" w:eastAsia="zh-CN"/>
        </w:rPr>
        <w:t>省委网信办科技展览馆来许巡展和网络安全技术员在许期间的住宿和伙食费用</w:t>
      </w:r>
      <w:r>
        <w:rPr>
          <w:rFonts w:hint="eastAsia" w:ascii="仿宋_GB2312" w:hAnsi="仿宋_GB2312" w:eastAsia="仿宋_GB2312" w:cs="仿宋_GB2312"/>
          <w:sz w:val="32"/>
          <w:szCs w:val="32"/>
          <w:highlight w:val="none"/>
        </w:rPr>
        <w:t>。</w:t>
      </w: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年共接待国内来访团组</w:t>
      </w: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个、来宾</w:t>
      </w:r>
      <w:r>
        <w:rPr>
          <w:rFonts w:hint="eastAsia" w:ascii="仿宋_GB2312" w:hAnsi="仿宋_GB2312" w:eastAsia="仿宋_GB2312" w:cs="仿宋_GB2312"/>
          <w:sz w:val="32"/>
          <w:szCs w:val="32"/>
          <w:highlight w:val="none"/>
          <w:lang w:val="en-US" w:eastAsia="zh-CN"/>
        </w:rPr>
        <w:t>60</w:t>
      </w:r>
      <w:r>
        <w:rPr>
          <w:rFonts w:hint="eastAsia" w:ascii="仿宋_GB2312" w:hAnsi="仿宋_GB2312" w:eastAsia="仿宋_GB2312" w:cs="仿宋_GB2312"/>
          <w:sz w:val="32"/>
          <w:szCs w:val="32"/>
          <w:highlight w:val="none"/>
        </w:rPr>
        <w:t>人次（不包括陪同人员）。</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年度政府性基金预算财政拨款支出</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不存在项目年末结转和结余资金数额较大</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情况说明</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lang w:val="en-US" w:eastAsia="zh-CN"/>
        </w:rPr>
        <w:t>部门2021年度没有政府性基金收入，也没有使用政府性基金安排的支出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年度机关运行经费</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预算为</w:t>
      </w:r>
      <w:r>
        <w:rPr>
          <w:rFonts w:hint="eastAsia" w:ascii="仿宋_GB2312" w:hAnsi="仿宋_GB2312" w:eastAsia="仿宋_GB2312" w:cs="仿宋_GB2312"/>
          <w:sz w:val="32"/>
          <w:szCs w:val="32"/>
          <w:highlight w:val="none"/>
          <w:lang w:val="en-US" w:eastAsia="zh-CN"/>
        </w:rPr>
        <w:t>41.97</w:t>
      </w:r>
      <w:r>
        <w:rPr>
          <w:rFonts w:hint="eastAsia" w:ascii="仿宋_GB2312" w:hAnsi="仿宋_GB2312" w:eastAsia="仿宋_GB2312" w:cs="仿宋_GB2312"/>
          <w:sz w:val="32"/>
          <w:szCs w:val="32"/>
          <w:highlight w:val="none"/>
        </w:rPr>
        <w:t>万元，支出决算为</w:t>
      </w:r>
      <w:r>
        <w:rPr>
          <w:rFonts w:hint="eastAsia" w:ascii="仿宋_GB2312" w:hAnsi="仿宋_GB2312" w:eastAsia="仿宋_GB2312" w:cs="仿宋_GB2312"/>
          <w:sz w:val="32"/>
          <w:szCs w:val="32"/>
          <w:highlight w:val="none"/>
          <w:lang w:val="en-US" w:eastAsia="zh-CN"/>
        </w:rPr>
        <w:t>41</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70</w:t>
      </w:r>
      <w:r>
        <w:rPr>
          <w:rFonts w:hint="eastAsia" w:ascii="仿宋_GB2312" w:hAnsi="仿宋_GB2312" w:eastAsia="仿宋_GB2312" w:cs="仿宋_GB2312"/>
          <w:sz w:val="32"/>
          <w:szCs w:val="32"/>
          <w:highlight w:val="none"/>
        </w:rPr>
        <w:t>万元，完成</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预算的</w:t>
      </w:r>
      <w:r>
        <w:rPr>
          <w:rFonts w:hint="eastAsia" w:ascii="仿宋_GB2312" w:hAnsi="仿宋_GB2312" w:eastAsia="仿宋_GB2312" w:cs="仿宋_GB2312"/>
          <w:sz w:val="32"/>
          <w:szCs w:val="32"/>
          <w:highlight w:val="none"/>
          <w:lang w:val="en-US" w:eastAsia="zh-CN"/>
        </w:rPr>
        <w:t>99</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36</w:t>
      </w:r>
      <w:r>
        <w:rPr>
          <w:rFonts w:hint="eastAsia" w:ascii="仿宋_GB2312" w:hAnsi="仿宋_GB2312" w:eastAsia="仿宋_GB2312" w:cs="仿宋_GB2312"/>
          <w:sz w:val="32"/>
          <w:szCs w:val="32"/>
          <w:highlight w:val="none"/>
        </w:rPr>
        <w:t>%。决算数与</w:t>
      </w:r>
      <w:r>
        <w:rPr>
          <w:rFonts w:hint="eastAsia" w:ascii="仿宋_GB2312" w:hAnsi="仿宋_GB2312" w:eastAsia="仿宋_GB2312" w:cs="仿宋_GB2312"/>
          <w:sz w:val="32"/>
          <w:szCs w:val="32"/>
          <w:highlight w:val="none"/>
          <w:lang w:eastAsia="zh-CN"/>
        </w:rPr>
        <w:t>年初</w:t>
      </w:r>
      <w:r>
        <w:rPr>
          <w:rFonts w:hint="eastAsia" w:ascii="仿宋_GB2312" w:hAnsi="仿宋_GB2312" w:eastAsia="仿宋_GB2312" w:cs="仿宋_GB2312"/>
          <w:sz w:val="32"/>
          <w:szCs w:val="32"/>
          <w:highlight w:val="none"/>
        </w:rPr>
        <w:t>预算数存在差异的主要原因是</w:t>
      </w:r>
      <w:r>
        <w:rPr>
          <w:rFonts w:hint="eastAsia" w:ascii="仿宋_GB2312" w:hAnsi="仿宋_GB2312" w:eastAsia="仿宋_GB2312" w:cs="仿宋_GB2312"/>
          <w:sz w:val="32"/>
          <w:szCs w:val="32"/>
          <w:highlight w:val="none"/>
          <w:lang w:eastAsia="zh-CN"/>
        </w:rPr>
        <w:t>我</w:t>
      </w:r>
      <w:r>
        <w:rPr>
          <w:rFonts w:hint="eastAsia" w:ascii="仿宋_GB2312" w:hAnsi="仿宋_GB2312" w:eastAsia="仿宋_GB2312" w:cs="仿宋_GB2312"/>
          <w:sz w:val="32"/>
          <w:szCs w:val="32"/>
          <w:highlight w:val="none"/>
          <w:lang w:val="en-US" w:eastAsia="zh-CN"/>
        </w:rPr>
        <w:t>单位按照厉行节约要求，根据单位实际情况支出</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十、政府采购支出情况说明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年度政府采购支出总额</w:t>
      </w:r>
      <w:r>
        <w:rPr>
          <w:rFonts w:hint="eastAsia" w:ascii="仿宋_GB2312" w:hAnsi="仿宋_GB2312" w:eastAsia="仿宋_GB2312" w:cs="仿宋_GB2312"/>
          <w:sz w:val="32"/>
          <w:szCs w:val="32"/>
          <w:highlight w:val="none"/>
          <w:lang w:val="en-US" w:eastAsia="zh-CN"/>
        </w:rPr>
        <w:t>118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万元，其中：政府采购货物支出</w:t>
      </w:r>
      <w:r>
        <w:rPr>
          <w:rFonts w:hint="eastAsia" w:ascii="仿宋_GB2312" w:hAnsi="仿宋_GB2312" w:eastAsia="仿宋_GB2312" w:cs="仿宋_GB2312"/>
          <w:sz w:val="32"/>
          <w:szCs w:val="32"/>
          <w:highlight w:val="none"/>
          <w:lang w:val="en-US" w:eastAsia="zh-CN"/>
        </w:rPr>
        <w:t>118</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03</w:t>
      </w:r>
      <w:r>
        <w:rPr>
          <w:rFonts w:hint="eastAsia" w:ascii="仿宋_GB2312" w:hAnsi="仿宋_GB2312" w:eastAsia="仿宋_GB2312" w:cs="仿宋_GB2312"/>
          <w:sz w:val="32"/>
          <w:szCs w:val="32"/>
          <w:highlight w:val="none"/>
        </w:rPr>
        <w:t>万元、政府采购工程支出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万元、政府采购服务支出</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万元。授予中小企业合同金额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%，其中：授予小微企业合同金额</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万元，占政府采购支出总额的</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00</w:t>
      </w:r>
      <w:r>
        <w:rPr>
          <w:rFonts w:hint="eastAsia" w:ascii="仿宋_GB2312" w:hAnsi="仿宋_GB2312" w:eastAsia="仿宋_GB2312" w:cs="仿宋_GB2312"/>
          <w:sz w:val="32"/>
          <w:szCs w:val="32"/>
          <w:highlight w:val="none"/>
        </w:rPr>
        <w:t>%。</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十一、国有资产占用情况说明</w:t>
      </w:r>
    </w:p>
    <w:p>
      <w:pPr>
        <w:widowControl/>
        <w:spacing w:line="590" w:lineRule="exact"/>
        <w:ind w:firstLine="640" w:firstLineChars="200"/>
        <w:rPr>
          <w:rFonts w:hint="eastAsia" w:ascii="仿宋_GB2312" w:hAnsi="仿宋_GB2312" w:eastAsia="仿宋_GB2312" w:cs="仿宋_GB2312"/>
          <w:sz w:val="32"/>
          <w:szCs w:val="32"/>
          <w:highlight w:val="none"/>
        </w:rPr>
      </w:pPr>
      <w:r>
        <w:rPr>
          <w:rFonts w:ascii="仿宋_GB2312" w:hAnsi="仿宋_GB2312" w:eastAsia="仿宋_GB2312" w:cs="仿宋_GB2312"/>
          <w:sz w:val="32"/>
          <w:szCs w:val="32"/>
          <w:highlight w:val="none"/>
        </w:rPr>
        <w:t>2021</w:t>
      </w:r>
      <w:r>
        <w:rPr>
          <w:rFonts w:hint="eastAsia" w:ascii="仿宋_GB2312" w:hAnsi="仿宋_GB2312" w:eastAsia="仿宋_GB2312" w:cs="仿宋_GB2312"/>
          <w:sz w:val="32"/>
          <w:szCs w:val="32"/>
          <w:highlight w:val="none"/>
        </w:rPr>
        <w:t>年期末，我单位共有车辆</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辆，其中：省级领导干部用车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辆、主要领导干部用车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辆、机要通信用车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辆、应急保障车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辆、执法执勤用车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辆、特种专业技术用车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辆、离退休干部用车</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辆、其他用车</w:t>
      </w: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辆；单位价值50万元以上通用设备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台（套），单位价值100万元以上专用设备</w:t>
      </w:r>
      <w:r>
        <w:rPr>
          <w:rFonts w:hint="eastAsia" w:ascii="仿宋_GB2312" w:hAnsi="仿宋_GB2312" w:eastAsia="仿宋_GB2312" w:cs="仿宋_GB2312"/>
          <w:sz w:val="32"/>
          <w:szCs w:val="32"/>
          <w:highlight w:val="none"/>
          <w:lang w:val="en-US" w:eastAsia="zh-CN"/>
        </w:rPr>
        <w:t>0</w:t>
      </w:r>
      <w:r>
        <w:rPr>
          <w:rFonts w:hint="eastAsia" w:ascii="仿宋_GB2312" w:hAnsi="仿宋_GB2312" w:eastAsia="仿宋_GB2312" w:cs="仿宋_GB2312"/>
          <w:sz w:val="32"/>
          <w:szCs w:val="32"/>
          <w:highlight w:val="none"/>
        </w:rPr>
        <w:t>台（套）。</w:t>
      </w:r>
    </w:p>
    <w:p>
      <w:pPr>
        <w:widowControl/>
        <w:spacing w:line="590" w:lineRule="exact"/>
        <w:ind w:firstLine="640" w:firstLineChars="200"/>
        <w:outlineLvl w:val="1"/>
        <w:rPr>
          <w:rFonts w:hint="eastAsia" w:ascii="黑体" w:hAnsi="黑体" w:eastAsia="黑体" w:cs="黑体"/>
          <w:sz w:val="32"/>
          <w:szCs w:val="32"/>
          <w:highlight w:val="none"/>
        </w:rPr>
      </w:pPr>
      <w:r>
        <w:rPr>
          <w:rFonts w:hint="eastAsia" w:ascii="黑体" w:hAnsi="黑体" w:eastAsia="黑体" w:cs="黑体"/>
          <w:sz w:val="32"/>
          <w:szCs w:val="32"/>
          <w:highlight w:val="none"/>
        </w:rPr>
        <w:t>十二、预算绩效情况说明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（一）绩效管理工作开展情况。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我部门按照《中共许昌市委 许昌市人民政府关于全面实施预算绩效管理的实施意见》（许发〔2021〕13号）文件要求，对本部门整体支出和项目支出开展全过程预算绩效管理。2021年我部门纳入预算绩效管理的支出总额为557.60万元，其中：基本支出302.60万元；支出项目2个，支出金额255万元。开展项目绩效自评项目2个，自评金额255万元；纳入重点绩效评价0个，评价金额0.00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（二）部门（单位）整体和项目绩效自评结果。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按照《许昌市财政局关于开展2021年度市级预算绩效自评工作的通知》（许财效）〔2022〕1号）等文件精神，我部门对本部门整体绩效目标和项目支出绩效目标进行了自评。一是部门整体绩效自评情况。市委网信办2021年度纳入部门整体预算绩效管理的金额557.60万元，部门整体预算绩效目标、绩效指标设定情况整体良好。二是项目绩效自评情况。我部门共有2个项目批复了绩效目标，项目金额255.00万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0" w:firstLineChars="300"/>
        <w:jc w:val="both"/>
        <w:textAlignment w:val="auto"/>
        <w:outlineLvl w:val="9"/>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项目预期目标的实现程度，对2021年度项目支出绩效进行自评，绩效自评平均得分为90分。其中：0个项目评价等级为“优”、2个项目评价等级为“良”、0个项目评价等级为“中”、0个项目评价等级为“差”。</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964" w:firstLineChars="300"/>
        <w:jc w:val="both"/>
        <w:textAlignment w:val="auto"/>
        <w:outlineLvl w:val="2"/>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（三）重点绩效评价结果。</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640" w:firstLineChars="200"/>
        <w:jc w:val="both"/>
        <w:textAlignment w:val="auto"/>
        <w:outlineLvl w:val="9"/>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2021年度我部门没有开展重点绩效评价的项目。</w:t>
      </w: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pStyle w:val="2"/>
        <w:rPr>
          <w:rFonts w:hint="eastAsia" w:ascii="黑体" w:hAnsi="宋体" w:eastAsia="黑体" w:cs="宋体"/>
          <w:kern w:val="0"/>
          <w:sz w:val="28"/>
          <w:szCs w:val="28"/>
          <w:highlight w:val="none"/>
        </w:rPr>
      </w:pPr>
    </w:p>
    <w:p>
      <w:pPr>
        <w:widowControl/>
        <w:jc w:val="left"/>
        <w:rPr>
          <w:rFonts w:hint="eastAsia" w:ascii="黑体" w:hAnsi="宋体" w:eastAsia="黑体" w:cs="宋体"/>
          <w:kern w:val="0"/>
          <w:sz w:val="28"/>
          <w:szCs w:val="28"/>
          <w:highlight w:val="none"/>
        </w:rPr>
      </w:pPr>
    </w:p>
    <w:p>
      <w:pPr>
        <w:pStyle w:val="2"/>
        <w:ind w:left="0" w:leftChars="0" w:firstLine="0" w:firstLineChars="0"/>
        <w:rPr>
          <w:rFonts w:hint="eastAsia"/>
        </w:rPr>
      </w:pPr>
    </w:p>
    <w:p>
      <w:pPr>
        <w:jc w:val="center"/>
        <w:outlineLvl w:val="0"/>
        <w:rPr>
          <w:rFonts w:hint="eastAsia" w:ascii="黑体" w:hAnsi="黑体" w:eastAsia="黑体" w:cs="黑体"/>
          <w:sz w:val="48"/>
          <w:szCs w:val="48"/>
          <w:highlight w:val="none"/>
        </w:rPr>
      </w:pPr>
      <w:r>
        <w:rPr>
          <w:rFonts w:hint="eastAsia" w:ascii="黑体" w:hAnsi="黑体" w:eastAsia="黑体" w:cs="黑体"/>
          <w:sz w:val="48"/>
          <w:szCs w:val="48"/>
          <w:highlight w:val="none"/>
        </w:rPr>
        <w:t>第四部分  名词解释</w:t>
      </w:r>
    </w:p>
    <w:p>
      <w:pPr>
        <w:jc w:val="center"/>
        <w:rPr>
          <w:rFonts w:hint="eastAsia" w:ascii="黑体" w:hAnsi="黑体" w:eastAsia="黑体" w:cs="黑体"/>
          <w:sz w:val="48"/>
          <w:szCs w:val="48"/>
          <w:highlight w:val="none"/>
        </w:rPr>
      </w:pPr>
    </w:p>
    <w:p>
      <w:pPr>
        <w:jc w:val="center"/>
        <w:outlineLvl w:val="0"/>
        <w:rPr>
          <w:rFonts w:hint="eastAsia" w:ascii="黑体" w:hAnsi="黑体" w:eastAsia="黑体" w:cs="黑体"/>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Arial Unicode MS"/>
    <w:panose1 w:val="03000509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HoJ38kBAACc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LahK0octzjwy/dvlx+/Lj+/kmX1&#10;sijUB6gx8SFgahre+AH3JiuX/YDOTHxQ0eYvUiIYR33PV33lkIjIj9ar9brCkMDYfEEcdnseIqS3&#10;0luSjYZGHGDRlZ/eQxpT55Rczfl7bUwZonF/ORAze9itx2ylYT9Mje99e0Y+Pc6+oQ5XnRLzzqG0&#10;eU1mI87GfjaOIepDV/Yo14Pw+piwidJbrjDCToVxaIXdtGB5K/68l6zbT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AegnfyQEAAJw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- 26 -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RkNTVkZGU0NWE5YzNkZDQ4OWRmMWMwNmM5MzgzZDEifQ=="/>
  </w:docVars>
  <w:rsids>
    <w:rsidRoot w:val="00172A27"/>
    <w:rsid w:val="000270E8"/>
    <w:rsid w:val="000335B5"/>
    <w:rsid w:val="00057AFD"/>
    <w:rsid w:val="00076410"/>
    <w:rsid w:val="00081835"/>
    <w:rsid w:val="000904B3"/>
    <w:rsid w:val="000C073B"/>
    <w:rsid w:val="000C1142"/>
    <w:rsid w:val="001003F8"/>
    <w:rsid w:val="00144159"/>
    <w:rsid w:val="001718A8"/>
    <w:rsid w:val="00182842"/>
    <w:rsid w:val="00184D53"/>
    <w:rsid w:val="001905F2"/>
    <w:rsid w:val="00197592"/>
    <w:rsid w:val="001C32F0"/>
    <w:rsid w:val="001D61B1"/>
    <w:rsid w:val="001F5040"/>
    <w:rsid w:val="002006EB"/>
    <w:rsid w:val="00214AE1"/>
    <w:rsid w:val="00260D70"/>
    <w:rsid w:val="00281114"/>
    <w:rsid w:val="00282C7F"/>
    <w:rsid w:val="00287811"/>
    <w:rsid w:val="00292B4B"/>
    <w:rsid w:val="002A6352"/>
    <w:rsid w:val="002B3F94"/>
    <w:rsid w:val="002C171D"/>
    <w:rsid w:val="002E6A86"/>
    <w:rsid w:val="00304D04"/>
    <w:rsid w:val="00305B88"/>
    <w:rsid w:val="00315FEB"/>
    <w:rsid w:val="0041489C"/>
    <w:rsid w:val="0042585F"/>
    <w:rsid w:val="00445CAC"/>
    <w:rsid w:val="00472E19"/>
    <w:rsid w:val="00487869"/>
    <w:rsid w:val="004D5275"/>
    <w:rsid w:val="004F63DB"/>
    <w:rsid w:val="00505190"/>
    <w:rsid w:val="00507364"/>
    <w:rsid w:val="00546F7C"/>
    <w:rsid w:val="005A0C2F"/>
    <w:rsid w:val="005B1AE2"/>
    <w:rsid w:val="005E3397"/>
    <w:rsid w:val="00607D67"/>
    <w:rsid w:val="006228C4"/>
    <w:rsid w:val="00636C37"/>
    <w:rsid w:val="006512DD"/>
    <w:rsid w:val="00656BEF"/>
    <w:rsid w:val="00656D75"/>
    <w:rsid w:val="00657E86"/>
    <w:rsid w:val="00673EF7"/>
    <w:rsid w:val="006841E9"/>
    <w:rsid w:val="0069449E"/>
    <w:rsid w:val="006C07F0"/>
    <w:rsid w:val="006C644A"/>
    <w:rsid w:val="006C7D84"/>
    <w:rsid w:val="007148E8"/>
    <w:rsid w:val="00733DAA"/>
    <w:rsid w:val="00742BA0"/>
    <w:rsid w:val="00753545"/>
    <w:rsid w:val="00764156"/>
    <w:rsid w:val="007706D7"/>
    <w:rsid w:val="007879ED"/>
    <w:rsid w:val="007A48A3"/>
    <w:rsid w:val="007C029F"/>
    <w:rsid w:val="007C7F49"/>
    <w:rsid w:val="007D2A21"/>
    <w:rsid w:val="00843461"/>
    <w:rsid w:val="008651E7"/>
    <w:rsid w:val="00872946"/>
    <w:rsid w:val="0088023A"/>
    <w:rsid w:val="008858FB"/>
    <w:rsid w:val="00894B41"/>
    <w:rsid w:val="008B5427"/>
    <w:rsid w:val="008C7CD0"/>
    <w:rsid w:val="00903F6B"/>
    <w:rsid w:val="009173F9"/>
    <w:rsid w:val="009308CB"/>
    <w:rsid w:val="00950270"/>
    <w:rsid w:val="00962F58"/>
    <w:rsid w:val="00975A04"/>
    <w:rsid w:val="00987E71"/>
    <w:rsid w:val="009F0FBB"/>
    <w:rsid w:val="009F546E"/>
    <w:rsid w:val="00A079F0"/>
    <w:rsid w:val="00A42F43"/>
    <w:rsid w:val="00A51982"/>
    <w:rsid w:val="00A57BF7"/>
    <w:rsid w:val="00A71DC1"/>
    <w:rsid w:val="00A83D8A"/>
    <w:rsid w:val="00A93E7D"/>
    <w:rsid w:val="00AA260E"/>
    <w:rsid w:val="00AA44CB"/>
    <w:rsid w:val="00AA67CD"/>
    <w:rsid w:val="00AD6761"/>
    <w:rsid w:val="00AE2FEA"/>
    <w:rsid w:val="00AE600E"/>
    <w:rsid w:val="00B0083B"/>
    <w:rsid w:val="00B040BC"/>
    <w:rsid w:val="00B209B8"/>
    <w:rsid w:val="00B20BBC"/>
    <w:rsid w:val="00B249F3"/>
    <w:rsid w:val="00B649BE"/>
    <w:rsid w:val="00B653A5"/>
    <w:rsid w:val="00B710DD"/>
    <w:rsid w:val="00BE5A85"/>
    <w:rsid w:val="00BF4E6A"/>
    <w:rsid w:val="00BF5718"/>
    <w:rsid w:val="00C13474"/>
    <w:rsid w:val="00C3106E"/>
    <w:rsid w:val="00C60609"/>
    <w:rsid w:val="00C95CC1"/>
    <w:rsid w:val="00CA3F44"/>
    <w:rsid w:val="00CB03ED"/>
    <w:rsid w:val="00CE212D"/>
    <w:rsid w:val="00CE4B38"/>
    <w:rsid w:val="00D1321A"/>
    <w:rsid w:val="00D30ADF"/>
    <w:rsid w:val="00D33CF8"/>
    <w:rsid w:val="00D6315E"/>
    <w:rsid w:val="00D652C2"/>
    <w:rsid w:val="00D74EE2"/>
    <w:rsid w:val="00D83E19"/>
    <w:rsid w:val="00D86CAD"/>
    <w:rsid w:val="00DA00C9"/>
    <w:rsid w:val="00DB200E"/>
    <w:rsid w:val="00DB65F5"/>
    <w:rsid w:val="00E01C3E"/>
    <w:rsid w:val="00E13099"/>
    <w:rsid w:val="00E4339F"/>
    <w:rsid w:val="00E60B05"/>
    <w:rsid w:val="00E629EA"/>
    <w:rsid w:val="00E6777C"/>
    <w:rsid w:val="00EB05A3"/>
    <w:rsid w:val="00ED38B7"/>
    <w:rsid w:val="00EE051D"/>
    <w:rsid w:val="00F0131A"/>
    <w:rsid w:val="00F14C17"/>
    <w:rsid w:val="00F17041"/>
    <w:rsid w:val="00F218CF"/>
    <w:rsid w:val="00F44937"/>
    <w:rsid w:val="00F61A47"/>
    <w:rsid w:val="00F84422"/>
    <w:rsid w:val="00F95455"/>
    <w:rsid w:val="00FA574D"/>
    <w:rsid w:val="00FC2588"/>
    <w:rsid w:val="00FE7AD9"/>
    <w:rsid w:val="01322275"/>
    <w:rsid w:val="01DC6F05"/>
    <w:rsid w:val="02A3489A"/>
    <w:rsid w:val="02CA138D"/>
    <w:rsid w:val="033646FC"/>
    <w:rsid w:val="03C75F80"/>
    <w:rsid w:val="045D167E"/>
    <w:rsid w:val="0478364D"/>
    <w:rsid w:val="053D4C0D"/>
    <w:rsid w:val="0557532E"/>
    <w:rsid w:val="06181458"/>
    <w:rsid w:val="0799329C"/>
    <w:rsid w:val="08397436"/>
    <w:rsid w:val="086F16A7"/>
    <w:rsid w:val="0A0F7225"/>
    <w:rsid w:val="0A2B7D82"/>
    <w:rsid w:val="0ADC40E9"/>
    <w:rsid w:val="0AE607F4"/>
    <w:rsid w:val="0B386127"/>
    <w:rsid w:val="0B451598"/>
    <w:rsid w:val="0BEC73F4"/>
    <w:rsid w:val="0C392698"/>
    <w:rsid w:val="0C514433"/>
    <w:rsid w:val="0E06225A"/>
    <w:rsid w:val="0E821359"/>
    <w:rsid w:val="10BD36F6"/>
    <w:rsid w:val="11BF0649"/>
    <w:rsid w:val="123E3E08"/>
    <w:rsid w:val="133212F4"/>
    <w:rsid w:val="1349746A"/>
    <w:rsid w:val="13D22E22"/>
    <w:rsid w:val="15D03D86"/>
    <w:rsid w:val="161C2DFF"/>
    <w:rsid w:val="16373578"/>
    <w:rsid w:val="16D3336B"/>
    <w:rsid w:val="17200028"/>
    <w:rsid w:val="17806C36"/>
    <w:rsid w:val="17A74F62"/>
    <w:rsid w:val="18A47774"/>
    <w:rsid w:val="18E44EA2"/>
    <w:rsid w:val="1A61321E"/>
    <w:rsid w:val="1A8D28EB"/>
    <w:rsid w:val="1A9F2D78"/>
    <w:rsid w:val="1B2E6FD8"/>
    <w:rsid w:val="1B877D21"/>
    <w:rsid w:val="1C4319A9"/>
    <w:rsid w:val="1E443B4B"/>
    <w:rsid w:val="1E994F4A"/>
    <w:rsid w:val="1EAF0224"/>
    <w:rsid w:val="1F2230A4"/>
    <w:rsid w:val="20210932"/>
    <w:rsid w:val="202448E0"/>
    <w:rsid w:val="20F614FE"/>
    <w:rsid w:val="21302EEA"/>
    <w:rsid w:val="221E5E00"/>
    <w:rsid w:val="22376FB5"/>
    <w:rsid w:val="23E152D7"/>
    <w:rsid w:val="23EE2489"/>
    <w:rsid w:val="255D43C8"/>
    <w:rsid w:val="26714EF8"/>
    <w:rsid w:val="26857E2C"/>
    <w:rsid w:val="26876BDD"/>
    <w:rsid w:val="2714632A"/>
    <w:rsid w:val="27541E73"/>
    <w:rsid w:val="27B0539E"/>
    <w:rsid w:val="29365CF8"/>
    <w:rsid w:val="299469B3"/>
    <w:rsid w:val="2A805789"/>
    <w:rsid w:val="2ADC0D75"/>
    <w:rsid w:val="2B4A0E52"/>
    <w:rsid w:val="2C975890"/>
    <w:rsid w:val="2DEF21BB"/>
    <w:rsid w:val="2E4A2F05"/>
    <w:rsid w:val="2ECC1061"/>
    <w:rsid w:val="2FA476AD"/>
    <w:rsid w:val="303F7540"/>
    <w:rsid w:val="30B2441F"/>
    <w:rsid w:val="31DD00BF"/>
    <w:rsid w:val="3293174C"/>
    <w:rsid w:val="32BB38D4"/>
    <w:rsid w:val="32C9376D"/>
    <w:rsid w:val="33780472"/>
    <w:rsid w:val="33AF0905"/>
    <w:rsid w:val="355932F4"/>
    <w:rsid w:val="35611882"/>
    <w:rsid w:val="36746FC3"/>
    <w:rsid w:val="368763AE"/>
    <w:rsid w:val="395D59E7"/>
    <w:rsid w:val="39A93932"/>
    <w:rsid w:val="39DD46AF"/>
    <w:rsid w:val="3A0B04CF"/>
    <w:rsid w:val="3A915562"/>
    <w:rsid w:val="3B8D4765"/>
    <w:rsid w:val="3C000DBA"/>
    <w:rsid w:val="3C947F03"/>
    <w:rsid w:val="3DC045D3"/>
    <w:rsid w:val="3E504FFB"/>
    <w:rsid w:val="3E615CD0"/>
    <w:rsid w:val="3E9C47F6"/>
    <w:rsid w:val="3EFFF254"/>
    <w:rsid w:val="3F8B0112"/>
    <w:rsid w:val="3FAB3095"/>
    <w:rsid w:val="3FE45947"/>
    <w:rsid w:val="40AB4931"/>
    <w:rsid w:val="41242965"/>
    <w:rsid w:val="41C943EF"/>
    <w:rsid w:val="435671EA"/>
    <w:rsid w:val="440809E9"/>
    <w:rsid w:val="442407A6"/>
    <w:rsid w:val="44805EA1"/>
    <w:rsid w:val="45710696"/>
    <w:rsid w:val="46142B1B"/>
    <w:rsid w:val="47E60DD0"/>
    <w:rsid w:val="48735039"/>
    <w:rsid w:val="492C684B"/>
    <w:rsid w:val="49500594"/>
    <w:rsid w:val="49E7604E"/>
    <w:rsid w:val="4A21018D"/>
    <w:rsid w:val="4B3D4425"/>
    <w:rsid w:val="4BF67CDD"/>
    <w:rsid w:val="4CB96968"/>
    <w:rsid w:val="4D173441"/>
    <w:rsid w:val="4D603DD6"/>
    <w:rsid w:val="4EBF010F"/>
    <w:rsid w:val="4F471EB0"/>
    <w:rsid w:val="512D3B78"/>
    <w:rsid w:val="51331326"/>
    <w:rsid w:val="51740A7F"/>
    <w:rsid w:val="51A5541E"/>
    <w:rsid w:val="51C96242"/>
    <w:rsid w:val="53906AE1"/>
    <w:rsid w:val="54F46F60"/>
    <w:rsid w:val="55A37BEA"/>
    <w:rsid w:val="56362CD2"/>
    <w:rsid w:val="569900FC"/>
    <w:rsid w:val="5784687B"/>
    <w:rsid w:val="57846959"/>
    <w:rsid w:val="578E6A87"/>
    <w:rsid w:val="5AC2203A"/>
    <w:rsid w:val="5BAC2079"/>
    <w:rsid w:val="5C9C41E0"/>
    <w:rsid w:val="5CBB3334"/>
    <w:rsid w:val="5D115FAF"/>
    <w:rsid w:val="609B256F"/>
    <w:rsid w:val="62555F59"/>
    <w:rsid w:val="62811722"/>
    <w:rsid w:val="62E75A72"/>
    <w:rsid w:val="64571880"/>
    <w:rsid w:val="649125B6"/>
    <w:rsid w:val="652F4C1A"/>
    <w:rsid w:val="666D37F1"/>
    <w:rsid w:val="67087D8F"/>
    <w:rsid w:val="671F687E"/>
    <w:rsid w:val="67F415F8"/>
    <w:rsid w:val="682640D1"/>
    <w:rsid w:val="684B73E5"/>
    <w:rsid w:val="68663EDD"/>
    <w:rsid w:val="691426E6"/>
    <w:rsid w:val="6A047A2A"/>
    <w:rsid w:val="6AF83581"/>
    <w:rsid w:val="6BA32228"/>
    <w:rsid w:val="6DC51400"/>
    <w:rsid w:val="6EFB7548"/>
    <w:rsid w:val="6F3831C3"/>
    <w:rsid w:val="6F8B71C1"/>
    <w:rsid w:val="70753482"/>
    <w:rsid w:val="707B522A"/>
    <w:rsid w:val="713042F3"/>
    <w:rsid w:val="73194D05"/>
    <w:rsid w:val="73A83B0E"/>
    <w:rsid w:val="744D3EF9"/>
    <w:rsid w:val="745712CD"/>
    <w:rsid w:val="74794411"/>
    <w:rsid w:val="74DD4DE0"/>
    <w:rsid w:val="75867C40"/>
    <w:rsid w:val="75B10B26"/>
    <w:rsid w:val="75FD0A92"/>
    <w:rsid w:val="76432199"/>
    <w:rsid w:val="76821C8F"/>
    <w:rsid w:val="76F13A21"/>
    <w:rsid w:val="76F44829"/>
    <w:rsid w:val="77A267C0"/>
    <w:rsid w:val="78882278"/>
    <w:rsid w:val="78B118A6"/>
    <w:rsid w:val="79135044"/>
    <w:rsid w:val="793D0474"/>
    <w:rsid w:val="7A653C51"/>
    <w:rsid w:val="7A75297F"/>
    <w:rsid w:val="7A7D0F99"/>
    <w:rsid w:val="7E4A0E7C"/>
    <w:rsid w:val="7EFD449D"/>
    <w:rsid w:val="D69FCC73"/>
    <w:rsid w:val="FDBACFBE"/>
    <w:rsid w:val="FEF32EB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customStyle="1" w:styleId="2">
    <w:name w:val="_Style 7"/>
    <w:basedOn w:val="1"/>
    <w:qFormat/>
    <w:uiPriority w:val="0"/>
    <w:pPr>
      <w:spacing w:line="504" w:lineRule="atLeast"/>
      <w:ind w:firstLine="623"/>
      <w:textAlignment w:val="baseline"/>
    </w:pPr>
    <w:rPr>
      <w:rFonts w:ascii="Times New Roman" w:eastAsia="方正仿宋简体"/>
      <w:color w:val="000000"/>
      <w:sz w:val="31"/>
    </w:rPr>
  </w:style>
  <w:style w:type="paragraph" w:styleId="3">
    <w:name w:val="Balloon Text"/>
    <w:basedOn w:val="1"/>
    <w:link w:val="11"/>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FollowedHyperlink"/>
    <w:unhideWhenUsed/>
    <w:qFormat/>
    <w:uiPriority w:val="99"/>
    <w:rPr>
      <w:color w:val="800080"/>
      <w:u w:val="single"/>
    </w:rPr>
  </w:style>
  <w:style w:type="character" w:styleId="10">
    <w:name w:val="Hyperlink"/>
    <w:unhideWhenUsed/>
    <w:qFormat/>
    <w:uiPriority w:val="99"/>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页脚 Char"/>
    <w:link w:val="4"/>
    <w:qFormat/>
    <w:uiPriority w:val="99"/>
    <w:rPr>
      <w:kern w:val="2"/>
      <w:sz w:val="18"/>
      <w:szCs w:val="18"/>
    </w:rPr>
  </w:style>
  <w:style w:type="character" w:customStyle="1" w:styleId="13">
    <w:name w:val="页眉 Char"/>
    <w:link w:val="5"/>
    <w:qFormat/>
    <w:uiPriority w:val="99"/>
    <w:rPr>
      <w:kern w:val="2"/>
      <w:sz w:val="18"/>
      <w:szCs w:val="18"/>
    </w:rPr>
  </w:style>
  <w:style w:type="character" w:customStyle="1" w:styleId="14">
    <w:name w:val="font01"/>
    <w:qFormat/>
    <w:uiPriority w:val="0"/>
    <w:rPr>
      <w:rFonts w:hint="eastAsia" w:ascii="宋体" w:hAnsi="宋体" w:eastAsia="宋体" w:cs="宋体"/>
      <w:color w:val="000000"/>
      <w:sz w:val="22"/>
      <w:szCs w:val="22"/>
      <w:u w:val="none"/>
    </w:rPr>
  </w:style>
  <w:style w:type="character" w:customStyle="1" w:styleId="15">
    <w:name w:val="font21"/>
    <w:qFormat/>
    <w:uiPriority w:val="0"/>
    <w:rPr>
      <w:rFonts w:hint="eastAsia" w:ascii="宋体" w:hAnsi="宋体" w:eastAsia="宋体" w:cs="宋体"/>
      <w:color w:val="000000"/>
      <w:sz w:val="22"/>
      <w:szCs w:val="22"/>
      <w:u w:val="none"/>
    </w:rPr>
  </w:style>
  <w:style w:type="character" w:customStyle="1" w:styleId="16">
    <w:name w:val="font51"/>
    <w:qFormat/>
    <w:uiPriority w:val="0"/>
    <w:rPr>
      <w:rFonts w:hint="eastAsia" w:ascii="宋体" w:hAnsi="宋体" w:eastAsia="宋体" w:cs="宋体"/>
      <w:color w:val="000000"/>
      <w:sz w:val="24"/>
      <w:szCs w:val="24"/>
      <w:u w:val="none"/>
    </w:rPr>
  </w:style>
  <w:style w:type="character" w:customStyle="1" w:styleId="17">
    <w:name w:val="font11"/>
    <w:qFormat/>
    <w:uiPriority w:val="0"/>
    <w:rPr>
      <w:rFonts w:hint="eastAsia" w:ascii="宋体" w:hAnsi="宋体" w:eastAsia="宋体" w:cs="宋体"/>
      <w:color w:val="000000"/>
      <w:sz w:val="20"/>
      <w:szCs w:val="20"/>
      <w:u w:val="none"/>
    </w:rPr>
  </w:style>
  <w:style w:type="character" w:customStyle="1" w:styleId="18">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31</Pages>
  <Words>8265</Words>
  <Characters>10145</Characters>
  <Lines>60</Lines>
  <Paragraphs>16</Paragraphs>
  <TotalTime>31</TotalTime>
  <ScaleCrop>false</ScaleCrop>
  <LinksUpToDate>false</LinksUpToDate>
  <CharactersWithSpaces>10367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2007-11-29T11:41:00Z</dcterms:created>
  <dc:creator>管理者</dc:creator>
  <cp:lastModifiedBy>admin</cp:lastModifiedBy>
  <cp:lastPrinted>2018-07-24T18:50:00Z</cp:lastPrinted>
  <dcterms:modified xsi:type="dcterms:W3CDTF">2023-05-10T09:27:54Z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BC3B883483F343A6A3E1E07EE892F0CC</vt:lpwstr>
  </property>
</Properties>
</file>