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中共许昌市委组织部</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中共许昌市委组织部</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pStyle w:val="5"/>
        <w:rPr>
          <w:rFonts w:hint="eastAsia" w:ascii="黑体" w:hAnsi="黑体" w:eastAsia="黑体" w:cs="黑体"/>
          <w:color w:val="auto"/>
          <w:sz w:val="48"/>
          <w:szCs w:val="48"/>
          <w:highlight w:val="none"/>
        </w:rPr>
      </w:pPr>
    </w:p>
    <w:p>
      <w:pPr>
        <w:pStyle w:val="5"/>
        <w:rPr>
          <w:rFonts w:hint="eastAsia" w:ascii="黑体" w:hAnsi="黑体" w:eastAsia="黑体" w:cs="黑体"/>
          <w:color w:val="auto"/>
          <w:sz w:val="48"/>
          <w:szCs w:val="48"/>
          <w:highlight w:val="none"/>
        </w:rPr>
      </w:pPr>
    </w:p>
    <w:p>
      <w:pPr>
        <w:pStyle w:val="5"/>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中共许昌市委组织部</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(一)研究和指导全市党的组织建设工作，突出加强对各领域党的基层组织建设的指导；协调、规划和指导党员教育工作；主管党员的管理和发展工作；指导和组织新时代党的建设理论研究和阐释。</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(二)贯彻执行中央关于干部队伍建设的方针政策和省委、市委决策部署，加强领导班子和干部队伍建设，指导领导班子的思想政治和作风建设，组织落实培养选拔优秀年轻干部工作。</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提出市委管理的领导班子和领导干部调整、配备的意见和建议；负责市委管理干部的考察、考核和办理任免、工资、待遇、退休、兼职等工作；负责县(市、区)科级干部的宏观管理和党委组织部副部长、纪委副书记的考察任免和乡镇(街道)党政正职的备案审批工作；负责市直机关科级干部的备案审核和宏观管理工作，承办市委管理干部和其他部分干部的调配、交流、安置、出国(境)事宜；承担省委和地方共同管理单位领导班子、领导干部的协助管理工作；负责对全市事业单位领导人员的宏观管理和部分市直事业单位的人事管理。</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(四)研究和指导全市党的组织制度和干部人事制度改革，制订或参与制订全市组织、干部、人事工作的有关制度和规范性文件。</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(五)负责全市组织工作、干部工作的检查落实；加强对全市选拔任用干部工作和公务员、科级及以上领导干部的监督，及时向市委反映有关重要情况、提出建议。</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(六)贯彻中央关于人才工作的方针政策和省委、市委决策部署，牵头抓总、指导协调全市人才工作，参与制订人才工作规范性文件，牵头组织实施重大人才工程，统筹推进各类人才队伍建设。</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(七)主管全市干部教育工作，贯彻中央关于干部教育工作的方针政策，负责干部教育工作的整体规划、制度建设、宏观指导和督促检查。</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八)统一管理全市公务员录用调配、考核奖励、培训和工资福利等事务，贯彻执行中央和国家关于公务员管理的法律和政策法规，贯彻执行全省公务员管理法规、规章政策，研究拟订全市公务员管理的规范性文件并组织实施，指导全市公务员队伍建设和绩效管理，负责全市公务员管理工作对外交流合作等。</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(九)承担市委党的建设工作领导小组办公室具体工作。</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(十)统一管理市委机构编制委员会办公室和市委老干部局。</w:t>
      </w:r>
    </w:p>
    <w:p>
      <w:pPr>
        <w:widowControl/>
        <w:ind w:firstLine="640" w:firstLineChars="200"/>
        <w:jc w:val="both"/>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(十一)完成市委交办的其他任务。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中共许昌市委组织部内设机构20个，包括：办公室、研究室（政策法规科、党建综合科）、组织一科、组织二科（党员干部驻村工作办公室）、组织三科（非公经济组织和社会组织工作科、代表委员科）、干部一科、干部二科、干部三科、干部四科、干部队伍建设规划办公室、公务员一科、公务员二科、公务员三科、人才科、考核工作科、干部教育科、干部监督一科、干部监督二科、信息管理科、党员电化教育科。另设有许昌市党员电化教育中心（副县级）和许昌市公务员考试培训中心（正科级）2个事业单位，未独立编制预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从决算单位构成看，中共许昌市委组织部部门决算包括：本级决算（1个）。</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本决算为汇总决算，纳入本部门2021年度部门决算编制范围的单位共1个，具体是：</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1.中共许昌市委组织部（核算包括许昌市党员电化教育中心和许昌市公务员考试培训中心的预算资金）</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pStyle w:val="2"/>
        <w:rPr>
          <w:rFonts w:hint="eastAsia"/>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kern w:val="0"/>
                <w:sz w:val="20"/>
                <w:szCs w:val="20"/>
                <w:highlight w:val="none"/>
                <w:lang w:val="en-US" w:eastAsia="zh-CN" w:bidi="ar"/>
              </w:rPr>
              <w:t>中共许昌市委组织部</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1445.09</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1607.45</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二、政府性基金</w:t>
            </w:r>
            <w:r>
              <w:rPr>
                <w:rFonts w:ascii="宋体" w:hAnsi="宋体" w:cs="宋体"/>
                <w:color w:val="auto"/>
                <w:kern w:val="0"/>
                <w:sz w:val="20"/>
                <w:szCs w:val="20"/>
                <w:highlight w:val="none"/>
                <w:lang w:bidi="ar"/>
              </w:rPr>
              <w:t>预算财政拨款</w:t>
            </w:r>
            <w:r>
              <w:rPr>
                <w:rFonts w:hint="eastAsia" w:ascii="宋体" w:hAnsi="宋体" w:cs="宋体"/>
                <w:color w:val="auto"/>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三、国有资本</w:t>
            </w:r>
            <w:r>
              <w:rPr>
                <w:rFonts w:ascii="宋体" w:hAnsi="宋体" w:cs="宋体"/>
                <w:color w:val="auto"/>
                <w:kern w:val="0"/>
                <w:sz w:val="20"/>
                <w:szCs w:val="20"/>
                <w:highlight w:val="none"/>
                <w:lang w:bidi="ar"/>
              </w:rPr>
              <w:t>经营预算财政拨款</w:t>
            </w:r>
            <w:r>
              <w:rPr>
                <w:rFonts w:hint="eastAsia" w:ascii="宋体" w:hAnsi="宋体" w:cs="宋体"/>
                <w:color w:val="auto"/>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93.09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58.12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1445.09</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b/>
                <w:color w:val="auto"/>
                <w:sz w:val="20"/>
                <w:szCs w:val="20"/>
                <w:highlight w:val="none"/>
                <w:lang w:val="en-US" w:eastAsia="zh-CN"/>
              </w:rPr>
            </w:pPr>
            <w:r>
              <w:rPr>
                <w:rFonts w:hint="eastAsia" w:ascii="宋体" w:hAnsi="宋体" w:cs="宋体"/>
                <w:b w:val="0"/>
                <w:bCs/>
                <w:color w:val="auto"/>
                <w:sz w:val="20"/>
                <w:szCs w:val="20"/>
                <w:highlight w:val="none"/>
                <w:lang w:val="en-US" w:eastAsia="zh-CN"/>
              </w:rPr>
              <w:t>1758.66</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使用非</w:t>
            </w:r>
            <w:r>
              <w:rPr>
                <w:rFonts w:ascii="宋体" w:hAnsi="宋体" w:cs="宋体"/>
                <w:color w:val="auto"/>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w:t>
            </w: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428.91</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115.34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4</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val="en-US" w:eastAsia="zh-CN" w:bidi="ar"/>
              </w:rPr>
              <w:t>9</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5</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1874.00</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0"/>
                <w:szCs w:val="20"/>
                <w:highlight w:val="none"/>
              </w:rPr>
            </w:pPr>
            <w:r>
              <w:rPr>
                <w:rFonts w:hint="eastAsia" w:ascii="宋体" w:hAnsi="宋体" w:cs="宋体"/>
                <w:b/>
                <w:color w:val="auto"/>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30</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hint="default" w:ascii="宋体" w:hAnsi="宋体" w:eastAsia="宋体" w:cs="宋体"/>
                <w:b/>
                <w:color w:val="auto"/>
                <w:sz w:val="20"/>
                <w:szCs w:val="20"/>
                <w:highlight w:val="none"/>
                <w:lang w:val="en-US" w:eastAsia="zh-CN"/>
              </w:rPr>
            </w:pPr>
            <w:r>
              <w:rPr>
                <w:rFonts w:hint="eastAsia" w:ascii="宋体" w:hAnsi="宋体" w:cs="宋体"/>
                <w:b w:val="0"/>
                <w:bCs/>
                <w:color w:val="auto"/>
                <w:sz w:val="20"/>
                <w:szCs w:val="20"/>
                <w:highlight w:val="none"/>
                <w:lang w:val="en-US" w:eastAsia="zh-CN"/>
              </w:rPr>
              <w:t>1874.00</w:t>
            </w:r>
          </w:p>
        </w:tc>
      </w:tr>
      <w:tr>
        <w:tblPrEx>
          <w:tblCellMar>
            <w:top w:w="0" w:type="dxa"/>
            <w:left w:w="0" w:type="dxa"/>
            <w:bottom w:w="0" w:type="dxa"/>
            <w:right w:w="0" w:type="dxa"/>
          </w:tblCellMar>
        </w:tblPrEx>
        <w:trPr>
          <w:trHeight w:val="119"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027"/>
        <w:gridCol w:w="59"/>
        <w:gridCol w:w="1723"/>
        <w:gridCol w:w="1101"/>
        <w:gridCol w:w="485"/>
        <w:gridCol w:w="1068"/>
        <w:gridCol w:w="432"/>
        <w:gridCol w:w="1121"/>
        <w:gridCol w:w="413"/>
        <w:gridCol w:w="1140"/>
        <w:gridCol w:w="445"/>
        <w:gridCol w:w="1108"/>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72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10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3910"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kern w:val="0"/>
                <w:sz w:val="20"/>
                <w:szCs w:val="20"/>
                <w:highlight w:val="none"/>
                <w:lang w:val="en-US" w:eastAsia="zh-CN" w:bidi="ar"/>
              </w:rPr>
              <w:t>中共许昌市委组织部</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2809"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58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本年收入合计</w:t>
            </w:r>
          </w:p>
        </w:tc>
        <w:tc>
          <w:tcPr>
            <w:tcW w:w="150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财政拨款收入</w:t>
            </w:r>
          </w:p>
        </w:tc>
        <w:tc>
          <w:tcPr>
            <w:tcW w:w="153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上级补助收入</w:t>
            </w:r>
          </w:p>
        </w:tc>
        <w:tc>
          <w:tcPr>
            <w:tcW w:w="158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事业收入</w:t>
            </w:r>
          </w:p>
        </w:tc>
        <w:tc>
          <w:tcPr>
            <w:tcW w:w="154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58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3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8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4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8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3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8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54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2809"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58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2809"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1445.09</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1445.09</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一般公共服务支出</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1295.86</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1295.86</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20129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群众团体事务</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华文中宋" w:hAnsi="华文中宋" w:eastAsia="华文中宋" w:cs="华文中宋"/>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4.75</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4.75</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2012906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工会事务</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4.75</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4.75</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20131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党委办公厅（室）及相关机构事务</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2013102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一般行政管理事务</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color w:val="auto"/>
                <w:highlight w:val="none"/>
              </w:rPr>
            </w:pPr>
            <w:r>
              <w:rPr>
                <w:rFonts w:hint="eastAsia" w:ascii="宋体" w:hAnsi="宋体" w:eastAsia="宋体" w:cs="宋体"/>
                <w:color w:val="auto"/>
                <w:sz w:val="20"/>
                <w:szCs w:val="20"/>
                <w:highlight w:val="none"/>
              </w:rPr>
              <w:t xml:space="preserve">20132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组织事务</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1291.11</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1291.11</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color w:val="auto"/>
                <w:highlight w:val="none"/>
              </w:rPr>
            </w:pPr>
            <w:r>
              <w:rPr>
                <w:rFonts w:hint="eastAsia" w:ascii="宋体" w:hAnsi="宋体" w:eastAsia="宋体" w:cs="宋体"/>
                <w:color w:val="auto"/>
                <w:sz w:val="20"/>
                <w:szCs w:val="20"/>
                <w:highlight w:val="none"/>
              </w:rPr>
              <w:t xml:space="preserve">2013201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行政运行</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1113.53</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1113.53</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color w:val="auto"/>
                <w:highlight w:val="none"/>
              </w:rPr>
            </w:pPr>
            <w:r>
              <w:rPr>
                <w:rFonts w:hint="eastAsia" w:ascii="宋体" w:hAnsi="宋体" w:eastAsia="宋体" w:cs="宋体"/>
                <w:color w:val="auto"/>
                <w:sz w:val="20"/>
                <w:szCs w:val="20"/>
                <w:highlight w:val="none"/>
              </w:rPr>
              <w:t xml:space="preserve">2013202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一般行政管理事务</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177.58</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177.58</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color w:val="auto"/>
                <w:highlight w:val="none"/>
              </w:rPr>
            </w:pPr>
            <w:r>
              <w:rPr>
                <w:rFonts w:hint="eastAsia" w:ascii="宋体" w:hAnsi="宋体" w:eastAsia="宋体" w:cs="宋体"/>
                <w:color w:val="auto"/>
                <w:sz w:val="20"/>
                <w:szCs w:val="20"/>
                <w:highlight w:val="none"/>
              </w:rPr>
              <w:t xml:space="preserve">2013299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其他组织事务支出</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color w:val="auto"/>
                <w:highlight w:val="none"/>
              </w:rPr>
            </w:pPr>
            <w:r>
              <w:rPr>
                <w:rFonts w:hint="eastAsia" w:ascii="宋体" w:hAnsi="宋体" w:eastAsia="宋体" w:cs="宋体"/>
                <w:color w:val="auto"/>
                <w:sz w:val="20"/>
                <w:szCs w:val="20"/>
                <w:highlight w:val="none"/>
              </w:rPr>
              <w:t xml:space="preserve">20199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其他一般公共服务支出</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color w:val="auto"/>
                <w:highlight w:val="none"/>
              </w:rPr>
            </w:pPr>
            <w:r>
              <w:rPr>
                <w:rFonts w:hint="eastAsia" w:ascii="宋体" w:hAnsi="宋体" w:eastAsia="宋体" w:cs="宋体"/>
                <w:color w:val="auto"/>
                <w:sz w:val="20"/>
                <w:szCs w:val="20"/>
                <w:highlight w:val="none"/>
              </w:rPr>
              <w:t xml:space="preserve">2019999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其他一般公共服务支出</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color w:val="auto"/>
                <w:highlight w:val="none"/>
              </w:rPr>
            </w:pPr>
            <w:r>
              <w:rPr>
                <w:rFonts w:hint="eastAsia" w:ascii="宋体" w:hAnsi="宋体" w:eastAsia="宋体" w:cs="宋体"/>
                <w:color w:val="auto"/>
                <w:sz w:val="20"/>
                <w:szCs w:val="20"/>
                <w:highlight w:val="none"/>
              </w:rPr>
              <w:t xml:space="preserve">208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社会保障和就业支出</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91.99</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91.99</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color w:val="auto"/>
                <w:highlight w:val="none"/>
              </w:rPr>
            </w:pPr>
            <w:r>
              <w:rPr>
                <w:rFonts w:hint="eastAsia" w:ascii="宋体" w:hAnsi="宋体" w:eastAsia="宋体" w:cs="宋体"/>
                <w:color w:val="auto"/>
                <w:sz w:val="20"/>
                <w:szCs w:val="20"/>
                <w:highlight w:val="none"/>
              </w:rPr>
              <w:t xml:space="preserve">20805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行政事业单位养老支出</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91.09</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91.09</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color w:val="auto"/>
                <w:highlight w:val="none"/>
              </w:rPr>
            </w:pPr>
            <w:r>
              <w:rPr>
                <w:rFonts w:hint="eastAsia" w:ascii="宋体" w:hAnsi="宋体" w:eastAsia="宋体" w:cs="宋体"/>
                <w:color w:val="auto"/>
                <w:sz w:val="20"/>
                <w:szCs w:val="20"/>
                <w:highlight w:val="none"/>
              </w:rPr>
              <w:t xml:space="preserve">2080501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行政单位离退休</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34.57</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34.57</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color w:val="auto"/>
                <w:highlight w:val="none"/>
              </w:rPr>
            </w:pPr>
            <w:r>
              <w:rPr>
                <w:rFonts w:hint="eastAsia" w:ascii="宋体" w:hAnsi="宋体" w:eastAsia="宋体" w:cs="宋体"/>
                <w:color w:val="auto"/>
                <w:sz w:val="20"/>
                <w:szCs w:val="20"/>
                <w:highlight w:val="none"/>
              </w:rPr>
              <w:t xml:space="preserve">2080505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机关事业单位基本养老保险缴费支出</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56.52</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56.52</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color w:val="auto"/>
                <w:highlight w:val="none"/>
              </w:rPr>
            </w:pPr>
            <w:r>
              <w:rPr>
                <w:rFonts w:hint="eastAsia" w:ascii="宋体" w:hAnsi="宋体" w:eastAsia="宋体" w:cs="宋体"/>
                <w:color w:val="auto"/>
                <w:sz w:val="20"/>
                <w:szCs w:val="20"/>
                <w:highlight w:val="none"/>
              </w:rPr>
              <w:t xml:space="preserve">20820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临时救助</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0.90</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0.90</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2082001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临时救助支出</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0.90</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0.90</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210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卫生健康支出</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57.24</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57.24</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21011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行政事业单位医疗</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57.24</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57.24</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2101101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行政单位医疗</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29.11</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29.11</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2101102  </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事业单位医疗</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0.44</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0.44</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2101103</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公务员医疗补助</w:t>
            </w:r>
          </w:p>
        </w:tc>
        <w:tc>
          <w:tcPr>
            <w:tcW w:w="15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27.69</w:t>
            </w:r>
          </w:p>
        </w:tc>
        <w:tc>
          <w:tcPr>
            <w:tcW w:w="15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27.69</w:t>
            </w:r>
          </w:p>
        </w:tc>
        <w:tc>
          <w:tcPr>
            <w:tcW w:w="15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20"/>
        <w:gridCol w:w="63"/>
        <w:gridCol w:w="27"/>
        <w:gridCol w:w="2162"/>
        <w:gridCol w:w="961"/>
        <w:gridCol w:w="522"/>
        <w:gridCol w:w="1280"/>
        <w:gridCol w:w="595"/>
        <w:gridCol w:w="1206"/>
        <w:gridCol w:w="669"/>
        <w:gridCol w:w="1133"/>
        <w:gridCol w:w="640"/>
        <w:gridCol w:w="1161"/>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16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96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3372"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kern w:val="0"/>
                <w:sz w:val="20"/>
                <w:szCs w:val="20"/>
                <w:highlight w:val="none"/>
                <w:lang w:val="en-US" w:eastAsia="zh-CN" w:bidi="ar"/>
              </w:rPr>
              <w:t>中共许昌市委组织部</w:t>
            </w:r>
          </w:p>
        </w:tc>
        <w:tc>
          <w:tcPr>
            <w:tcW w:w="96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372"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48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本年支出合计</w:t>
            </w:r>
          </w:p>
        </w:tc>
        <w:tc>
          <w:tcPr>
            <w:tcW w:w="187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87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77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上缴上级支出</w:t>
            </w:r>
          </w:p>
        </w:tc>
        <w:tc>
          <w:tcPr>
            <w:tcW w:w="170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218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48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7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18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48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7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7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3372"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3372"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1758.66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1317.91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440.75 </w:t>
            </w: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201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一般公共服务支出</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1607.45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1166.70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440.75 </w:t>
            </w: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20129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群众团体事务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4.75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4.75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2012906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工会事务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4.75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4.75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20131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党委办公厅（室）及相关机构事务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125.89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125.89 </w:t>
            </w: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2013102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一般行政管理事务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125.89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125.89 </w:t>
            </w: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20132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组织事务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1466.81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1151.95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314.86 </w:t>
            </w: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2013201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行政运行</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1151.95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1151.95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2013202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一般行政管理事务</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314.86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314.86 </w:t>
            </w: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20199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其他一般公共服务支出</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10.00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10.00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2019999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其他一般公共服务支出</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10.00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10.00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208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社会保障和就业支出</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93.09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93.09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20805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行政事业单位养老支出</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92.19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92.19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2080501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行政单位离退休</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35.67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35.67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2080505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机关事业单位基本养老保险缴费支出</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56.52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56.52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20820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临时救助</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0.90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0.90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2082001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临时救助支出</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0.90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0.90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210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卫生健康支出</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58.11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58.11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21011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行政事业单位医疗</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58.11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58.11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2101101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行政单位医疗</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29.11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29.11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2101102  </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事业单位医疗</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0.44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0.44 </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2101103</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公务员医疗补助</w:t>
            </w:r>
          </w:p>
        </w:tc>
        <w:tc>
          <w:tcPr>
            <w:tcW w:w="14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0"/>
                <w:szCs w:val="20"/>
                <w:highlight w:val="none"/>
                <w:lang w:val="en-US"/>
              </w:rPr>
            </w:pPr>
            <w:r>
              <w:rPr>
                <w:rFonts w:hint="eastAsia" w:ascii="宋体" w:hAnsi="宋体" w:cs="宋体"/>
                <w:i w:val="0"/>
                <w:iCs w:val="0"/>
                <w:color w:val="auto"/>
                <w:kern w:val="0"/>
                <w:sz w:val="22"/>
                <w:szCs w:val="22"/>
                <w:highlight w:val="none"/>
                <w:u w:val="none"/>
                <w:lang w:val="en-US" w:eastAsia="zh-CN" w:bidi="ar"/>
              </w:rPr>
              <w:t>28.56</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0"/>
                <w:szCs w:val="20"/>
                <w:highlight w:val="none"/>
                <w:lang w:val="en-US"/>
              </w:rPr>
            </w:pPr>
            <w:r>
              <w:rPr>
                <w:rFonts w:hint="eastAsia" w:ascii="宋体" w:hAnsi="宋体" w:cs="宋体"/>
                <w:i w:val="0"/>
                <w:iCs w:val="0"/>
                <w:color w:val="auto"/>
                <w:kern w:val="0"/>
                <w:sz w:val="22"/>
                <w:szCs w:val="22"/>
                <w:highlight w:val="none"/>
                <w:u w:val="none"/>
                <w:lang w:val="en-US" w:eastAsia="zh-CN" w:bidi="ar"/>
              </w:rPr>
              <w:t>28.56</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sz w:val="20"/>
                <w:szCs w:val="20"/>
                <w:highlight w:val="none"/>
                <w:lang w:val="en-US"/>
              </w:rPr>
            </w:pPr>
          </w:p>
        </w:tc>
        <w:tc>
          <w:tcPr>
            <w:tcW w:w="17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red"/>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3"/>
        <w:gridCol w:w="595"/>
        <w:gridCol w:w="1145"/>
        <w:gridCol w:w="3673"/>
        <w:gridCol w:w="548"/>
        <w:gridCol w:w="1070"/>
        <w:gridCol w:w="1173"/>
        <w:gridCol w:w="1258"/>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5"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75"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75"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color w:val="auto"/>
                <w:kern w:val="0"/>
                <w:sz w:val="20"/>
                <w:szCs w:val="20"/>
                <w:highlight w:val="none"/>
                <w:lang w:val="en-US" w:eastAsia="zh-CN" w:bidi="ar"/>
              </w:rPr>
              <w:t>中共许昌市委组织部</w:t>
            </w: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22"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1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7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1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95"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8"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1445.09</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1607.45</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1607.45</w:t>
            </w: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93.09</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93.09</w:t>
            </w: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58.11</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58.11</w:t>
            </w: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1445.09</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1758.66</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1758.66</w:t>
            </w: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412.39</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98.82</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98.82</w:t>
            </w: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67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7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2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95"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1857.48</w:t>
            </w:r>
          </w:p>
        </w:tc>
        <w:tc>
          <w:tcPr>
            <w:tcW w:w="36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1857.48</w:t>
            </w:r>
          </w:p>
        </w:tc>
        <w:tc>
          <w:tcPr>
            <w:tcW w:w="1173"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1857.48</w:t>
            </w: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7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pStyle w:val="5"/>
        <w:ind w:left="0" w:leftChars="0" w:firstLine="0" w:firstLineChars="0"/>
        <w:rPr>
          <w:rFonts w:hint="eastAsia" w:ascii="仿宋_GB2312" w:hAnsi="仿宋_GB2312" w:eastAsia="仿宋_GB2312" w:cs="仿宋_GB2312"/>
          <w:color w:val="auto"/>
          <w:sz w:val="32"/>
          <w:szCs w:val="32"/>
          <w:highlight w:val="red"/>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w:t>
            </w:r>
            <w:r>
              <w:rPr>
                <w:rStyle w:val="8"/>
                <w:rFonts w:hint="default"/>
                <w:color w:val="auto"/>
                <w:highlight w:val="none"/>
                <w:lang w:bidi="ar"/>
              </w:rPr>
              <w:t>5表</w:t>
            </w:r>
          </w:p>
        </w:tc>
      </w:tr>
      <w:tr>
        <w:tblPrEx>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kern w:val="0"/>
                <w:sz w:val="20"/>
                <w:szCs w:val="20"/>
                <w:highlight w:val="none"/>
                <w:lang w:val="en-US" w:eastAsia="zh-CN" w:bidi="ar"/>
              </w:rPr>
              <w:t>中共许昌市委组织部</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项 </w:t>
            </w:r>
            <w:r>
              <w:rPr>
                <w:rStyle w:val="9"/>
                <w:rFonts w:hint="default"/>
                <w:color w:val="auto"/>
                <w:sz w:val="20"/>
                <w:szCs w:val="20"/>
                <w:highlight w:val="none"/>
                <w:lang w:bidi="ar"/>
              </w:rPr>
              <w:t xml:space="preserve">   </w:t>
            </w:r>
            <w:r>
              <w:rPr>
                <w:rStyle w:val="10"/>
                <w:rFonts w:hint="default"/>
                <w:color w:val="auto"/>
                <w:sz w:val="20"/>
                <w:szCs w:val="20"/>
                <w:highlight w:val="none"/>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1758.66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1317.91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440.75 </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1607.45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1166.70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440.75 </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color w:val="auto"/>
                <w:highlight w:val="none"/>
              </w:rPr>
            </w:pPr>
            <w:r>
              <w:rPr>
                <w:rFonts w:hint="eastAsia" w:ascii="宋体" w:hAnsi="宋体" w:eastAsia="宋体" w:cs="宋体"/>
                <w:color w:val="auto"/>
                <w:sz w:val="20"/>
                <w:szCs w:val="20"/>
                <w:highlight w:val="none"/>
              </w:rPr>
              <w:t xml:space="preserve">20129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群众团体事务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4.75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4.75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2012906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工会事务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4.75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4.75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20131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党委办公厅（室）及相关机构事务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125.89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125.89 </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2013102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一般行政管理事务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125.89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125.89 </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20132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组织事务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1466.81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1151.95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314.86 </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2013201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行政运行</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1151.95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1151.95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color w:val="auto"/>
                <w:highlight w:val="none"/>
              </w:rPr>
            </w:pPr>
            <w:r>
              <w:rPr>
                <w:rFonts w:hint="eastAsia" w:ascii="宋体" w:hAnsi="宋体" w:eastAsia="宋体" w:cs="宋体"/>
                <w:color w:val="auto"/>
                <w:sz w:val="20"/>
                <w:szCs w:val="20"/>
                <w:highlight w:val="none"/>
              </w:rPr>
              <w:t xml:space="preserve">2013202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一般行政管理事务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314.86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314.86 </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20199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其他一般公共服务支出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10.00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10.00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2019999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其他一般公共服务支出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10.00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10.00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208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93.09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93.09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20805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行政事业单位养老支出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92.19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92.19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2080501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行政单位离退休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35.67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35.67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2080505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56.52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56.52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20820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临时救助</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0.90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0.90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2082001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临时救助支出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0.90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0.90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210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卫生健康支出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58.11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58.11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21011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行政事业单位医疗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58.11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58.11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 xml:space="preserve">2101101  </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eastAsia="宋体" w:cs="宋体"/>
                <w:color w:val="auto"/>
                <w:sz w:val="20"/>
                <w:szCs w:val="20"/>
                <w:highlight w:val="none"/>
              </w:rPr>
              <w:t>行政单位医疗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29.11 </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 xml:space="preserve">29.11 </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2101102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事业单位医疗</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0.44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0.44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2"/>
                <w:szCs w:val="22"/>
                <w:highlight w:val="none"/>
                <w:u w:val="none"/>
                <w:lang w:val="en-US" w:eastAsia="zh-CN" w:bidi="ar"/>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2101103</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eastAsia="zh-CN"/>
              </w:rPr>
              <w:t>公务员医疗补助</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28.56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28.56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5000" w:type="pct"/>
        <w:jc w:val="center"/>
        <w:shd w:val="clear" w:color="auto" w:fill="auto"/>
        <w:tblLayout w:type="autofit"/>
        <w:tblCellMar>
          <w:top w:w="0" w:type="dxa"/>
          <w:left w:w="0" w:type="dxa"/>
          <w:bottom w:w="0" w:type="dxa"/>
          <w:right w:w="0" w:type="dxa"/>
        </w:tblCellMar>
      </w:tblPr>
      <w:tblGrid>
        <w:gridCol w:w="958"/>
        <w:gridCol w:w="2830"/>
        <w:gridCol w:w="730"/>
        <w:gridCol w:w="957"/>
        <w:gridCol w:w="2030"/>
        <w:gridCol w:w="630"/>
        <w:gridCol w:w="958"/>
        <w:gridCol w:w="3845"/>
        <w:gridCol w:w="1050"/>
      </w:tblGrid>
      <w:tr>
        <w:tblPrEx>
          <w:shd w:val="clear" w:color="auto" w:fill="auto"/>
          <w:tblCellMar>
            <w:top w:w="0" w:type="dxa"/>
            <w:left w:w="0" w:type="dxa"/>
            <w:bottom w:w="0" w:type="dxa"/>
            <w:right w:w="0" w:type="dxa"/>
          </w:tblCellMar>
        </w:tblPrEx>
        <w:trPr>
          <w:trHeight w:val="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一般公共预算财政拨款基本支出决算明细表</w:t>
            </w: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011" w:type="pct"/>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59" w:type="pct"/>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343"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auto"/>
                <w:sz w:val="20"/>
                <w:szCs w:val="20"/>
                <w:highlight w:val="none"/>
              </w:rPr>
            </w:pPr>
          </w:p>
        </w:tc>
        <w:tc>
          <w:tcPr>
            <w:tcW w:w="725"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24"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43"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371" w:type="pct"/>
            <w:tcBorders>
              <w:top w:val="nil"/>
              <w:left w:val="nil"/>
              <w:bottom w:val="nil"/>
              <w:right w:val="nil"/>
            </w:tcBorders>
            <w:shd w:val="clear" w:color="auto" w:fill="auto"/>
            <w:noWrap w:val="0"/>
            <w:tcMar>
              <w:top w:w="15" w:type="dxa"/>
              <w:left w:w="15" w:type="dxa"/>
              <w:right w:w="15" w:type="dxa"/>
            </w:tcMar>
            <w:vAlign w:val="center"/>
          </w:tcPr>
          <w:p>
            <w:pPr>
              <w:rPr>
                <w:rFonts w:hint="eastAsia" w:ascii="宋体" w:hAnsi="宋体" w:cs="宋体"/>
                <w:color w:val="auto"/>
                <w:sz w:val="20"/>
                <w:szCs w:val="20"/>
                <w:highlight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公开06表</w:t>
            </w:r>
          </w:p>
        </w:tc>
      </w:tr>
      <w:tr>
        <w:tblPrEx>
          <w:shd w:val="clear" w:color="auto" w:fill="auto"/>
          <w:tblCellMar>
            <w:top w:w="0" w:type="dxa"/>
            <w:left w:w="0" w:type="dxa"/>
            <w:bottom w:w="0" w:type="dxa"/>
            <w:right w:w="0" w:type="dxa"/>
          </w:tblCellMar>
        </w:tblPrEx>
        <w:trPr>
          <w:trHeight w:val="0" w:hRule="atLeast"/>
          <w:jc w:val="center"/>
        </w:trPr>
        <w:tc>
          <w:tcPr>
            <w:tcW w:w="1355" w:type="pct"/>
            <w:gridSpan w:val="2"/>
            <w:tcBorders>
              <w:top w:val="nil"/>
              <w:left w:val="single" w:color="4684D3" w:sz="0" w:space="0"/>
              <w:bottom w:val="single" w:color="auto" w:sz="4" w:space="0"/>
              <w:right w:val="single" w:color="4684D3" w:sz="0" w:space="0"/>
            </w:tcBorders>
            <w:shd w:val="clear" w:color="auto" w:fill="auto"/>
            <w:noWrap/>
            <w:tcMar>
              <w:top w:w="15" w:type="dxa"/>
              <w:left w:w="15" w:type="dxa"/>
              <w:right w:w="15" w:type="dxa"/>
            </w:tcMar>
            <w:vAlign w:val="center"/>
          </w:tcPr>
          <w:p>
            <w:pPr>
              <w:jc w:val="left"/>
              <w:rPr>
                <w:rFonts w:ascii="Arial" w:hAnsi="Arial" w:cs="Arial"/>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kern w:val="0"/>
                <w:sz w:val="20"/>
                <w:szCs w:val="20"/>
                <w:highlight w:val="none"/>
                <w:lang w:val="en-US" w:eastAsia="zh-CN" w:bidi="ar"/>
              </w:rPr>
              <w:t>中共许昌市委组织部</w:t>
            </w:r>
          </w:p>
        </w:tc>
        <w:tc>
          <w:tcPr>
            <w:tcW w:w="259" w:type="pct"/>
            <w:tcBorders>
              <w:top w:val="nil"/>
              <w:left w:val="single" w:color="4684D3" w:sz="0" w:space="0"/>
              <w:bottom w:val="single" w:color="auto" w:sz="4" w:space="0"/>
              <w:right w:val="single" w:color="DDDDDD" w:sz="0" w:space="0"/>
            </w:tcBorders>
            <w:shd w:val="clear" w:color="auto" w:fill="auto"/>
            <w:noWrap/>
            <w:tcMar>
              <w:top w:w="15" w:type="dxa"/>
              <w:left w:w="15" w:type="dxa"/>
              <w:right w:w="15" w:type="dxa"/>
            </w:tcMar>
            <w:vAlign w:val="center"/>
          </w:tcPr>
          <w:p>
            <w:pPr>
              <w:rPr>
                <w:rFonts w:ascii="Arial" w:hAnsi="Arial" w:cs="Arial"/>
                <w:color w:val="auto"/>
                <w:sz w:val="20"/>
                <w:szCs w:val="20"/>
                <w:highlight w:val="none"/>
              </w:rPr>
            </w:pPr>
          </w:p>
        </w:tc>
        <w:tc>
          <w:tcPr>
            <w:tcW w:w="343" w:type="pct"/>
            <w:tcBorders>
              <w:top w:val="nil"/>
              <w:left w:val="single" w:color="DDDDDD" w:sz="0" w:space="0"/>
              <w:bottom w:val="single" w:color="auto" w:sz="4" w:space="0"/>
              <w:right w:val="single" w:color="DDDDDD" w:sz="0" w:space="0"/>
            </w:tcBorders>
            <w:shd w:val="clear" w:color="auto" w:fill="auto"/>
            <w:noWrap/>
            <w:tcMar>
              <w:top w:w="15" w:type="dxa"/>
              <w:left w:w="15" w:type="dxa"/>
              <w:right w:w="15" w:type="dxa"/>
            </w:tcMar>
            <w:vAlign w:val="center"/>
          </w:tcPr>
          <w:p>
            <w:pPr>
              <w:rPr>
                <w:rFonts w:ascii="Arial" w:hAnsi="Arial" w:cs="Arial"/>
                <w:color w:val="auto"/>
                <w:sz w:val="20"/>
                <w:szCs w:val="20"/>
                <w:highlight w:val="none"/>
              </w:rPr>
            </w:pPr>
          </w:p>
        </w:tc>
        <w:tc>
          <w:tcPr>
            <w:tcW w:w="725" w:type="pct"/>
            <w:tcBorders>
              <w:top w:val="nil"/>
              <w:left w:val="single" w:color="DDDDDD" w:sz="0" w:space="0"/>
              <w:bottom w:val="single" w:color="auto" w:sz="4" w:space="0"/>
              <w:right w:val="single" w:color="DDDDDD" w:sz="0" w:space="0"/>
            </w:tcBorders>
            <w:shd w:val="clear" w:color="auto" w:fill="auto"/>
            <w:noWrap/>
            <w:tcMar>
              <w:top w:w="15" w:type="dxa"/>
              <w:left w:w="15" w:type="dxa"/>
              <w:right w:w="15" w:type="dxa"/>
            </w:tcMar>
            <w:vAlign w:val="center"/>
          </w:tcPr>
          <w:p>
            <w:pPr>
              <w:rPr>
                <w:rFonts w:ascii="Arial" w:hAnsi="Arial" w:cs="Arial"/>
                <w:color w:val="auto"/>
                <w:sz w:val="20"/>
                <w:szCs w:val="20"/>
                <w:highlight w:val="none"/>
              </w:rPr>
            </w:pPr>
          </w:p>
        </w:tc>
        <w:tc>
          <w:tcPr>
            <w:tcW w:w="224" w:type="pct"/>
            <w:tcBorders>
              <w:top w:val="nil"/>
              <w:left w:val="single" w:color="DDDDDD" w:sz="0" w:space="0"/>
              <w:bottom w:val="single" w:color="auto" w:sz="4" w:space="0"/>
              <w:right w:val="single" w:color="DDDDDD" w:sz="0" w:space="0"/>
            </w:tcBorders>
            <w:shd w:val="clear" w:color="auto" w:fill="auto"/>
            <w:noWrap/>
            <w:tcMar>
              <w:top w:w="15" w:type="dxa"/>
              <w:left w:w="15" w:type="dxa"/>
              <w:right w:w="15" w:type="dxa"/>
            </w:tcMar>
            <w:vAlign w:val="center"/>
          </w:tcPr>
          <w:p>
            <w:pPr>
              <w:rPr>
                <w:rFonts w:ascii="Arial" w:hAnsi="Arial" w:cs="Arial"/>
                <w:color w:val="auto"/>
                <w:sz w:val="20"/>
                <w:szCs w:val="20"/>
                <w:highlight w:val="none"/>
              </w:rPr>
            </w:pPr>
          </w:p>
        </w:tc>
        <w:tc>
          <w:tcPr>
            <w:tcW w:w="343" w:type="pct"/>
            <w:tcBorders>
              <w:top w:val="nil"/>
              <w:left w:val="single" w:color="DDDDDD" w:sz="0" w:space="0"/>
              <w:bottom w:val="single" w:color="auto" w:sz="4" w:space="0"/>
              <w:right w:val="single" w:color="DDDDDD" w:sz="0" w:space="0"/>
            </w:tcBorders>
            <w:shd w:val="clear" w:color="auto" w:fill="auto"/>
            <w:noWrap/>
            <w:tcMar>
              <w:top w:w="15" w:type="dxa"/>
              <w:left w:w="15" w:type="dxa"/>
              <w:right w:w="15" w:type="dxa"/>
            </w:tcMar>
            <w:vAlign w:val="center"/>
          </w:tcPr>
          <w:p>
            <w:pPr>
              <w:rPr>
                <w:rFonts w:ascii="Arial" w:hAnsi="Arial" w:cs="Arial"/>
                <w:color w:val="auto"/>
                <w:sz w:val="20"/>
                <w:szCs w:val="20"/>
                <w:highlight w:val="none"/>
              </w:rPr>
            </w:pPr>
          </w:p>
        </w:tc>
        <w:tc>
          <w:tcPr>
            <w:tcW w:w="1371" w:type="pct"/>
            <w:tcBorders>
              <w:top w:val="nil"/>
              <w:left w:val="single" w:color="DDDDDD" w:sz="0" w:space="0"/>
              <w:bottom w:val="single" w:color="auto" w:sz="4" w:space="0"/>
              <w:right w:val="single" w:color="DDDDDD" w:sz="0" w:space="0"/>
            </w:tcBorders>
            <w:shd w:val="clear" w:color="auto" w:fill="auto"/>
            <w:noWrap/>
            <w:tcMar>
              <w:top w:w="15" w:type="dxa"/>
              <w:left w:w="15" w:type="dxa"/>
              <w:right w:w="15" w:type="dxa"/>
            </w:tcMar>
            <w:vAlign w:val="center"/>
          </w:tcPr>
          <w:p>
            <w:pPr>
              <w:rPr>
                <w:rFonts w:ascii="Arial" w:hAnsi="Arial" w:cs="Arial"/>
                <w:color w:val="auto"/>
                <w:sz w:val="20"/>
                <w:szCs w:val="20"/>
                <w:highlight w:val="none"/>
              </w:rPr>
            </w:pPr>
          </w:p>
        </w:tc>
        <w:tc>
          <w:tcPr>
            <w:tcW w:w="374" w:type="pct"/>
            <w:tcBorders>
              <w:top w:val="nil"/>
              <w:left w:val="single" w:color="DDDDDD" w:sz="0" w:space="0"/>
              <w:bottom w:val="single" w:color="auto" w:sz="4" w:space="0"/>
              <w:right w:val="single" w:color="DDDDDD" w:sz="0"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259"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725"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224"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c>
          <w:tcPr>
            <w:tcW w:w="343"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经济分类科目编码</w:t>
            </w:r>
          </w:p>
        </w:tc>
        <w:tc>
          <w:tcPr>
            <w:tcW w:w="137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374"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工资福利支出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1085.34</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商品和服务支出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173.99</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资本性支出</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30101</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基本工资</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253.13</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30201</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办公费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29.42</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31001</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房屋建筑物购建</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30102</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津贴补贴</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202.17</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30202</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印刷费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2.83</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31002</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办公设备购置</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30103</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奖金</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442.03</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30203</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咨询费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1.60</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31003</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专用设备购置</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30106</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伙食补助费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30204</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手续费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31005</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基础设施建设</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30107</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绩效工资</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30205</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水费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31006</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大型修缮</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30108</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机关事业单位基本养老保险费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62.90</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30206</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电费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31007</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信息网络及软件购置更新</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30109</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职业年金缴费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30207</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邮电费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4.69</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31008</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物资储备</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30110</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职工基本医疗保险缴费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36.17</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30208</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取暖费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31009</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土地补偿</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30111</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公务员医疗补助缴费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29.41</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30209</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物业管理费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31010</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安置补助</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30112</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其他社会保障缴费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0.37</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30211</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差旅费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34.71</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31011</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地上附着物和青苗补偿</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30113</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住房公积金</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59.17</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30212</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因公出国（境）费用</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31012</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拆迁补偿</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30114</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医疗费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30213</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维修（护）费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0.39</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31013</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公务用车购置</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30199</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其他工资福利支出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30214</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租赁费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31019</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其他交通工具购置</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对个人和家庭的补助</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58.57</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30215</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会议费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0.20</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31021</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文物和陈列品购置</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30301</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离休费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30216</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培训费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31022</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无形资产购置</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30302</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退休费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56.92</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30217</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公务招待费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0.24</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31099</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其他资本性支出</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30303</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退职（役）费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30218</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专用材料费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对企业补助</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30304</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抚恤金</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30224</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被装购置费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31201</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资本金注入</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30305</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生活补助</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1.65</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30225</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专用燃料费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31203</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政府投资基金股权投资</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30306</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救济费</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30226</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劳务费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5.46</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31204</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费用补贴</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30307</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医疗费补助</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22.68</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30227</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委托业务费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2.40</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31205</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利息补贴</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30308</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助学金</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30228</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工会经费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4.75</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31299</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其他对企业补助</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30309</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奖励金</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30229</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福利费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11.38</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对社会保障基金补助</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30310</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个人农业生产补贴</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30231</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公务用车运行维护费</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18.91</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31302</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对社会保险基金补助</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30399</w:t>
            </w: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对其他个人和家庭的补助支出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30239</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其他交通费用</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55.05</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31303</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补充全国社会保障基金</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30240</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税金及附加费用</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其他支出</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30299</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其他商品和服务支出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1.95</w:t>
            </w: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39906</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赠与</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债务利息及费用支出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39907</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国家赔偿费用支出</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30701</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国内债务付息</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default" w:ascii="宋体" w:hAnsi="宋体" w:eastAsia="宋体" w:cs="宋体"/>
                <w:color w:val="auto"/>
                <w:sz w:val="20"/>
                <w:szCs w:val="20"/>
                <w:highlight w:val="none"/>
                <w:lang w:val="en-US" w:eastAsia="zh-CN"/>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39908</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对民间非营利组织和群众性自治组织补贴</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shd w:val="clear" w:color="auto" w:fill="auto"/>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101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30702</w:t>
            </w:r>
          </w:p>
        </w:tc>
        <w:tc>
          <w:tcPr>
            <w:tcW w:w="7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国外债务付息</w:t>
            </w:r>
          </w:p>
        </w:tc>
        <w:tc>
          <w:tcPr>
            <w:tcW w:w="2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3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39999</w:t>
            </w:r>
          </w:p>
        </w:tc>
        <w:tc>
          <w:tcPr>
            <w:tcW w:w="13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其他支出</w:t>
            </w:r>
          </w:p>
        </w:tc>
        <w:tc>
          <w:tcPr>
            <w:tcW w:w="3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0" w:hRule="atLeast"/>
          <w:jc w:val="center"/>
        </w:trPr>
        <w:tc>
          <w:tcPr>
            <w:tcW w:w="343" w:type="pc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1011" w:type="pc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259" w:type="pc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343" w:type="pc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30703</w:t>
            </w:r>
          </w:p>
        </w:tc>
        <w:tc>
          <w:tcPr>
            <w:tcW w:w="725" w:type="pc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国内债务发行费用</w:t>
            </w:r>
          </w:p>
        </w:tc>
        <w:tc>
          <w:tcPr>
            <w:tcW w:w="224" w:type="pc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343" w:type="pc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1371" w:type="pc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374" w:type="pct"/>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0" w:hRule="atLeast"/>
          <w:jc w:val="center"/>
        </w:trPr>
        <w:tc>
          <w:tcPr>
            <w:tcW w:w="135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cs="宋体"/>
                <w:color w:val="auto"/>
                <w:sz w:val="20"/>
                <w:szCs w:val="20"/>
                <w:highlight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30704</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国外债务发行费用</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cs="宋体"/>
                <w:color w:val="auto"/>
                <w:sz w:val="20"/>
                <w:szCs w:val="20"/>
                <w:highlight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cs="宋体"/>
                <w:color w:val="auto"/>
                <w:sz w:val="18"/>
                <w:szCs w:val="18"/>
                <w:highlight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cs="宋体"/>
                <w:color w:val="auto"/>
                <w:sz w:val="18"/>
                <w:szCs w:val="18"/>
                <w:highlight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0" w:hRule="atLeast"/>
          <w:jc w:val="center"/>
        </w:trPr>
        <w:tc>
          <w:tcPr>
            <w:tcW w:w="135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人员经费合计</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1143.92</w:t>
            </w:r>
          </w:p>
        </w:tc>
        <w:tc>
          <w:tcPr>
            <w:tcW w:w="301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公用经费合计</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173.99</w:t>
            </w:r>
          </w:p>
        </w:tc>
      </w:tr>
      <w:tr>
        <w:tblPrEx>
          <w:tblCellMar>
            <w:top w:w="0" w:type="dxa"/>
            <w:left w:w="0" w:type="dxa"/>
            <w:bottom w:w="0" w:type="dxa"/>
            <w:right w:w="0" w:type="dxa"/>
          </w:tblCellMar>
        </w:tblPrEx>
        <w:trPr>
          <w:trHeight w:val="0" w:hRule="atLeast"/>
          <w:jc w:val="center"/>
        </w:trPr>
        <w:tc>
          <w:tcPr>
            <w:tcW w:w="5000" w:type="pct"/>
            <w:gridSpan w:val="9"/>
            <w:tcBorders>
              <w:top w:val="single" w:color="000000"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kern w:val="0"/>
                <w:sz w:val="20"/>
                <w:szCs w:val="20"/>
                <w:highlight w:val="none"/>
                <w:lang w:val="en-US" w:eastAsia="zh-CN" w:bidi="ar"/>
              </w:rPr>
              <w:t>中共许昌市委组织部</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45.80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44.80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24.80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20.00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44.89</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44.65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24.80</w:t>
            </w: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19.85</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0.24</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部门：</w:t>
            </w:r>
            <w:r>
              <w:rPr>
                <w:rFonts w:hint="eastAsia" w:ascii="宋体" w:hAnsi="宋体" w:cs="宋体"/>
                <w:color w:val="auto"/>
                <w:kern w:val="0"/>
                <w:sz w:val="20"/>
                <w:szCs w:val="20"/>
                <w:highlight w:val="none"/>
                <w:lang w:val="en-US" w:eastAsia="zh-CN" w:bidi="ar"/>
              </w:rPr>
              <w:t>中共许昌市委组织部</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注：本表反映部门本年度政府性基金预算财政拨款收入、支出及结转和结余情况。</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说明：我部门没有政府性基金收入，也没有使用政府性基金安排的支出，故本表无数据。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1874</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507.38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21.31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压减支出，减少项目经费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仿宋_GB2312" w:cs="黑体"/>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1445.09</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1445.09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%；上级补助收入0万元，占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%；事业收入0万元，占0%；经营收入0万元，占0%；附属单位上缴收入0万元，占0%；其他收入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占0%</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2021年度支出合计</w:t>
      </w:r>
      <w:r>
        <w:rPr>
          <w:rFonts w:hint="eastAsia" w:ascii="仿宋_GB2312" w:hAnsi="仿宋_GB2312" w:eastAsia="仿宋_GB2312" w:cs="仿宋_GB2312"/>
          <w:color w:val="auto"/>
          <w:sz w:val="32"/>
          <w:szCs w:val="32"/>
          <w:highlight w:val="none"/>
          <w:lang w:val="en-US" w:eastAsia="zh-CN"/>
        </w:rPr>
        <w:t>1758.66</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1317.91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74.94</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440.75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25.06</w:t>
      </w:r>
      <w:r>
        <w:rPr>
          <w:rFonts w:hint="eastAsia" w:ascii="仿宋_GB2312" w:hAnsi="仿宋_GB2312" w:eastAsia="仿宋_GB2312" w:cs="仿宋_GB2312"/>
          <w:color w:val="auto"/>
          <w:sz w:val="32"/>
          <w:szCs w:val="32"/>
          <w:highlight w:val="none"/>
        </w:rPr>
        <w:t>%；上缴上级支出0万元，占0%；经营支出0万元，占0%；对附属单位补助支出0万元，占0%。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u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1857.48</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507.38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21.45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压减支出，减少项目经费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u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1758.66</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176.43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9.11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压减支出，减少项目经费</w:t>
      </w:r>
      <w:r>
        <w:rPr>
          <w:rFonts w:hint="eastAsia" w:ascii="仿宋_GB2312" w:hAnsi="仿宋_GB2312" w:eastAsia="仿宋_GB2312" w:cs="仿宋_GB2312"/>
          <w:color w:val="auto"/>
          <w:sz w:val="32"/>
          <w:szCs w:val="32"/>
          <w:highlight w:val="none"/>
          <w:u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color w:val="auto"/>
          <w:highlight w:val="none"/>
        </w:rPr>
      </w:pPr>
      <w:r>
        <w:rPr>
          <w:rFonts w:hint="eastAsia" w:ascii="仿宋_GB2312" w:hAnsi="仿宋_GB2312" w:eastAsia="仿宋_GB2312" w:cs="仿宋_GB2312"/>
          <w:color w:val="auto"/>
          <w:sz w:val="32"/>
          <w:szCs w:val="32"/>
          <w:highlight w:val="none"/>
          <w:lang w:val="en-US" w:eastAsia="zh-CN"/>
        </w:rPr>
        <w:t>2021年度一般公共预算财政拨款支出1758.66万元，主要用于以下方面：一般公共服务（类）支出1607.45万元，占91.40%；社会保障和就业（类）支出93.09万元，占5.29%；卫生健康（类）支出58.12万元，占3.31%。</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1175.46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1758.66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149.61</w:t>
      </w:r>
      <w:r>
        <w:rPr>
          <w:rFonts w:hint="eastAsia" w:ascii="仿宋_GB2312" w:hAnsi="仿宋_GB2312" w:eastAsia="仿宋_GB2312" w:cs="仿宋_GB2312"/>
          <w:color w:val="auto"/>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年初预算为4.75万元，支出决算为4.75万元，完成年初预算的100%。决算数与年初预算数不存在差异。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2．一般公共服务支出（类）党委办公厅（室）及相关机构事务（款）一般行政管理事务（项）。</w:t>
      </w:r>
      <w:r>
        <w:rPr>
          <w:rFonts w:hint="eastAsia" w:ascii="仿宋_GB2312" w:hAnsi="仿宋_GB2312" w:eastAsia="仿宋_GB2312" w:cs="仿宋_GB2312"/>
          <w:color w:val="auto"/>
          <w:sz w:val="32"/>
          <w:szCs w:val="32"/>
          <w:highlight w:val="none"/>
          <w:lang w:val="en-US" w:eastAsia="zh-CN"/>
        </w:rPr>
        <w:t>年初预算为0万元，支出决算为125.89万元。决算数与年初预算数存在差异的主要原因是追加人才专项工作经费。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3.一般公共服务支出（类）组织事务（款）行政运行（项）。</w:t>
      </w:r>
      <w:r>
        <w:rPr>
          <w:rFonts w:hint="eastAsia" w:ascii="仿宋_GB2312" w:hAnsi="仿宋_GB2312" w:eastAsia="仿宋_GB2312" w:cs="仿宋_GB2312"/>
          <w:color w:val="auto"/>
          <w:sz w:val="32"/>
          <w:szCs w:val="32"/>
          <w:highlight w:val="none"/>
          <w:lang w:val="en-US" w:eastAsia="zh-CN"/>
        </w:rPr>
        <w:t>年初预算为1006.68万元，支出决算为1151.95万元，完成年初预算的114.43%。决算数与年初预算数存在差异的主要原因是人员及项目经费增加</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4.一般公共服务支出（类）组织事务（款）一般行政管理事务（项）。</w:t>
      </w:r>
      <w:r>
        <w:rPr>
          <w:rFonts w:hint="eastAsia" w:ascii="仿宋_GB2312" w:hAnsi="仿宋_GB2312" w:eastAsia="仿宋_GB2312" w:cs="仿宋_GB2312"/>
          <w:color w:val="auto"/>
          <w:sz w:val="32"/>
          <w:szCs w:val="32"/>
          <w:highlight w:val="none"/>
          <w:lang w:val="en-US" w:eastAsia="zh-CN"/>
        </w:rPr>
        <w:t>年初预算为0万元，支出决算为314.86万元。决算数与年初预算数存在差异的主要原因是追加公务员招录等项目工作经费。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5．一般公共服务支出（类）其他一般公共服务支出（款）其他一般公共服务支出（项）。</w:t>
      </w:r>
      <w:r>
        <w:rPr>
          <w:rFonts w:hint="eastAsia" w:ascii="仿宋_GB2312" w:hAnsi="仿宋_GB2312" w:eastAsia="仿宋_GB2312" w:cs="仿宋_GB2312"/>
          <w:color w:val="auto"/>
          <w:sz w:val="32"/>
          <w:szCs w:val="32"/>
          <w:highlight w:val="none"/>
          <w:lang w:val="en-US" w:eastAsia="zh-CN"/>
        </w:rPr>
        <w:t>年初预算为10万元，支出决算为10万元，完成年初预算的100%。决算数与年初预算数不存在差异。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年初预算为34.45万元，支出决算为35.67万元，完成年初预算的103.54%。决算数与年初预算数存在差异的主要原因是退休人员工资奖项标准上调。</w:t>
      </w:r>
    </w:p>
    <w:p>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年初预算为59.16万元，支出决算为56.52万元，完成年初预算的95.54%。决算数与年初预算数存在差异的主要原因是新进人员社保未缴纳。</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8．社会保障和就业支出（类）临时救助（款）临时救助支出（项）。</w:t>
      </w:r>
      <w:r>
        <w:rPr>
          <w:rFonts w:hint="eastAsia" w:ascii="仿宋_GB2312" w:hAnsi="仿宋_GB2312" w:eastAsia="仿宋_GB2312" w:cs="仿宋_GB2312"/>
          <w:color w:val="auto"/>
          <w:sz w:val="32"/>
          <w:szCs w:val="32"/>
          <w:highlight w:val="none"/>
          <w:lang w:val="en-US" w:eastAsia="zh-CN"/>
        </w:rPr>
        <w:t>年初预算为0.90万元，支出决算为0.90万元，完成年初预算的100%。决算数与年初预算数不存在差异。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年初预算为30.26万元，支出决算为29.12万元，完成年初预算的96.23%。决算数与年初预算数存在差异的主要原因是新进人员社保未缴纳。</w:t>
      </w:r>
    </w:p>
    <w:p>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年初预算为0.44万元，支出决算为0.44万元，完成年初预算的100%。决算数与年初预算数不存在差异。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年初预算为28.82万元，支出决算为28.56万元，完成年初预算的99.10%。决算数与年初预算数存在差异的主要原因是新进人员公务员医疗补助未缴纳。</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1317.91</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1143.92</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eastAsia="zh-CN"/>
        </w:rPr>
        <w:t>退休费、医疗费补助等；</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173.99</w:t>
      </w:r>
      <w:r>
        <w:rPr>
          <w:rFonts w:hint="eastAsia" w:ascii="仿宋_GB2312" w:hAnsi="仿宋_GB2312" w:eastAsia="仿宋_GB2312" w:cs="仿宋_GB2312"/>
          <w:color w:val="auto"/>
          <w:sz w:val="32"/>
          <w:szCs w:val="32"/>
          <w:highlight w:val="none"/>
        </w:rPr>
        <w:t>万元，主要包括：</w:t>
      </w:r>
      <w:bookmarkStart w:id="0" w:name="_GoBack"/>
      <w:bookmarkEnd w:id="0"/>
      <w:r>
        <w:rPr>
          <w:rFonts w:hint="eastAsia" w:ascii="仿宋_GB2312" w:hAnsi="仿宋_GB2312" w:eastAsia="仿宋_GB2312" w:cs="仿宋_GB2312"/>
          <w:color w:val="auto"/>
          <w:sz w:val="32"/>
          <w:szCs w:val="32"/>
          <w:highlight w:val="none"/>
        </w:rPr>
        <w:t>办公费、印刷费、邮电费、差旅费、劳务费、委托业务费、工会经费、福利费、公务用车运行维护费、其他交通费用</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45.80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44.89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98.01</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eastAsia="zh-CN"/>
        </w:rPr>
        <w:t>严控公务接待支出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44.65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99.67</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99.46</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0.24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0.54</w:t>
      </w:r>
      <w:r>
        <w:rPr>
          <w:rFonts w:hint="eastAsia" w:ascii="仿宋_GB2312" w:hAnsi="仿宋_GB2312" w:eastAsia="仿宋_GB2312" w:cs="仿宋_GB2312"/>
          <w:color w:val="auto"/>
          <w:sz w:val="32"/>
          <w:szCs w:val="32"/>
          <w:highlight w:val="none"/>
        </w:rPr>
        <w:t>%。具体情况如下：</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b/>
          <w:color w:val="auto"/>
          <w:sz w:val="32"/>
          <w:szCs w:val="24"/>
          <w:highlight w:val="none"/>
          <w:lang w:val="en-US"/>
        </w:rPr>
        <w:t>1．因公出国（境）费</w:t>
      </w:r>
      <w:r>
        <w:rPr>
          <w:rFonts w:hint="eastAsia" w:ascii="仿宋_GB2312" w:hAnsi="仿宋_GB2312" w:eastAsia="仿宋_GB2312"/>
          <w:color w:val="auto"/>
          <w:sz w:val="32"/>
          <w:szCs w:val="24"/>
          <w:highlight w:val="none"/>
          <w:lang w:val="en-US"/>
        </w:rPr>
        <w:t>预算为0万元，支出决算为0万元。决算数与预算数不存在差异。因公出国（境）团组数0个，因公出国（境）人次数0人。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44.80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44.65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99.67</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公务用车运行费用减少</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24.80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台，其中</w:t>
      </w:r>
      <w:r>
        <w:rPr>
          <w:rFonts w:hint="eastAsia" w:ascii="仿宋_GB2312" w:hAnsi="仿宋_GB2312" w:eastAsia="仿宋_GB2312" w:cs="仿宋_GB2312"/>
          <w:color w:val="auto"/>
          <w:sz w:val="32"/>
          <w:szCs w:val="32"/>
          <w:highlight w:val="none"/>
          <w:lang w:val="en-US" w:eastAsia="zh-CN"/>
        </w:rPr>
        <w:t>机要通信用车1辆。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19.85</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公车运行及维护</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开支财政拨款的公务用车保有量为</w:t>
      </w:r>
      <w:r>
        <w:rPr>
          <w:rFonts w:hint="eastAsia" w:ascii="仿宋_GB2312" w:hAnsi="仿宋_GB2312" w:eastAsia="仿宋_GB2312" w:cs="仿宋_GB2312"/>
          <w:color w:val="auto"/>
          <w:sz w:val="32"/>
          <w:szCs w:val="32"/>
          <w:highlight w:val="none"/>
          <w:lang w:val="en-US" w:eastAsia="zh-CN"/>
        </w:rPr>
        <w:t>3辆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0.24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严控公务接待支出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0.24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主要用于省领导莅许调研考察。</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2021年度政府性基金预算财政拨款支出年初预算为0万元，支出决算为0万元。</w:t>
      </w:r>
      <w:r>
        <w:rPr>
          <w:rFonts w:hint="eastAsia" w:ascii="仿宋_GB2312" w:hAnsi="仿宋_GB2312" w:eastAsia="仿宋_GB2312" w:cs="仿宋_GB2312"/>
          <w:color w:val="auto"/>
          <w:sz w:val="32"/>
          <w:szCs w:val="32"/>
          <w:highlight w:val="none"/>
          <w:lang w:eastAsia="zh-CN"/>
        </w:rPr>
        <w:t>不存在项目年末结转和结余资金数额较大。情况说明：我部门</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157.81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173.99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110.30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机关业务活动增多</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color w:val="auto"/>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2021年期末，中共许昌市委组织部共有车辆3辆，其中：省级领导干部用车0辆、主要领导干部用车0辆、机要通信用车1辆、应急保障车1辆、执法执勤用车0辆、特种专业技术用车0辆、离退休干部用车1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我部门</w:t>
      </w:r>
      <w:r>
        <w:rPr>
          <w:rFonts w:hint="eastAsia" w:ascii="仿宋_GB2312" w:hAnsi="仿宋_GB2312" w:eastAsia="仿宋_GB2312" w:cs="仿宋_GB2312"/>
          <w:color w:val="auto"/>
          <w:sz w:val="32"/>
          <w:szCs w:val="32"/>
          <w:highlight w:val="none"/>
          <w:lang w:val="en-US" w:eastAsia="zh-CN"/>
        </w:rPr>
        <w:t>按照《中共许昌市委 许昌市人民政府关于全面实施预算绩效管理的实施意见》（许发〔2021〕13号）文件要求，对本部门整体支出和项目支出开展全过程预算绩效管理。我部门积极开展</w:t>
      </w:r>
      <w:r>
        <w:rPr>
          <w:rFonts w:hint="eastAsia" w:ascii="仿宋_GB2312" w:hAnsi="仿宋_GB2312" w:eastAsia="仿宋_GB2312" w:cs="仿宋_GB2312"/>
          <w:color w:val="auto"/>
          <w:sz w:val="32"/>
          <w:szCs w:val="32"/>
        </w:rPr>
        <w:t>绩效</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，明</w:t>
      </w:r>
      <w:r>
        <w:rPr>
          <w:rFonts w:hint="eastAsia" w:ascii="仿宋_GB2312" w:hAnsi="仿宋_GB2312" w:eastAsia="仿宋_GB2312" w:cs="仿宋_GB2312"/>
          <w:color w:val="auto"/>
          <w:sz w:val="32"/>
          <w:szCs w:val="32"/>
        </w:rPr>
        <w:t>确岗位职责和分工任务，为开展绩效评价提供了组织保障。</w:t>
      </w:r>
      <w:r>
        <w:rPr>
          <w:rFonts w:hint="eastAsia" w:ascii="仿宋_GB2312" w:hAnsi="仿宋_GB2312" w:eastAsia="仿宋_GB2312" w:cs="仿宋_GB2312"/>
          <w:color w:val="auto"/>
          <w:sz w:val="32"/>
          <w:szCs w:val="32"/>
          <w:lang w:eastAsia="zh-CN"/>
        </w:rPr>
        <w:t>对纳入预算的项目经费</w:t>
      </w:r>
      <w:r>
        <w:rPr>
          <w:rFonts w:hint="eastAsia" w:ascii="仿宋_GB2312" w:hAnsi="仿宋_GB2312" w:eastAsia="仿宋_GB2312" w:cs="仿宋_GB2312"/>
          <w:color w:val="auto"/>
          <w:sz w:val="32"/>
          <w:szCs w:val="32"/>
        </w:rPr>
        <w:t>制定绩效评价指标体系，</w:t>
      </w: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auto"/>
          <w:sz w:val="32"/>
          <w:szCs w:val="32"/>
        </w:rPr>
        <w:t>目标设定、预算配置、预算执行、预算管理、资产管理、责任履行、履职效益等</w:t>
      </w:r>
      <w:r>
        <w:rPr>
          <w:rFonts w:hint="eastAsia" w:ascii="仿宋_GB2312" w:hAnsi="仿宋_GB2312" w:eastAsia="仿宋_GB2312" w:cs="仿宋_GB2312"/>
          <w:color w:val="auto"/>
          <w:sz w:val="32"/>
          <w:szCs w:val="32"/>
          <w:lang w:eastAsia="zh-CN"/>
        </w:rPr>
        <w:t>方面</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绩效监控及</w:t>
      </w:r>
      <w:r>
        <w:rPr>
          <w:rFonts w:hint="eastAsia" w:ascii="仿宋_GB2312" w:hAnsi="仿宋_GB2312" w:eastAsia="仿宋_GB2312" w:cs="仿宋_GB2312"/>
          <w:color w:val="auto"/>
          <w:sz w:val="32"/>
          <w:szCs w:val="32"/>
        </w:rPr>
        <w:t>评价</w:t>
      </w:r>
      <w:r>
        <w:rPr>
          <w:rFonts w:hint="eastAsia" w:ascii="仿宋_GB2312" w:hAnsi="仿宋_GB2312" w:eastAsia="仿宋_GB2312" w:cs="仿宋_GB2312"/>
          <w:color w:val="auto"/>
          <w:sz w:val="32"/>
          <w:szCs w:val="32"/>
          <w:lang w:eastAsia="zh-CN"/>
        </w:rPr>
        <w:t>，充分的发挥了资金的使用效益，为进一步加强机关规范化建设提供资金支持。</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2021年我部门整体预算情况执行良好，保障了机关工作的正常运转。二是项目绩效自评情况。我部门共有6个项目批复了绩效目标，项目金额440.75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6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pStyle w:val="2"/>
        <w:rPr>
          <w:rFonts w:hint="eastAsia" w:ascii="黑体" w:hAnsi="黑体" w:eastAsia="黑体" w:cs="黑体"/>
          <w:color w:val="auto"/>
          <w:sz w:val="48"/>
          <w:szCs w:val="48"/>
          <w:highlight w:val="none"/>
        </w:rPr>
      </w:pPr>
    </w:p>
    <w:p>
      <w:pPr>
        <w:pStyle w:val="2"/>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4D2C63A5"/>
    <w:rsid w:val="00A77A2A"/>
    <w:rsid w:val="00F46D15"/>
    <w:rsid w:val="01830099"/>
    <w:rsid w:val="033937F9"/>
    <w:rsid w:val="03D46FC0"/>
    <w:rsid w:val="070179FE"/>
    <w:rsid w:val="07414304"/>
    <w:rsid w:val="07EF3C85"/>
    <w:rsid w:val="09E41628"/>
    <w:rsid w:val="0DD26D6D"/>
    <w:rsid w:val="0EA0179C"/>
    <w:rsid w:val="0FF26B15"/>
    <w:rsid w:val="0FF7412C"/>
    <w:rsid w:val="10226A9A"/>
    <w:rsid w:val="128B1148"/>
    <w:rsid w:val="12CD4DF7"/>
    <w:rsid w:val="140C6658"/>
    <w:rsid w:val="15D8302A"/>
    <w:rsid w:val="16A251BF"/>
    <w:rsid w:val="17DE0D19"/>
    <w:rsid w:val="1CAA0A32"/>
    <w:rsid w:val="1D295C62"/>
    <w:rsid w:val="1FED10A7"/>
    <w:rsid w:val="204903B4"/>
    <w:rsid w:val="20C0056A"/>
    <w:rsid w:val="21B0254C"/>
    <w:rsid w:val="21C02FBA"/>
    <w:rsid w:val="24D910ED"/>
    <w:rsid w:val="28C130D1"/>
    <w:rsid w:val="2A2F7769"/>
    <w:rsid w:val="2A5B33F9"/>
    <w:rsid w:val="2DE250A3"/>
    <w:rsid w:val="2FD963F8"/>
    <w:rsid w:val="3148438F"/>
    <w:rsid w:val="31A11CF2"/>
    <w:rsid w:val="332B3F69"/>
    <w:rsid w:val="3B9A5855"/>
    <w:rsid w:val="3F32667F"/>
    <w:rsid w:val="41324679"/>
    <w:rsid w:val="42935796"/>
    <w:rsid w:val="42B45D29"/>
    <w:rsid w:val="43241927"/>
    <w:rsid w:val="44901E7E"/>
    <w:rsid w:val="44A27E03"/>
    <w:rsid w:val="44FE3C12"/>
    <w:rsid w:val="472E2ADC"/>
    <w:rsid w:val="49184B37"/>
    <w:rsid w:val="4D2C63A5"/>
    <w:rsid w:val="4DDE3C3D"/>
    <w:rsid w:val="4DEE01EB"/>
    <w:rsid w:val="4EEF4556"/>
    <w:rsid w:val="4F9D18F3"/>
    <w:rsid w:val="51C55131"/>
    <w:rsid w:val="522E129E"/>
    <w:rsid w:val="540B32CF"/>
    <w:rsid w:val="56005BF7"/>
    <w:rsid w:val="56520148"/>
    <w:rsid w:val="56C6064D"/>
    <w:rsid w:val="571A0589"/>
    <w:rsid w:val="5AE7116D"/>
    <w:rsid w:val="5AF078D1"/>
    <w:rsid w:val="5DE1472F"/>
    <w:rsid w:val="618F12F4"/>
    <w:rsid w:val="62CC7ED1"/>
    <w:rsid w:val="6425373D"/>
    <w:rsid w:val="66375DEA"/>
    <w:rsid w:val="66D04B26"/>
    <w:rsid w:val="683A01CF"/>
    <w:rsid w:val="68BC5088"/>
    <w:rsid w:val="6DA86CC2"/>
    <w:rsid w:val="6F7E437E"/>
    <w:rsid w:val="717C5236"/>
    <w:rsid w:val="73410663"/>
    <w:rsid w:val="749E520D"/>
    <w:rsid w:val="76586E92"/>
    <w:rsid w:val="78FB92F6"/>
    <w:rsid w:val="79276A29"/>
    <w:rsid w:val="7A552C46"/>
    <w:rsid w:val="7B574CCA"/>
    <w:rsid w:val="7BFE4030"/>
    <w:rsid w:val="9DEB45BC"/>
    <w:rsid w:val="B7FF8485"/>
    <w:rsid w:val="C76D3650"/>
    <w:rsid w:val="CF5D1B28"/>
    <w:rsid w:val="DDAF36E0"/>
    <w:rsid w:val="F3AF00FA"/>
    <w:rsid w:val="F7DFE38A"/>
    <w:rsid w:val="FF5BA95F"/>
    <w:rsid w:val="FFB5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w:basedOn w:val="1"/>
    <w:next w:val="1"/>
    <w:qFormat/>
    <w:uiPriority w:val="0"/>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3"/>
    <w:qFormat/>
    <w:uiPriority w:val="0"/>
    <w:pPr>
      <w:ind w:firstLine="420" w:firstLineChars="100"/>
    </w:pPr>
  </w:style>
  <w:style w:type="character" w:customStyle="1" w:styleId="8">
    <w:name w:val="font11"/>
    <w:qFormat/>
    <w:uiPriority w:val="0"/>
    <w:rPr>
      <w:rFonts w:hint="eastAsia" w:ascii="宋体" w:hAnsi="宋体" w:eastAsia="宋体" w:cs="宋体"/>
      <w:color w:val="000000"/>
      <w:sz w:val="20"/>
      <w:szCs w:val="20"/>
      <w:u w:val="none"/>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9211</Words>
  <Characters>11273</Characters>
  <Lines>0</Lines>
  <Paragraphs>0</Paragraphs>
  <TotalTime>101</TotalTime>
  <ScaleCrop>false</ScaleCrop>
  <LinksUpToDate>false</LinksUpToDate>
  <CharactersWithSpaces>11853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2022-09-08T02:44:00Z</dcterms:created>
  <dc:creator>Administrator</dc:creator>
  <cp:lastModifiedBy>Administrator</cp:lastModifiedBy>
  <cp:lastPrinted>2023-02-26T02:34:00Z</cp:lastPrinted>
  <dcterms:modified xsi:type="dcterms:W3CDTF">2023-05-22T01:18:40Z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D8B4697D68464B20A0171E827D51D608</vt:lpwstr>
  </property>
</Properties>
</file>