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中共许昌市委直属机关工作委员会</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中共许昌市委直属机关工作委员会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第一部分  中共许昌市委直属机关工作委员会概况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指导市直机关党的政治建设、思想建设、组织建设、作风建设、纪律建设，把制度建设贯穿其中，深入推进反腐败斗争。指导市直机关各级党组织和广大党员学习马克思列宁主义、毛泽东思想、邓小平理论、“三个代表”重要思想、科学发展观、习近平新时代中国特色社会主义思想。对市直机关各级党组织、党员领导干部落实党建责任制、遵守政治纪律和政治规矩情况进行监督检查，并向市委报告。指导市直单位党组织加强党风廉政建设，实施对党员特别是党员领导干部的监督，及时向市委反映各单位领导班子、领导干部的情况和问题。配合市委有关部门抓好市直单位领导班子思想政治建设；参与对市直单位领导班子和党员领导干部民主生活会的指导，对市直单位党员领导干部参加双重组织生活会情况进行监督检查。审批市直机关党组织的设置，督促指导市直各单位机关党组织按期换届，审批召开党员大会或党员代表大会的请示，审批市直机关党组织、机关纪委领导班子的组成及书记、副书记的任免。指导各级党组织加强基层组织建设，做好党员发展、教育和管理等工作。领导市直各单位机关党的纪律检查工作。了解掌握市直机关工作人员思想状况，指导市直机关各级党组织加强思想政治工作和精神文明建设。领导市直机关工会、共青团、妇联等群团组织的工作；指导市直机关各级党组织做好党的群众和统一战线工作。指导市直机关加强机关党建信息化建设。负责对市直单位科级以下干部开展培训；组织实施对市直机关党务干部的培训轮训。对县（市、区）直属机关工作委员会进行业务指导。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中共许昌市委直属机关工作委员会内设机构5个，包括：办公室、组织部、党建指导部、宣传部、群团工作部。</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从决算单位构成看，中共许昌市委直属机关工作委员会部门决算包括：本级决算</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纳入本部门</w:t>
      </w:r>
      <w:r>
        <w:rPr>
          <w:rFonts w:hint="eastAsia" w:ascii="仿宋_GB2312" w:hAnsi="仿宋_GB2312" w:eastAsia="仿宋_GB2312" w:cs="仿宋_GB2312"/>
          <w:kern w:val="0"/>
          <w:sz w:val="32"/>
          <w:szCs w:val="32"/>
          <w:highlight w:val="none"/>
          <w:lang w:val="en-US" w:eastAsia="zh-CN"/>
        </w:rPr>
        <w:t>2021</w:t>
      </w:r>
      <w:r>
        <w:rPr>
          <w:rFonts w:hint="eastAsia" w:ascii="仿宋_GB2312" w:hAnsi="仿宋_GB2312" w:eastAsia="仿宋_GB2312" w:cs="仿宋_GB2312"/>
          <w:kern w:val="0"/>
          <w:sz w:val="32"/>
          <w:szCs w:val="32"/>
          <w:highlight w:val="none"/>
        </w:rPr>
        <w:t>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w:t>
      </w:r>
      <w:bookmarkStart w:id="0" w:name="_GoBack"/>
      <w:bookmarkEnd w:id="0"/>
      <w:r>
        <w:rPr>
          <w:rFonts w:hint="eastAsia" w:ascii="仿宋_GB2312" w:hAnsi="仿宋_GB2312" w:eastAsia="仿宋_GB2312" w:cs="仿宋_GB2312"/>
          <w:kern w:val="0"/>
          <w:sz w:val="32"/>
          <w:szCs w:val="32"/>
          <w:highlight w:val="none"/>
        </w:rPr>
        <w:t>中共许昌市委直属机关工作委员会</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7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6"/>
        <w:gridCol w:w="802"/>
        <w:gridCol w:w="1071"/>
        <w:gridCol w:w="4299"/>
        <w:gridCol w:w="802"/>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3767" w:type="dxa"/>
            <w:gridSpan w:val="6"/>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6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0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29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0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27"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66" w:type="dxa"/>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部门：中共许昌市委直属机关工作委员会</w:t>
            </w:r>
          </w:p>
        </w:tc>
        <w:tc>
          <w:tcPr>
            <w:tcW w:w="80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29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0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27"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3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228"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2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02"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02"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2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478.23</w:t>
            </w: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12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12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12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478.23</w:t>
            </w: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12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12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9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12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2"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7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516.13</w:t>
            </w:r>
          </w:p>
        </w:tc>
        <w:tc>
          <w:tcPr>
            <w:tcW w:w="429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127"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67" w:type="dxa"/>
            <w:gridSpan w:val="6"/>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br w:type="page"/>
      </w:r>
    </w:p>
    <w:tbl>
      <w:tblPr>
        <w:tblStyle w:val="5"/>
        <w:tblW w:w="137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
        <w:gridCol w:w="329"/>
        <w:gridCol w:w="639"/>
        <w:gridCol w:w="3675"/>
        <w:gridCol w:w="1594"/>
        <w:gridCol w:w="1631"/>
        <w:gridCol w:w="1181"/>
        <w:gridCol w:w="825"/>
        <w:gridCol w:w="825"/>
        <w:gridCol w:w="1106"/>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46" w:type="dxa"/>
            <w:gridSpan w:val="11"/>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3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6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44"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196" w:type="dxa"/>
            <w:gridSpan w:val="6"/>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部门：中共许昌市委直属机关工作委员会</w:t>
            </w:r>
          </w:p>
        </w:tc>
        <w:tc>
          <w:tcPr>
            <w:tcW w:w="11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44"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1"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94"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3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18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2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2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06"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67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3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6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3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6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3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1"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71"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478.23</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478.23</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349.63</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349.63</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347.89</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347.89</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347.89</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347.89</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107.26</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107.26</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69.72</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69.72</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48.29</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48.29</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75"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9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63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46" w:type="dxa"/>
            <w:gridSpan w:val="11"/>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widowControl/>
        <w:jc w:val="both"/>
        <w:textAlignment w:val="center"/>
        <w:rPr>
          <w:rFonts w:hint="eastAsia" w:ascii="华文中宋" w:hAnsi="华文中宋" w:eastAsia="华文中宋" w:cs="华文中宋"/>
          <w:color w:val="000000"/>
          <w:kern w:val="0"/>
          <w:sz w:val="32"/>
          <w:szCs w:val="32"/>
          <w:highlight w:val="none"/>
          <w:lang w:bidi="ar"/>
        </w:rPr>
      </w:pPr>
    </w:p>
    <w:p>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br w:type="page"/>
      </w:r>
    </w:p>
    <w:tbl>
      <w:tblPr>
        <w:tblStyle w:val="5"/>
        <w:tblW w:w="13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98"/>
        <w:gridCol w:w="240"/>
        <w:gridCol w:w="240"/>
        <w:gridCol w:w="2924"/>
        <w:gridCol w:w="1013"/>
        <w:gridCol w:w="1181"/>
        <w:gridCol w:w="844"/>
        <w:gridCol w:w="1031"/>
        <w:gridCol w:w="750"/>
        <w:gridCol w:w="1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90" w:type="dxa"/>
            <w:gridSpan w:val="10"/>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9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2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69"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98" w:type="dxa"/>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部门：中共许昌市委直属机关工作委员会</w:t>
            </w:r>
          </w:p>
        </w:tc>
        <w:tc>
          <w:tcPr>
            <w:tcW w:w="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2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3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69"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0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13"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8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44"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31"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50"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69"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92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2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3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02"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02"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516.13</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500.89</w:t>
            </w:r>
          </w:p>
        </w:tc>
        <w:tc>
          <w:tcPr>
            <w:tcW w:w="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15.24</w:t>
            </w: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378.41</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378.41</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376.67</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376.67</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373.96</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373.96</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116.39</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101.15</w:t>
            </w:r>
          </w:p>
        </w:tc>
        <w:tc>
          <w:tcPr>
            <w:tcW w:w="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78.84</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78.84</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57.41</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57.41</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11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8"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92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11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84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90" w:type="dxa"/>
            <w:gridSpan w:val="10"/>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br w:type="page"/>
      </w:r>
    </w:p>
    <w:tbl>
      <w:tblPr>
        <w:tblStyle w:val="5"/>
        <w:tblW w:w="13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58"/>
        <w:gridCol w:w="750"/>
        <w:gridCol w:w="1013"/>
        <w:gridCol w:w="3487"/>
        <w:gridCol w:w="732"/>
        <w:gridCol w:w="918"/>
        <w:gridCol w:w="1519"/>
        <w:gridCol w:w="1106"/>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08"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58"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75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8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3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1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1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31"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21" w:type="dxa"/>
            <w:gridSpan w:val="3"/>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部门：中共许昌市委直属机关工作委员会</w:t>
            </w:r>
          </w:p>
        </w:tc>
        <w:tc>
          <w:tcPr>
            <w:tcW w:w="348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3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91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1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31"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2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887"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58"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13"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87"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1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1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06"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2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5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48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3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1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1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5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32"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18"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6"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478.23</w:t>
            </w: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378.41</w:t>
            </w:r>
          </w:p>
        </w:tc>
        <w:tc>
          <w:tcPr>
            <w:tcW w:w="151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378.41</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116.39</w:t>
            </w:r>
          </w:p>
        </w:tc>
        <w:tc>
          <w:tcPr>
            <w:tcW w:w="151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116.39</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51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478.23</w:t>
            </w: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516.13</w:t>
            </w:r>
          </w:p>
        </w:tc>
        <w:tc>
          <w:tcPr>
            <w:tcW w:w="151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516.13</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37.90</w:t>
            </w:r>
          </w:p>
        </w:tc>
        <w:tc>
          <w:tcPr>
            <w:tcW w:w="34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5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48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1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5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58"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50" w:type="dxa"/>
            <w:tcBorders>
              <w:top w:val="nil"/>
              <w:left w:val="nil"/>
              <w:bottom w:val="single" w:color="000000" w:sz="8"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13"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516.13</w:t>
            </w:r>
          </w:p>
        </w:tc>
        <w:tc>
          <w:tcPr>
            <w:tcW w:w="3487"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3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18"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516.13</w:t>
            </w:r>
          </w:p>
        </w:tc>
        <w:tc>
          <w:tcPr>
            <w:tcW w:w="151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516.13</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08"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widowControl/>
        <w:jc w:val="both"/>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br w:type="page"/>
      </w:r>
    </w:p>
    <w:tbl>
      <w:tblPr>
        <w:tblStyle w:val="5"/>
        <w:tblW w:w="13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507"/>
        <w:gridCol w:w="4092"/>
        <w:gridCol w:w="3160"/>
        <w:gridCol w:w="2562"/>
        <w:gridCol w:w="2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08" w:type="dxa"/>
            <w:gridSpan w:val="7"/>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0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09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1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729"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57" w:type="dxa"/>
            <w:gridSpan w:val="4"/>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部门：中共许昌市委直属机关工作委员会</w:t>
            </w:r>
          </w:p>
        </w:tc>
        <w:tc>
          <w:tcPr>
            <w:tcW w:w="31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5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729" w:type="dxa"/>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51"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9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6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6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72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16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0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1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5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0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1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5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72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72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7"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516.13</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500.89</w:t>
            </w:r>
          </w:p>
        </w:tc>
        <w:tc>
          <w:tcPr>
            <w:tcW w:w="27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378.41</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378.41</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376.67</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376.67</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373.96</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373.96</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116.39</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101.15</w:t>
            </w:r>
          </w:p>
        </w:tc>
        <w:tc>
          <w:tcPr>
            <w:tcW w:w="27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78.84</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78.84</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57.41</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57.41</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25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25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729"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5" w:type="dxa"/>
            <w:gridSpan w:val="3"/>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9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160"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256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2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08" w:type="dxa"/>
            <w:gridSpan w:val="7"/>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br w:type="page"/>
      </w:r>
    </w:p>
    <w:tbl>
      <w:tblPr>
        <w:tblStyle w:val="5"/>
        <w:tblW w:w="138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2499"/>
        <w:gridCol w:w="1012"/>
        <w:gridCol w:w="1144"/>
        <w:gridCol w:w="2494"/>
        <w:gridCol w:w="881"/>
        <w:gridCol w:w="1162"/>
        <w:gridCol w:w="2888"/>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58" w:type="dxa"/>
            <w:gridSpan w:val="9"/>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49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01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00"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21" w:type="dxa"/>
            <w:gridSpan w:val="4"/>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部门：中共许昌市委直属机关工作委员会</w:t>
            </w:r>
          </w:p>
        </w:tc>
        <w:tc>
          <w:tcPr>
            <w:tcW w:w="24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6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900" w:type="dxa"/>
            <w:gridSpan w:val="2"/>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7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81"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99"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4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94"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6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888"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2"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9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6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8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1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371.21</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41.24</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91.23</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107.93</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106.34</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20.90</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87.94</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55.83</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1162"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88"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w:t>
            </w:r>
          </w:p>
        </w:tc>
        <w:tc>
          <w:tcPr>
            <w:tcW w:w="116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88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499"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8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88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49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94" w:type="dxa"/>
            <w:tcBorders>
              <w:top w:val="nil"/>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1"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6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88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1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65" w:type="dxa"/>
            <w:gridSpan w:val="2"/>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459.15</w:t>
            </w:r>
          </w:p>
        </w:tc>
        <w:tc>
          <w:tcPr>
            <w:tcW w:w="8569" w:type="dxa"/>
            <w:gridSpan w:val="5"/>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012"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58" w:type="dxa"/>
            <w:gridSpan w:val="9"/>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widowControl/>
        <w:jc w:val="center"/>
        <w:textAlignment w:val="center"/>
        <w:rPr>
          <w:rFonts w:hint="eastAsia" w:ascii="华文中宋" w:hAnsi="华文中宋" w:eastAsia="华文中宋" w:cs="华文中宋"/>
          <w:color w:val="000000"/>
          <w:kern w:val="0"/>
          <w:sz w:val="32"/>
          <w:szCs w:val="32"/>
          <w:highlight w:val="none"/>
          <w:lang w:bidi="ar"/>
        </w:rPr>
      </w:pPr>
      <w:r>
        <w:rPr>
          <w:rFonts w:hint="eastAsia" w:ascii="华文中宋" w:hAnsi="华文中宋" w:eastAsia="华文中宋" w:cs="华文中宋"/>
          <w:color w:val="000000"/>
          <w:kern w:val="0"/>
          <w:sz w:val="32"/>
          <w:szCs w:val="32"/>
          <w:highlight w:val="none"/>
          <w:lang w:bidi="ar"/>
        </w:rPr>
        <w:br w:type="page"/>
      </w: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155"/>
        <w:gridCol w:w="1155"/>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60" w:type="dxa"/>
            <w:gridSpan w:val="12"/>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5"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65"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5775" w:type="dxa"/>
            <w:gridSpan w:val="5"/>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部门：中共许昌市委直属机关工作委员会</w:t>
            </w: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5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465"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3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30" w:type="dxa"/>
            <w:gridSpan w:val="6"/>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6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5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65" w:type="dxa"/>
            <w:gridSpan w:val="3"/>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5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55"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60" w:type="dxa"/>
            <w:gridSpan w:val="12"/>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both"/>
        <w:textAlignment w:val="center"/>
        <w:rPr>
          <w:rFonts w:hint="eastAsia" w:ascii="华文中宋" w:hAnsi="华文中宋" w:eastAsia="华文中宋" w:cs="华文中宋"/>
          <w:color w:val="000000"/>
          <w:kern w:val="0"/>
          <w:sz w:val="32"/>
          <w:szCs w:val="32"/>
          <w:highlight w:val="none"/>
          <w:lang w:bidi="ar"/>
        </w:rPr>
      </w:pP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
        <w:gridCol w:w="242"/>
        <w:gridCol w:w="281"/>
        <w:gridCol w:w="4507"/>
        <w:gridCol w:w="1865"/>
        <w:gridCol w:w="1605"/>
        <w:gridCol w:w="1395"/>
        <w:gridCol w:w="1290"/>
        <w:gridCol w:w="1341"/>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07" w:type="dxa"/>
            <w:gridSpan w:val="10"/>
            <w:tcBorders>
              <w:top w:val="nil"/>
              <w:left w:val="nil"/>
              <w:bottom w:val="nil"/>
              <w:right w:val="nil"/>
            </w:tcBorders>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2"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4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0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6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0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70"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42" w:type="dxa"/>
            <w:gridSpan w:val="6"/>
            <w:tcBorders>
              <w:top w:val="nil"/>
              <w:left w:val="nil"/>
              <w:bottom w:val="nil"/>
              <w:right w:val="nil"/>
            </w:tcBorders>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部门：中共许昌市委直属机关工作委员会</w:t>
            </w:r>
          </w:p>
        </w:tc>
        <w:tc>
          <w:tcPr>
            <w:tcW w:w="139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70" w:type="dxa"/>
            <w:gridSpan w:val="3"/>
            <w:tcBorders>
              <w:top w:val="nil"/>
              <w:left w:val="nil"/>
              <w:bottom w:val="nil"/>
              <w:right w:val="nil"/>
            </w:tcBorders>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7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6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05"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026"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239" w:type="dxa"/>
            <w:vMerge w:val="restart"/>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gridSpan w:val="3"/>
            <w:vMerge w:val="restart"/>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507"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5"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90"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41" w:type="dxa"/>
            <w:vMerge w:val="restart"/>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0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50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4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72"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6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1"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9" w:type="dxa"/>
            <w:tcBorders>
              <w:top w:val="nil"/>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72" w:type="dxa"/>
            <w:gridSpan w:val="4"/>
            <w:tcBorders>
              <w:top w:val="nil"/>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6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3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50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50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50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50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50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50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9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4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07" w:type="dxa"/>
            <w:gridSpan w:val="10"/>
            <w:tcBorders>
              <w:top w:val="nil"/>
              <w:left w:val="nil"/>
              <w:bottom w:val="nil"/>
              <w:right w:val="nil"/>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516.13</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51.63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11.12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人员调入，工资、津补贴、社保等人员经费增加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478.23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478.23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516.13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500.89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97.05</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15.24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2.95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516.13</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51.63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11.12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人员调入，工资、津补贴、社保等人员经费增加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516.13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91.99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21.69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人员调入导致的工资、津补贴、社保等人员经费增加；临时救助支出增加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516.13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378.41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73.32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社会保障和就业（类）支出116.39万元，占22.55%；卫生健康（类）支出21.34万元，占4.13%。</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2021年度一般公共预算财政拨款支出年初预算为421.04万元，支出决算为516.13万元，完成年初预算的122.58%。其中：</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年初预算为1.74万元，支出决算为1.74万元，完成年初预算的100.00%。决算数与年初预算数不存在差异。</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2．一般公共服务支出（类）其他共产党事务支出（款）行政运行（项）。</w:t>
      </w:r>
      <w:r>
        <w:rPr>
          <w:rFonts w:hint="eastAsia" w:ascii="仿宋_GB2312" w:hAnsi="仿宋_GB2312" w:eastAsia="仿宋_GB2312" w:cs="仿宋_GB2312"/>
          <w:color w:val="auto"/>
          <w:sz w:val="32"/>
          <w:szCs w:val="32"/>
          <w:highlight w:val="none"/>
          <w:lang w:val="en-US" w:eastAsia="zh-CN"/>
        </w:rPr>
        <w:t>年初预算为324.78万元，支出决算为373.96万元，完成年初预算的115.14%。决算数与年初预算数存在差异的主要原因是人员调入，其他交通费用支出增加。</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3.一般公共服务支出（类）其他共产党事务支出（款）一般行政管理事务（项）。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年初预算为0.00万元，支出决算为2.71万元。决算数与年初预算数存在差异的主要原因是一般行政管理事务增加。</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年初预算为51.75万元，支出决算为57.41万元，完成年初预算的110.94%。决算数与年初预算数存在差异的主要原因支出上年度未及时支出的退休人员经费。</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年初预算为21.43万元，支出决算为21.43万元,完成年初预算的100.00%。决算数与年初预算数不存在差异。</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年初预算为0.00万元，支出决算为22.31万元。决算数与年初预算数存在差异的主要原因是退休人员去世，增加死亡抚恤金支出。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7.社会保障和就业支出（类）临时救助（款）临时救助支出（项）。</w:t>
      </w:r>
      <w:r>
        <w:rPr>
          <w:rFonts w:hint="eastAsia" w:ascii="仿宋_GB2312" w:hAnsi="仿宋_GB2312" w:eastAsia="仿宋_GB2312" w:cs="仿宋_GB2312"/>
          <w:color w:val="auto"/>
          <w:sz w:val="32"/>
          <w:szCs w:val="32"/>
          <w:highlight w:val="none"/>
          <w:lang w:val="en-US" w:eastAsia="zh-CN"/>
        </w:rPr>
        <w:t>年初预算为0.00万元，支出决算为15.24万元。决算数与年初预算数存在差异的主要原因是慰问救助属临时支出，年初未安排预算。</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8.卫生健康支出（类）行政事业单位医疗（款）行政单位医疗（项）。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年初预算为10.93万元，支出决算为10.93万元，完成年初预算的100.00%。决算数与年初预算数不存在差异。</w:t>
      </w:r>
    </w:p>
    <w:p>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9.卫生健康支出（类）行政事业单位医疗（款）公务员医疗补助（项）。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年初预算为10.41万元，支出决算为10.41万元，完成年初预算的100.00%。决算数与年初预算数不存在差异。</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500.89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459.15</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职工基本医疗保险缴费、公务员医疗补助缴费、其他社会保障缴费、住房公积金、</w:t>
      </w:r>
      <w:r>
        <w:rPr>
          <w:rFonts w:hint="eastAsia" w:ascii="仿宋_GB2312" w:hAnsi="仿宋_GB2312" w:eastAsia="仿宋_GB2312" w:cs="仿宋_GB2312"/>
          <w:sz w:val="32"/>
          <w:szCs w:val="32"/>
          <w:highlight w:val="none"/>
        </w:rPr>
        <w:t>退休费、抚恤金、生活补助；公用经费</w:t>
      </w:r>
      <w:r>
        <w:rPr>
          <w:rFonts w:hint="eastAsia" w:ascii="仿宋_GB2312" w:hAnsi="仿宋_GB2312" w:eastAsia="仿宋_GB2312" w:cs="仿宋_GB2312"/>
          <w:sz w:val="32"/>
          <w:szCs w:val="32"/>
          <w:highlight w:val="none"/>
          <w:lang w:val="en-US" w:eastAsia="zh-CN"/>
        </w:rPr>
        <w:t>41.74</w:t>
      </w:r>
      <w:r>
        <w:rPr>
          <w:rFonts w:hint="eastAsia" w:ascii="仿宋_GB2312" w:hAnsi="仿宋_GB2312" w:eastAsia="仿宋_GB2312" w:cs="仿宋_GB2312"/>
          <w:sz w:val="32"/>
          <w:szCs w:val="32"/>
          <w:highlight w:val="none"/>
        </w:rPr>
        <w:t>万元，主要包括：办公费、印刷费、邮电费、差旅费、维修（护）费、会议费、委托业务费、工会经费、福利费、公务用车运行维护费、其他交通费用、其他商品和服务支出、办公设备购置。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22.50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例行节约，缩减“三公”经费支出。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0.90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22.50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sz w:val="32"/>
          <w:szCs w:val="24"/>
          <w:lang w:val="en-US"/>
        </w:rPr>
        <w:t>。</w:t>
      </w:r>
      <w:r>
        <w:rPr>
          <w:rFonts w:hint="eastAsia" w:ascii="仿宋_GB2312" w:hAnsi="仿宋_GB2312" w:eastAsia="仿宋_GB2312"/>
          <w:sz w:val="32"/>
          <w:szCs w:val="24"/>
          <w:lang w:val="en-US" w:eastAsia="zh-CN"/>
        </w:rPr>
        <w:t>全年</w:t>
      </w:r>
      <w:r>
        <w:rPr>
          <w:rFonts w:hint="eastAsia" w:ascii="仿宋_GB2312" w:hAnsi="仿宋_GB2312" w:eastAsia="仿宋_GB2312"/>
          <w:sz w:val="32"/>
          <w:szCs w:val="24"/>
          <w:lang w:val="en-US"/>
        </w:rPr>
        <w:t>因公出国（境）团组0个，</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人次0人。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22.50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例行节约，缩减公务用车运行支出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0.90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公车日常运行所需的加油、维修、购置车辆保险等。</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41.74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41.74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不存在差异</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部门整体支出和项目支出开展全过程预算绩效管理。2021年我部门纳入预算绩效管理的支出总额为516.13万元，其中：基本支出500.89万元；支出项目1个，支出金额15.24万元。开展项目绩效自评项目1个，自评金额15.24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部门整体绩效目标和项目支出绩效目标进行了自评。一是部门整体绩效自评情况，我部门本着清晰明确可量化、可实现的原则，结合我部门工作实际，使部门整体绩效评价指标具有较强的针对性，充分体现出我部门的工作职能、工作内容和特点，绩效评价结果良好，绩效指标设定科学合理。二是项目绩效自评情况。我部门共有1个项目批复了绩效目标，项目金额15.24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中共许昌市委直属机关工作委员会1个，项目金额15.24万元；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color w:val="auto"/>
          <w:kern w:val="0"/>
          <w:sz w:val="28"/>
          <w:szCs w:val="28"/>
          <w:highlight w:val="none"/>
          <w:lang w:val="en-US" w:eastAsia="zh-CN"/>
        </w:rPr>
      </w:pPr>
      <w:r>
        <w:rPr>
          <w:rFonts w:hint="eastAsia" w:ascii="黑体" w:hAnsi="黑体" w:eastAsia="黑体" w:cs="黑体"/>
          <w:sz w:val="48"/>
          <w:szCs w:val="48"/>
          <w:highlight w:val="none"/>
        </w:rPr>
        <w:br w:type="page"/>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74C"/>
    <w:rsid w:val="00182842"/>
    <w:rsid w:val="00184D53"/>
    <w:rsid w:val="001905F2"/>
    <w:rsid w:val="00197592"/>
    <w:rsid w:val="001C32F0"/>
    <w:rsid w:val="001D5328"/>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9B8"/>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13C83"/>
    <w:rsid w:val="01322275"/>
    <w:rsid w:val="01DC6F05"/>
    <w:rsid w:val="02A3489A"/>
    <w:rsid w:val="02CA138D"/>
    <w:rsid w:val="033646FC"/>
    <w:rsid w:val="033D51D2"/>
    <w:rsid w:val="03C75F80"/>
    <w:rsid w:val="0478364D"/>
    <w:rsid w:val="053D4C0D"/>
    <w:rsid w:val="0557532E"/>
    <w:rsid w:val="05EC26B0"/>
    <w:rsid w:val="0799329C"/>
    <w:rsid w:val="08397436"/>
    <w:rsid w:val="086F16A7"/>
    <w:rsid w:val="088A770A"/>
    <w:rsid w:val="0A0F7225"/>
    <w:rsid w:val="0A2B7D82"/>
    <w:rsid w:val="0A8C3F62"/>
    <w:rsid w:val="0ADC40E9"/>
    <w:rsid w:val="0AE607F4"/>
    <w:rsid w:val="0B386127"/>
    <w:rsid w:val="0B451598"/>
    <w:rsid w:val="0B5E111C"/>
    <w:rsid w:val="0BEC73F4"/>
    <w:rsid w:val="0C392698"/>
    <w:rsid w:val="0D6F109F"/>
    <w:rsid w:val="0D72426E"/>
    <w:rsid w:val="0E1B5D25"/>
    <w:rsid w:val="0F283682"/>
    <w:rsid w:val="10BD36F6"/>
    <w:rsid w:val="11925CFD"/>
    <w:rsid w:val="11BF0649"/>
    <w:rsid w:val="123E3E08"/>
    <w:rsid w:val="12BE0D10"/>
    <w:rsid w:val="133212F4"/>
    <w:rsid w:val="135308A8"/>
    <w:rsid w:val="13D22E22"/>
    <w:rsid w:val="161C2DFF"/>
    <w:rsid w:val="16373578"/>
    <w:rsid w:val="1667366C"/>
    <w:rsid w:val="16BE7405"/>
    <w:rsid w:val="16D3336B"/>
    <w:rsid w:val="17200028"/>
    <w:rsid w:val="176F3141"/>
    <w:rsid w:val="17806C36"/>
    <w:rsid w:val="17834E84"/>
    <w:rsid w:val="17A74F62"/>
    <w:rsid w:val="18A47774"/>
    <w:rsid w:val="19010CC7"/>
    <w:rsid w:val="1A8D28EB"/>
    <w:rsid w:val="1A9F2D78"/>
    <w:rsid w:val="1B2E6FD8"/>
    <w:rsid w:val="1B877D21"/>
    <w:rsid w:val="1B972C67"/>
    <w:rsid w:val="1BE73EBF"/>
    <w:rsid w:val="1C4319A9"/>
    <w:rsid w:val="1CCC3417"/>
    <w:rsid w:val="1D057FF2"/>
    <w:rsid w:val="1E443B4B"/>
    <w:rsid w:val="1E4E0D39"/>
    <w:rsid w:val="1E994F4A"/>
    <w:rsid w:val="1EAF0224"/>
    <w:rsid w:val="1EC975DB"/>
    <w:rsid w:val="1F0F524B"/>
    <w:rsid w:val="1F2230A4"/>
    <w:rsid w:val="20210932"/>
    <w:rsid w:val="202448E0"/>
    <w:rsid w:val="20B50E4D"/>
    <w:rsid w:val="20F614FE"/>
    <w:rsid w:val="21302EEA"/>
    <w:rsid w:val="21DF7F37"/>
    <w:rsid w:val="22376FB5"/>
    <w:rsid w:val="2262208B"/>
    <w:rsid w:val="23E152D7"/>
    <w:rsid w:val="23EE2489"/>
    <w:rsid w:val="23F95D45"/>
    <w:rsid w:val="24FA77F5"/>
    <w:rsid w:val="255D43C8"/>
    <w:rsid w:val="26714EF8"/>
    <w:rsid w:val="26876BDD"/>
    <w:rsid w:val="2714632A"/>
    <w:rsid w:val="27541E73"/>
    <w:rsid w:val="2767173F"/>
    <w:rsid w:val="27B0539E"/>
    <w:rsid w:val="283E17A2"/>
    <w:rsid w:val="29365CF8"/>
    <w:rsid w:val="299469B3"/>
    <w:rsid w:val="2A805789"/>
    <w:rsid w:val="2ADC0D75"/>
    <w:rsid w:val="2B4A0E52"/>
    <w:rsid w:val="2C975890"/>
    <w:rsid w:val="2CD21D51"/>
    <w:rsid w:val="2D2D51D9"/>
    <w:rsid w:val="2DEF21BB"/>
    <w:rsid w:val="2E4A2F05"/>
    <w:rsid w:val="2ECC1061"/>
    <w:rsid w:val="2FA476AD"/>
    <w:rsid w:val="302B6CD6"/>
    <w:rsid w:val="303F7540"/>
    <w:rsid w:val="31273F61"/>
    <w:rsid w:val="31DD00BF"/>
    <w:rsid w:val="3293174C"/>
    <w:rsid w:val="32BB38D4"/>
    <w:rsid w:val="32C9376D"/>
    <w:rsid w:val="33780472"/>
    <w:rsid w:val="33AF0905"/>
    <w:rsid w:val="34494251"/>
    <w:rsid w:val="355932F4"/>
    <w:rsid w:val="35611882"/>
    <w:rsid w:val="36746FC3"/>
    <w:rsid w:val="368763AE"/>
    <w:rsid w:val="36A11DE0"/>
    <w:rsid w:val="36F67C59"/>
    <w:rsid w:val="392456E2"/>
    <w:rsid w:val="395D59E7"/>
    <w:rsid w:val="39A93932"/>
    <w:rsid w:val="3A915562"/>
    <w:rsid w:val="3B8D4765"/>
    <w:rsid w:val="3BC555E4"/>
    <w:rsid w:val="3C000DBA"/>
    <w:rsid w:val="3C663540"/>
    <w:rsid w:val="3D364A76"/>
    <w:rsid w:val="3DC045D3"/>
    <w:rsid w:val="3E504FFB"/>
    <w:rsid w:val="3E615CD0"/>
    <w:rsid w:val="3E9C47F6"/>
    <w:rsid w:val="3EEB1EFD"/>
    <w:rsid w:val="3F8B0112"/>
    <w:rsid w:val="3FAB3095"/>
    <w:rsid w:val="3FE45947"/>
    <w:rsid w:val="41242965"/>
    <w:rsid w:val="414C06C0"/>
    <w:rsid w:val="435671EA"/>
    <w:rsid w:val="440809E9"/>
    <w:rsid w:val="442407A6"/>
    <w:rsid w:val="44805EA1"/>
    <w:rsid w:val="44B85878"/>
    <w:rsid w:val="45710696"/>
    <w:rsid w:val="46142B1B"/>
    <w:rsid w:val="46C202E8"/>
    <w:rsid w:val="47E60DD0"/>
    <w:rsid w:val="48735039"/>
    <w:rsid w:val="492C684B"/>
    <w:rsid w:val="49500594"/>
    <w:rsid w:val="49E7604E"/>
    <w:rsid w:val="4BB77572"/>
    <w:rsid w:val="4BEF7DD1"/>
    <w:rsid w:val="4BF67CDD"/>
    <w:rsid w:val="4C080E93"/>
    <w:rsid w:val="4C7327B1"/>
    <w:rsid w:val="4D173441"/>
    <w:rsid w:val="4D603DD6"/>
    <w:rsid w:val="4D690873"/>
    <w:rsid w:val="4E8C7F19"/>
    <w:rsid w:val="4EBF010F"/>
    <w:rsid w:val="4F3678D3"/>
    <w:rsid w:val="4F471EB0"/>
    <w:rsid w:val="4F5F500F"/>
    <w:rsid w:val="4F9638DE"/>
    <w:rsid w:val="51331326"/>
    <w:rsid w:val="51740A7F"/>
    <w:rsid w:val="51A5541E"/>
    <w:rsid w:val="51C96242"/>
    <w:rsid w:val="51D75590"/>
    <w:rsid w:val="52DC4073"/>
    <w:rsid w:val="53906AE1"/>
    <w:rsid w:val="545509EE"/>
    <w:rsid w:val="54F46F60"/>
    <w:rsid w:val="559F3100"/>
    <w:rsid w:val="55A37BEA"/>
    <w:rsid w:val="56362CD2"/>
    <w:rsid w:val="567710EF"/>
    <w:rsid w:val="5689497F"/>
    <w:rsid w:val="5784687B"/>
    <w:rsid w:val="57846959"/>
    <w:rsid w:val="578E6A87"/>
    <w:rsid w:val="57B611C8"/>
    <w:rsid w:val="58EF3B1A"/>
    <w:rsid w:val="591C41D0"/>
    <w:rsid w:val="59B241EC"/>
    <w:rsid w:val="5AB3021C"/>
    <w:rsid w:val="5AC2203A"/>
    <w:rsid w:val="5CBB3334"/>
    <w:rsid w:val="5D115FAF"/>
    <w:rsid w:val="60114B57"/>
    <w:rsid w:val="62811722"/>
    <w:rsid w:val="62E75A72"/>
    <w:rsid w:val="64571880"/>
    <w:rsid w:val="649125B6"/>
    <w:rsid w:val="64C00721"/>
    <w:rsid w:val="652F4C1A"/>
    <w:rsid w:val="658E1B81"/>
    <w:rsid w:val="666D37F1"/>
    <w:rsid w:val="67087D8F"/>
    <w:rsid w:val="671F687E"/>
    <w:rsid w:val="679213FE"/>
    <w:rsid w:val="67F415F8"/>
    <w:rsid w:val="682640D1"/>
    <w:rsid w:val="68447D2A"/>
    <w:rsid w:val="684B73E5"/>
    <w:rsid w:val="691D700C"/>
    <w:rsid w:val="69676DA1"/>
    <w:rsid w:val="69BB47EC"/>
    <w:rsid w:val="6A047A2A"/>
    <w:rsid w:val="6A097E59"/>
    <w:rsid w:val="6A3A2E45"/>
    <w:rsid w:val="6B7F3C04"/>
    <w:rsid w:val="6EC82C74"/>
    <w:rsid w:val="6EFB7548"/>
    <w:rsid w:val="6F3831C3"/>
    <w:rsid w:val="6F8B71C1"/>
    <w:rsid w:val="70753482"/>
    <w:rsid w:val="707B522A"/>
    <w:rsid w:val="70CF2F38"/>
    <w:rsid w:val="70E70250"/>
    <w:rsid w:val="72486C5D"/>
    <w:rsid w:val="73194D05"/>
    <w:rsid w:val="73A83B0E"/>
    <w:rsid w:val="744D3EF9"/>
    <w:rsid w:val="74794411"/>
    <w:rsid w:val="74A82427"/>
    <w:rsid w:val="74DF6386"/>
    <w:rsid w:val="75867C40"/>
    <w:rsid w:val="75B10B26"/>
    <w:rsid w:val="76432199"/>
    <w:rsid w:val="76F44829"/>
    <w:rsid w:val="770357BA"/>
    <w:rsid w:val="777230DA"/>
    <w:rsid w:val="77A267C0"/>
    <w:rsid w:val="78882278"/>
    <w:rsid w:val="78B118A6"/>
    <w:rsid w:val="79135044"/>
    <w:rsid w:val="796B3DB1"/>
    <w:rsid w:val="798B6F10"/>
    <w:rsid w:val="7A7D0F99"/>
    <w:rsid w:val="7A7F4D17"/>
    <w:rsid w:val="7DDC61BC"/>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8699</Words>
  <Characters>10648</Characters>
  <Lines>60</Lines>
  <Paragraphs>16</Paragraphs>
  <TotalTime>8</TotalTime>
  <ScaleCrop>false</ScaleCrop>
  <LinksUpToDate>false</LinksUpToDate>
  <CharactersWithSpaces>10882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2023-05-15T02:58:45Z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B2A73950A368432D8B60966D01982C23</vt:lpwstr>
  </property>
</Properties>
</file>