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中共许昌市委政策研究室</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中共许昌市委政策研究室</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rPr>
        <w:t xml:space="preserve"> </w:t>
      </w:r>
      <w:r>
        <w:rPr>
          <w:rFonts w:hint="eastAsia" w:ascii="黑体" w:hAnsi="黑体" w:eastAsia="黑体" w:cs="黑体"/>
          <w:sz w:val="48"/>
          <w:szCs w:val="48"/>
          <w:highlight w:val="none"/>
          <w:lang w:val="en-US" w:eastAsia="zh-CN"/>
        </w:rPr>
        <w:t>中共许昌市委政策研究室</w:t>
      </w:r>
    </w:p>
    <w:p>
      <w:pPr>
        <w:widowControl/>
        <w:numPr>
          <w:ilvl w:val="0"/>
          <w:numId w:val="0"/>
        </w:numPr>
        <w:ind w:firstLine="3840" w:firstLineChars="800"/>
        <w:jc w:val="both"/>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rPr>
        <w:t>根据市委的部署和要求，对关系全市经济社会发展的全局性、政策性问题进行调查研究，及时向市委反映情况，提出意见和建议，为市委科学决策服务；按照市委指示，承担市委有关政策性文件、重要文稿和文章的起草任务；参与市委重要会议的筹备及会议文件的调研起草；根据全市改革、发展、稳定的需要，负责收集、整理、选编市内外、国内外有重要参考价值的信息资料和调研成果，供市委决策参考；围绕市委的工作中心，组织协调市直及各县（市、区）有关部门的调研力量，总结经验，推广典型，完成市委交办的重点调研课题；组织撰写有关宣传、阐释党的路线、方针、政策和市委重大决策的文章、著作；承办市委交办的其他事项。</w:t>
      </w:r>
      <w:r>
        <w:rPr>
          <w:rFonts w:hint="eastAsia" w:ascii="仿宋_GB2312" w:hAnsi="宋体" w:eastAsia="仿宋_GB2312" w:cs="宋体"/>
          <w:kern w:val="0"/>
          <w:sz w:val="32"/>
          <w:szCs w:val="32"/>
          <w:highlight w:val="none"/>
          <w:lang w:val="en-US" w:eastAsia="zh-CN"/>
        </w:rPr>
        <w:t xml:space="preserve">  </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中共许昌市委政策研究室内设机构3个，包括：综合科、调研一科、调研二科。</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val="en-US" w:eastAsia="zh-CN"/>
        </w:rPr>
        <w:t>中共许昌市委政策研究室</w:t>
      </w:r>
      <w:r>
        <w:rPr>
          <w:rFonts w:hint="eastAsia" w:ascii="仿宋_GB2312" w:hAnsi="仿宋_GB2312" w:eastAsia="仿宋_GB2312" w:cs="仿宋_GB2312"/>
          <w:kern w:val="0"/>
          <w:sz w:val="32"/>
          <w:szCs w:val="32"/>
          <w:highlight w:val="none"/>
        </w:rPr>
        <w:t>部门决算包括：本级决算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color w:val="auto"/>
          <w:sz w:val="32"/>
          <w:szCs w:val="32"/>
          <w:highlight w:val="none"/>
        </w:rPr>
        <w:t>、所属单位决算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rPr>
        <w:t>本决算为汇总决算，</w:t>
      </w:r>
      <w:r>
        <w:rPr>
          <w:rFonts w:hint="eastAsia" w:ascii="仿宋_GB2312" w:hAnsi="仿宋_GB2312" w:eastAsia="仿宋_GB2312" w:cs="仿宋_GB2312"/>
          <w:color w:val="auto"/>
          <w:kern w:val="0"/>
          <w:sz w:val="32"/>
          <w:szCs w:val="32"/>
          <w:highlight w:val="none"/>
          <w:lang w:val="en-US" w:eastAsia="zh-CN"/>
        </w:rPr>
        <w:t>纳入本部门2021年度部门决算编制范围的单位共2个，</w:t>
      </w:r>
      <w:r>
        <w:rPr>
          <w:rFonts w:hint="eastAsia" w:ascii="仿宋_GB2312" w:hAnsi="仿宋_GB2312" w:eastAsia="仿宋_GB2312" w:cs="仿宋_GB2312"/>
          <w:color w:val="auto"/>
          <w:sz w:val="32"/>
          <w:szCs w:val="32"/>
          <w:highlight w:val="none"/>
          <w:lang w:eastAsia="zh-CN"/>
        </w:rPr>
        <w:t>其中二级预算单位</w:t>
      </w:r>
      <w:r>
        <w:rPr>
          <w:rFonts w:hint="eastAsia" w:ascii="仿宋_GB2312" w:hAnsi="仿宋_GB2312" w:eastAsia="仿宋_GB2312" w:cs="仿宋_GB2312"/>
          <w:color w:val="auto"/>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val="en-US" w:eastAsia="zh-CN"/>
        </w:rPr>
        <w:t>具体是：</w:t>
      </w:r>
    </w:p>
    <w:p>
      <w:pPr>
        <w:widowControl/>
        <w:numPr>
          <w:ilvl w:val="0"/>
          <w:numId w:val="0"/>
        </w:numPr>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1、中共许昌市委政策研究室</w:t>
      </w:r>
    </w:p>
    <w:p>
      <w:pPr>
        <w:widowControl/>
        <w:ind w:firstLine="640" w:firstLineChars="200"/>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highlight w:val="none"/>
          <w:lang w:val="en-US" w:eastAsia="zh-CN"/>
        </w:rPr>
        <w:t>2、《许昌工作》编辑部（未独立核算）</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6"/>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4"/>
        <w:gridCol w:w="825"/>
        <w:gridCol w:w="1103"/>
        <w:gridCol w:w="4427"/>
        <w:gridCol w:w="825"/>
        <w:gridCol w:w="2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1392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704" w:type="dxa"/>
            <w:tcBorders>
              <w:top w:val="nil"/>
              <w:left w:val="nil"/>
              <w:bottom w:val="nil"/>
              <w:right w:val="nil"/>
            </w:tcBorders>
            <w:shd w:val="clear" w:color="auto" w:fill="auto"/>
            <w:vAlign w:val="bottom"/>
          </w:tcPr>
          <w:p>
            <w:pPr>
              <w:rPr>
                <w:rFonts w:hint="eastAsia" w:ascii="Arial" w:hAnsi="Arial" w:cs="Arial"/>
                <w:i w:val="0"/>
                <w:iCs w:val="0"/>
                <w:color w:val="000000"/>
                <w:sz w:val="20"/>
                <w:szCs w:val="20"/>
                <w:u w:val="none"/>
              </w:rPr>
            </w:pPr>
          </w:p>
        </w:tc>
        <w:tc>
          <w:tcPr>
            <w:tcW w:w="82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103"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4427"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82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203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704"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部门：中共许昌市委政策研究室</w:t>
            </w:r>
          </w:p>
        </w:tc>
        <w:tc>
          <w:tcPr>
            <w:tcW w:w="82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103"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4427"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82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203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6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28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0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25" w:type="dxa"/>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25" w:type="dxa"/>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189.10</w:t>
            </w: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0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0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189.10</w:t>
            </w: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0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15.08</w:t>
            </w: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03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47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204.18</w:t>
            </w:r>
          </w:p>
        </w:tc>
        <w:tc>
          <w:tcPr>
            <w:tcW w:w="44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0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9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6"/>
        <w:tblW w:w="14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8"/>
        <w:gridCol w:w="403"/>
        <w:gridCol w:w="302"/>
        <w:gridCol w:w="3529"/>
        <w:gridCol w:w="1728"/>
        <w:gridCol w:w="1455"/>
        <w:gridCol w:w="1152"/>
        <w:gridCol w:w="1008"/>
        <w:gridCol w:w="819"/>
        <w:gridCol w:w="967"/>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4020"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1308" w:type="dxa"/>
            <w:tcBorders>
              <w:top w:val="nil"/>
              <w:left w:val="nil"/>
              <w:bottom w:val="nil"/>
              <w:right w:val="nil"/>
            </w:tcBorders>
            <w:shd w:val="clear" w:color="auto" w:fill="auto"/>
            <w:vAlign w:val="bottom"/>
          </w:tcPr>
          <w:p>
            <w:pPr>
              <w:rPr>
                <w:rFonts w:hint="eastAsia" w:ascii="Arial" w:hAnsi="Arial" w:cs="Arial"/>
                <w:i w:val="0"/>
                <w:iCs w:val="0"/>
                <w:color w:val="000000"/>
                <w:sz w:val="20"/>
                <w:szCs w:val="20"/>
                <w:u w:val="none"/>
              </w:rPr>
            </w:pPr>
          </w:p>
        </w:tc>
        <w:tc>
          <w:tcPr>
            <w:tcW w:w="403"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302"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3529"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728"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45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152"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008"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819"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67"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34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5542" w:type="dxa"/>
            <w:gridSpan w:val="4"/>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部门：中共许昌市委政策研究室</w:t>
            </w:r>
          </w:p>
        </w:tc>
        <w:tc>
          <w:tcPr>
            <w:tcW w:w="1728"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45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152"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008"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819"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2316"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2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5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5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81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96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4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013"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52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2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013"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2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013"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2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42"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42"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189.10</w:t>
            </w:r>
          </w:p>
        </w:tc>
        <w:tc>
          <w:tcPr>
            <w:tcW w:w="14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189.10</w:t>
            </w:r>
          </w:p>
        </w:tc>
        <w:tc>
          <w:tcPr>
            <w:tcW w:w="115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00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96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34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201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5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165.97</w:t>
            </w:r>
          </w:p>
        </w:tc>
        <w:tc>
          <w:tcPr>
            <w:tcW w:w="14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165.97</w:t>
            </w:r>
          </w:p>
        </w:tc>
        <w:tc>
          <w:tcPr>
            <w:tcW w:w="115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201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35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4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15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201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35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4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15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201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5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14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115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201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5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14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115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201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35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165.18</w:t>
            </w:r>
          </w:p>
        </w:tc>
        <w:tc>
          <w:tcPr>
            <w:tcW w:w="14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165.18</w:t>
            </w:r>
          </w:p>
        </w:tc>
        <w:tc>
          <w:tcPr>
            <w:tcW w:w="115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201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35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149.28</w:t>
            </w:r>
          </w:p>
        </w:tc>
        <w:tc>
          <w:tcPr>
            <w:tcW w:w="14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149.28</w:t>
            </w:r>
          </w:p>
        </w:tc>
        <w:tc>
          <w:tcPr>
            <w:tcW w:w="115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201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35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w:t>
            </w:r>
          </w:p>
        </w:tc>
        <w:tc>
          <w:tcPr>
            <w:tcW w:w="14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w:t>
            </w:r>
          </w:p>
        </w:tc>
        <w:tc>
          <w:tcPr>
            <w:tcW w:w="115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201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5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15.11</w:t>
            </w:r>
          </w:p>
        </w:tc>
        <w:tc>
          <w:tcPr>
            <w:tcW w:w="14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15.11</w:t>
            </w:r>
          </w:p>
        </w:tc>
        <w:tc>
          <w:tcPr>
            <w:tcW w:w="115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201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5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15.11</w:t>
            </w:r>
          </w:p>
        </w:tc>
        <w:tc>
          <w:tcPr>
            <w:tcW w:w="14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15.11</w:t>
            </w:r>
          </w:p>
        </w:tc>
        <w:tc>
          <w:tcPr>
            <w:tcW w:w="115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201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5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15.11</w:t>
            </w:r>
          </w:p>
        </w:tc>
        <w:tc>
          <w:tcPr>
            <w:tcW w:w="14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15.11</w:t>
            </w:r>
          </w:p>
        </w:tc>
        <w:tc>
          <w:tcPr>
            <w:tcW w:w="115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201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5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14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115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201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5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14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115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201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5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14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115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201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5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14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115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4020"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18"/>
        <w:gridCol w:w="229"/>
        <w:gridCol w:w="229"/>
        <w:gridCol w:w="4090"/>
        <w:gridCol w:w="1126"/>
        <w:gridCol w:w="1126"/>
        <w:gridCol w:w="1000"/>
        <w:gridCol w:w="770"/>
        <w:gridCol w:w="760"/>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13840" w:type="dxa"/>
            <w:gridSpan w:val="10"/>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bottom"/>
              <w:outlineLvl w:val="9"/>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118"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eastAsia" w:ascii="Arial" w:hAnsi="Arial" w:cs="Arial"/>
                <w:i w:val="0"/>
                <w:iCs w:val="0"/>
                <w:color w:val="000000"/>
                <w:sz w:val="20"/>
                <w:szCs w:val="20"/>
                <w:u w:val="none"/>
              </w:rPr>
            </w:pPr>
          </w:p>
        </w:tc>
        <w:tc>
          <w:tcPr>
            <w:tcW w:w="229"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229"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4090"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1126"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1126"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1000"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770"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760"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1392" w:type="dxa"/>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bottom"/>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118" w:type="dxa"/>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bottom"/>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部门：中共许昌市委政策研究室</w:t>
            </w:r>
          </w:p>
        </w:tc>
        <w:tc>
          <w:tcPr>
            <w:tcW w:w="229"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229"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4090"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1126"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1126"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1000"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770"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2152" w:type="dxa"/>
            <w:gridSpan w:val="2"/>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bottom"/>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7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2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2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7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76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9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3576"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9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2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112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77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139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357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409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112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112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77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139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357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409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112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112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77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139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7666"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7666"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204.18</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192.84</w:t>
            </w:r>
          </w:p>
        </w:tc>
        <w:tc>
          <w:tcPr>
            <w:tcW w:w="10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11.35</w:t>
            </w: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b/>
                <w:bCs/>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b/>
                <w:bCs/>
                <w:i w:val="0"/>
                <w:iCs w:val="0"/>
                <w:color w:val="000000"/>
                <w:sz w:val="22"/>
                <w:szCs w:val="22"/>
                <w:u w:val="none"/>
              </w:rPr>
            </w:pP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57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0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177.69</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166.34</w:t>
            </w:r>
          </w:p>
        </w:tc>
        <w:tc>
          <w:tcPr>
            <w:tcW w:w="10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57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40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00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57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40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00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57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0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100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57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0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100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57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40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176.91</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165.56</w:t>
            </w:r>
          </w:p>
        </w:tc>
        <w:tc>
          <w:tcPr>
            <w:tcW w:w="10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57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40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157.88</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157.88</w:t>
            </w:r>
          </w:p>
        </w:tc>
        <w:tc>
          <w:tcPr>
            <w:tcW w:w="100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57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40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19.03</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w:t>
            </w:r>
          </w:p>
        </w:tc>
        <w:tc>
          <w:tcPr>
            <w:tcW w:w="10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57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100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57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100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57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0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w:t>
            </w:r>
          </w:p>
        </w:tc>
        <w:tc>
          <w:tcPr>
            <w:tcW w:w="100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57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0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57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100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57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100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57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0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100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57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0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100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384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23"/>
        <w:gridCol w:w="533"/>
        <w:gridCol w:w="1255"/>
        <w:gridCol w:w="3944"/>
        <w:gridCol w:w="533"/>
        <w:gridCol w:w="925"/>
        <w:gridCol w:w="1150"/>
        <w:gridCol w:w="787"/>
        <w:gridCol w:w="1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880"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423" w:type="dxa"/>
            <w:tcBorders>
              <w:top w:val="nil"/>
              <w:left w:val="nil"/>
              <w:bottom w:val="nil"/>
              <w:right w:val="nil"/>
            </w:tcBorders>
            <w:shd w:val="clear" w:color="auto" w:fill="auto"/>
            <w:vAlign w:val="bottom"/>
          </w:tcPr>
          <w:p>
            <w:pPr>
              <w:rPr>
                <w:rFonts w:hint="eastAsia" w:ascii="Arial" w:hAnsi="Arial" w:cs="Arial"/>
                <w:i w:val="0"/>
                <w:iCs w:val="0"/>
                <w:color w:val="000000"/>
                <w:sz w:val="20"/>
                <w:szCs w:val="20"/>
                <w:u w:val="none"/>
              </w:rPr>
            </w:pPr>
          </w:p>
        </w:tc>
        <w:tc>
          <w:tcPr>
            <w:tcW w:w="533"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25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3944"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533"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2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15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87"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33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423"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部门：中共许昌市委政策研究室</w:t>
            </w:r>
          </w:p>
        </w:tc>
        <w:tc>
          <w:tcPr>
            <w:tcW w:w="533"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25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3944"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533"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2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15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2117"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66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2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5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94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7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3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2" w:hRule="atLeast"/>
        </w:trPr>
        <w:tc>
          <w:tcPr>
            <w:tcW w:w="342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4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3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33" w:type="dxa"/>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33" w:type="dxa"/>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189.10</w:t>
            </w: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177.69</w:t>
            </w:r>
          </w:p>
        </w:tc>
        <w:tc>
          <w:tcPr>
            <w:tcW w:w="11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177.69</w:t>
            </w: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11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11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189.10</w:t>
            </w: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204.18</w:t>
            </w:r>
          </w:p>
        </w:tc>
        <w:tc>
          <w:tcPr>
            <w:tcW w:w="11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204.18</w:t>
            </w: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15.08</w:t>
            </w: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15.08</w:t>
            </w:r>
          </w:p>
        </w:tc>
        <w:tc>
          <w:tcPr>
            <w:tcW w:w="3944"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44"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42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204.18</w:t>
            </w:r>
          </w:p>
        </w:tc>
        <w:tc>
          <w:tcPr>
            <w:tcW w:w="3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204.18</w:t>
            </w:r>
          </w:p>
        </w:tc>
        <w:tc>
          <w:tcPr>
            <w:tcW w:w="11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204.18</w:t>
            </w:r>
          </w:p>
        </w:tc>
        <w:tc>
          <w:tcPr>
            <w:tcW w:w="78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80"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6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6"/>
        <w:gridCol w:w="222"/>
        <w:gridCol w:w="222"/>
        <w:gridCol w:w="3956"/>
        <w:gridCol w:w="1491"/>
        <w:gridCol w:w="2355"/>
        <w:gridCol w:w="2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692" w:type="dxa"/>
            <w:gridSpan w:val="7"/>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bottom"/>
              <w:outlineLvl w:val="9"/>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016"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1491"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2355"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2430" w:type="dxa"/>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bottom"/>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016" w:type="dxa"/>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bottom"/>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部门：中共许昌市委政策研究室</w:t>
            </w:r>
          </w:p>
        </w:tc>
        <w:tc>
          <w:tcPr>
            <w:tcW w:w="222"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1491"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2355" w:type="dxa"/>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264" w:lineRule="auto"/>
              <w:outlineLvl w:val="9"/>
              <w:rPr>
                <w:rFonts w:hint="default" w:ascii="Arial" w:hAnsi="Arial" w:cs="Arial"/>
                <w:i w:val="0"/>
                <w:iCs w:val="0"/>
                <w:color w:val="000000"/>
                <w:sz w:val="20"/>
                <w:szCs w:val="20"/>
                <w:u w:val="none"/>
              </w:rPr>
            </w:pPr>
          </w:p>
        </w:tc>
        <w:tc>
          <w:tcPr>
            <w:tcW w:w="2430" w:type="dxa"/>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bottom"/>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4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7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9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35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43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34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149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235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243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149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235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c>
          <w:tcPr>
            <w:tcW w:w="243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center"/>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416"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416"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204.18</w:t>
            </w:r>
          </w:p>
        </w:tc>
        <w:tc>
          <w:tcPr>
            <w:tcW w:w="23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192.84</w:t>
            </w:r>
          </w:p>
        </w:tc>
        <w:tc>
          <w:tcPr>
            <w:tcW w:w="24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177.69</w:t>
            </w:r>
          </w:p>
        </w:tc>
        <w:tc>
          <w:tcPr>
            <w:tcW w:w="23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166.34</w:t>
            </w:r>
          </w:p>
        </w:tc>
        <w:tc>
          <w:tcPr>
            <w:tcW w:w="24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4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23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243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23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243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4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23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243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4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23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243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4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176.91</w:t>
            </w:r>
          </w:p>
        </w:tc>
        <w:tc>
          <w:tcPr>
            <w:tcW w:w="23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165.56</w:t>
            </w:r>
          </w:p>
        </w:tc>
        <w:tc>
          <w:tcPr>
            <w:tcW w:w="24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157.88</w:t>
            </w:r>
          </w:p>
        </w:tc>
        <w:tc>
          <w:tcPr>
            <w:tcW w:w="23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157.88</w:t>
            </w:r>
          </w:p>
        </w:tc>
        <w:tc>
          <w:tcPr>
            <w:tcW w:w="243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19.03</w:t>
            </w:r>
          </w:p>
        </w:tc>
        <w:tc>
          <w:tcPr>
            <w:tcW w:w="23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w:t>
            </w:r>
          </w:p>
        </w:tc>
        <w:tc>
          <w:tcPr>
            <w:tcW w:w="24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23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243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23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243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4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w:t>
            </w:r>
          </w:p>
        </w:tc>
        <w:tc>
          <w:tcPr>
            <w:tcW w:w="23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w:t>
            </w:r>
          </w:p>
        </w:tc>
        <w:tc>
          <w:tcPr>
            <w:tcW w:w="243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3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43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23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243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23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243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4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23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243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4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23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243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right"/>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9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5"/>
        <w:gridCol w:w="3206"/>
        <w:gridCol w:w="1012"/>
        <w:gridCol w:w="857"/>
        <w:gridCol w:w="1868"/>
        <w:gridCol w:w="909"/>
        <w:gridCol w:w="775"/>
        <w:gridCol w:w="3285"/>
        <w:gridCol w:w="1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85" w:type="dxa"/>
            <w:tcBorders>
              <w:top w:val="nil"/>
              <w:left w:val="nil"/>
              <w:bottom w:val="nil"/>
              <w:right w:val="nil"/>
            </w:tcBorders>
            <w:shd w:val="clear" w:color="auto" w:fill="auto"/>
            <w:vAlign w:val="bottom"/>
          </w:tcPr>
          <w:p>
            <w:pPr>
              <w:rPr>
                <w:rFonts w:hint="eastAsia" w:ascii="Arial" w:hAnsi="Arial" w:cs="Arial"/>
                <w:i w:val="0"/>
                <w:iCs w:val="0"/>
                <w:color w:val="000000"/>
                <w:sz w:val="20"/>
                <w:szCs w:val="20"/>
                <w:u w:val="none"/>
              </w:rPr>
            </w:pPr>
          </w:p>
        </w:tc>
        <w:tc>
          <w:tcPr>
            <w:tcW w:w="3206"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012"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857"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868"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09"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7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328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1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1"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部门：中共许昌市委政策研究室</w:t>
            </w:r>
          </w:p>
        </w:tc>
        <w:tc>
          <w:tcPr>
            <w:tcW w:w="1012"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857"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868"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09"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7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4469"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878"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2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1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5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86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0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7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2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0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1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6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157.01</w:t>
            </w: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18.55</w:t>
            </w: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38.40</w:t>
            </w: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44.67</w:t>
            </w: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45.59</w:t>
            </w: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0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1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0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0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1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w:t>
            </w: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0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0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0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0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w:t>
            </w: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0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0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w:t>
            </w: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0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0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0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2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w:t>
            </w:r>
          </w:p>
        </w:tc>
        <w:tc>
          <w:tcPr>
            <w:tcW w:w="775"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285"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2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0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285"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5"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20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8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775"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285"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91"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172.72</w:t>
            </w:r>
          </w:p>
        </w:tc>
        <w:tc>
          <w:tcPr>
            <w:tcW w:w="7694" w:type="dxa"/>
            <w:gridSpan w:val="5"/>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1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4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0"/>
        <w:gridCol w:w="1440"/>
        <w:gridCol w:w="1080"/>
        <w:gridCol w:w="959"/>
        <w:gridCol w:w="817"/>
        <w:gridCol w:w="817"/>
        <w:gridCol w:w="1247"/>
        <w:gridCol w:w="885"/>
        <w:gridCol w:w="780"/>
        <w:gridCol w:w="915"/>
        <w:gridCol w:w="1155"/>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485" w:type="dxa"/>
            <w:gridSpan w:val="12"/>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80" w:type="dxa"/>
            <w:tcBorders>
              <w:top w:val="nil"/>
              <w:left w:val="nil"/>
              <w:bottom w:val="nil"/>
              <w:right w:val="nil"/>
            </w:tcBorders>
            <w:shd w:val="clear" w:color="auto" w:fill="auto"/>
            <w:vAlign w:val="bottom"/>
          </w:tcPr>
          <w:p>
            <w:pPr>
              <w:rPr>
                <w:rFonts w:hint="eastAsia" w:ascii="Arial" w:hAnsi="Arial" w:cs="Arial"/>
                <w:i w:val="0"/>
                <w:iCs w:val="0"/>
                <w:color w:val="000000"/>
                <w:sz w:val="20"/>
                <w:szCs w:val="20"/>
                <w:u w:val="none"/>
              </w:rPr>
            </w:pPr>
          </w:p>
        </w:tc>
        <w:tc>
          <w:tcPr>
            <w:tcW w:w="144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08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59"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817"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817"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247"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88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8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1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420"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部门：中共许昌市委政策研究室</w:t>
            </w:r>
          </w:p>
        </w:tc>
        <w:tc>
          <w:tcPr>
            <w:tcW w:w="108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59"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817"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817"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247"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88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8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1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2565"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7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392"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8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81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4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8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4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9" w:hRule="atLeast"/>
        </w:trPr>
        <w:tc>
          <w:tcPr>
            <w:tcW w:w="19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8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81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41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9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44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5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8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124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88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91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485"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40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6"/>
        <w:gridCol w:w="290"/>
        <w:gridCol w:w="240"/>
        <w:gridCol w:w="1480"/>
        <w:gridCol w:w="1381"/>
        <w:gridCol w:w="1250"/>
        <w:gridCol w:w="1260"/>
        <w:gridCol w:w="1395"/>
        <w:gridCol w:w="145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37"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36" w:type="dxa"/>
            <w:tcBorders>
              <w:top w:val="nil"/>
              <w:left w:val="nil"/>
              <w:bottom w:val="nil"/>
              <w:right w:val="nil"/>
            </w:tcBorders>
            <w:shd w:val="clear" w:color="auto" w:fill="auto"/>
            <w:vAlign w:val="bottom"/>
          </w:tcPr>
          <w:p>
            <w:pPr>
              <w:rPr>
                <w:rFonts w:hint="eastAsia" w:ascii="Arial" w:hAnsi="Arial" w:cs="Arial"/>
                <w:i w:val="0"/>
                <w:iCs w:val="0"/>
                <w:color w:val="000000"/>
                <w:sz w:val="20"/>
                <w:szCs w:val="20"/>
                <w:u w:val="none"/>
              </w:rPr>
            </w:pPr>
          </w:p>
        </w:tc>
        <w:tc>
          <w:tcPr>
            <w:tcW w:w="29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48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381"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25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26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39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45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35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36"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部门：中共许昌市委政策研究室</w:t>
            </w:r>
          </w:p>
        </w:tc>
        <w:tc>
          <w:tcPr>
            <w:tcW w:w="29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48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381"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25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26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39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2805"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8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2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11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3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66"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9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5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6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6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46"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8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46"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2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39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66"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80"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66"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80"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66"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80"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66"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80"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66"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80"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66"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80"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7"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lang w:val="en-US" w:eastAsia="zh-CN"/>
        </w:rPr>
        <w:t>说明：我部门没有政府性基金收入，也没有使用政府性基金安排的支出，故本表无数据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204.18</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28.24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16.05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财政拨款人员经费支出增加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189.10</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189.10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0.00万元，占0.00%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，占0.00%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，占0.00%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，占0.00%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占0.00%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204.18</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192.84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94.44</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11.35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5.56</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，占0.00%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，占0.00%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，占0.00%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204.18</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28.24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16.05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财政拨款人员经费支出增加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204.18</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28.24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16.05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财政拨款人员经费支出增加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204.18</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177.69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87.03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社会保障和就业（类）支出17.10万元，占8.37%；卫生健康（类）支出9.40万元，占4.60%。</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179.77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204.18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113.58</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一般公共服务支出（类）人大事务（款）行政运行（项）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val="0"/>
          <w:bCs w:val="0"/>
          <w:sz w:val="32"/>
          <w:szCs w:val="32"/>
          <w:highlight w:val="none"/>
          <w:lang w:eastAsia="zh-CN"/>
        </w:rPr>
        <w:t>年初</w:t>
      </w:r>
      <w:r>
        <w:rPr>
          <w:rFonts w:hint="eastAsia" w:ascii="仿宋_GB2312" w:hAnsi="仿宋_GB2312" w:eastAsia="仿宋_GB2312" w:cs="仿宋_GB2312"/>
          <w:b w:val="0"/>
          <w:bCs w:val="0"/>
          <w:sz w:val="32"/>
          <w:szCs w:val="32"/>
          <w:highlight w:val="none"/>
        </w:rPr>
        <w:t>预算为</w:t>
      </w:r>
      <w:r>
        <w:rPr>
          <w:rFonts w:hint="eastAsia" w:ascii="仿宋_GB2312" w:hAnsi="仿宋_GB2312" w:eastAsia="仿宋_GB2312" w:cs="仿宋_GB2312"/>
          <w:b w:val="0"/>
          <w:bCs w:val="0"/>
          <w:sz w:val="32"/>
          <w:szCs w:val="32"/>
          <w:highlight w:val="none"/>
          <w:lang w:val="en-US" w:eastAsia="zh-CN"/>
        </w:rPr>
        <w:t>0.23</w:t>
      </w:r>
      <w:r>
        <w:rPr>
          <w:rFonts w:hint="eastAsia" w:ascii="仿宋_GB2312" w:hAnsi="仿宋_GB2312" w:eastAsia="仿宋_GB2312" w:cs="仿宋_GB2312"/>
          <w:b w:val="0"/>
          <w:bCs w:val="0"/>
          <w:sz w:val="32"/>
          <w:szCs w:val="32"/>
          <w:highlight w:val="none"/>
        </w:rPr>
        <w:t>万元，支出决算为</w:t>
      </w:r>
      <w:r>
        <w:rPr>
          <w:rFonts w:hint="eastAsia" w:ascii="仿宋_GB2312" w:hAnsi="仿宋_GB2312" w:eastAsia="仿宋_GB2312" w:cs="仿宋_GB2312"/>
          <w:b w:val="0"/>
          <w:bCs w:val="0"/>
          <w:sz w:val="32"/>
          <w:szCs w:val="32"/>
          <w:highlight w:val="none"/>
          <w:lang w:val="en-US" w:eastAsia="zh-CN"/>
        </w:rPr>
        <w:t>0.06</w:t>
      </w:r>
      <w:r>
        <w:rPr>
          <w:rFonts w:hint="eastAsia" w:ascii="仿宋_GB2312" w:hAnsi="仿宋_GB2312" w:eastAsia="仿宋_GB2312" w:cs="仿宋_GB2312"/>
          <w:b w:val="0"/>
          <w:bCs w:val="0"/>
          <w:sz w:val="32"/>
          <w:szCs w:val="32"/>
          <w:highlight w:val="none"/>
        </w:rPr>
        <w:t>万元，完成</w:t>
      </w:r>
      <w:r>
        <w:rPr>
          <w:rFonts w:hint="eastAsia" w:ascii="仿宋_GB2312" w:hAnsi="仿宋_GB2312" w:eastAsia="仿宋_GB2312" w:cs="仿宋_GB2312"/>
          <w:b w:val="0"/>
          <w:bCs w:val="0"/>
          <w:sz w:val="32"/>
          <w:szCs w:val="32"/>
          <w:highlight w:val="none"/>
          <w:lang w:eastAsia="zh-CN"/>
        </w:rPr>
        <w:t>年初</w:t>
      </w:r>
      <w:r>
        <w:rPr>
          <w:rFonts w:hint="eastAsia" w:ascii="仿宋_GB2312" w:hAnsi="仿宋_GB2312" w:eastAsia="仿宋_GB2312" w:cs="仿宋_GB2312"/>
          <w:b w:val="0"/>
          <w:bCs w:val="0"/>
          <w:sz w:val="32"/>
          <w:szCs w:val="32"/>
          <w:highlight w:val="none"/>
        </w:rPr>
        <w:t>预算的</w:t>
      </w:r>
      <w:r>
        <w:rPr>
          <w:rFonts w:hint="eastAsia" w:ascii="仿宋_GB2312" w:hAnsi="仿宋_GB2312" w:eastAsia="仿宋_GB2312" w:cs="仿宋_GB2312"/>
          <w:b w:val="0"/>
          <w:bCs w:val="0"/>
          <w:sz w:val="32"/>
          <w:szCs w:val="32"/>
          <w:highlight w:val="none"/>
          <w:lang w:val="en-US" w:eastAsia="zh-CN"/>
        </w:rPr>
        <w:t>26.09</w:t>
      </w:r>
      <w:r>
        <w:rPr>
          <w:rFonts w:hint="eastAsia" w:ascii="仿宋_GB2312" w:hAnsi="仿宋_GB2312" w:eastAsia="仿宋_GB2312" w:cs="仿宋_GB2312"/>
          <w:b w:val="0"/>
          <w:bCs w:val="0"/>
          <w:sz w:val="32"/>
          <w:szCs w:val="32"/>
          <w:highlight w:val="none"/>
        </w:rPr>
        <w:t>%。决算数与</w:t>
      </w:r>
      <w:r>
        <w:rPr>
          <w:rFonts w:hint="eastAsia" w:ascii="仿宋_GB2312" w:hAnsi="仿宋_GB2312" w:eastAsia="仿宋_GB2312" w:cs="仿宋_GB2312"/>
          <w:b w:val="0"/>
          <w:bCs w:val="0"/>
          <w:sz w:val="32"/>
          <w:szCs w:val="32"/>
          <w:highlight w:val="none"/>
          <w:lang w:eastAsia="zh-CN"/>
        </w:rPr>
        <w:t>年初</w:t>
      </w:r>
      <w:r>
        <w:rPr>
          <w:rFonts w:hint="eastAsia" w:ascii="仿宋_GB2312" w:hAnsi="仿宋_GB2312" w:eastAsia="仿宋_GB2312" w:cs="仿宋_GB2312"/>
          <w:b w:val="0"/>
          <w:bCs w:val="0"/>
          <w:sz w:val="32"/>
          <w:szCs w:val="32"/>
          <w:highlight w:val="none"/>
        </w:rPr>
        <w:t>预算数</w:t>
      </w:r>
      <w:r>
        <w:rPr>
          <w:rFonts w:hint="eastAsia" w:ascii="仿宋_GB2312" w:hAnsi="仿宋_GB2312" w:eastAsia="仿宋_GB2312" w:cs="仿宋_GB2312"/>
          <w:b w:val="0"/>
          <w:bCs w:val="0"/>
          <w:sz w:val="32"/>
          <w:szCs w:val="32"/>
          <w:highlight w:val="none"/>
          <w:lang w:val="en-US" w:eastAsia="zh-CN"/>
        </w:rPr>
        <w:t>存在差异的主要原因是响应过紧日子要求</w:t>
      </w:r>
      <w:r>
        <w:rPr>
          <w:rFonts w:hint="eastAsia" w:ascii="仿宋_GB2312" w:hAnsi="仿宋_GB2312" w:eastAsia="仿宋_GB2312" w:cs="仿宋_GB2312"/>
          <w:b w:val="0"/>
          <w:bCs w:val="0"/>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0.72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0.72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color w:val="auto"/>
          <w:sz w:val="32"/>
          <w:szCs w:val="32"/>
          <w:highlight w:val="none"/>
          <w:lang w:val="en-US" w:eastAsia="zh-CN"/>
        </w:rPr>
        <w:t>不存在差异</w:t>
      </w:r>
      <w:r>
        <w:rPr>
          <w:rFonts w:hint="eastAsia" w:ascii="仿宋_GB2312" w:hAnsi="仿宋_GB2312" w:eastAsia="仿宋_GB2312" w:cs="仿宋_GB2312"/>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一般公共服务支出（类）党委办公厅（室）及相关机构事务（款）行政运行（项）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147.41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157.88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107.10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支出决算中含年末结余资金。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4．一般公共服务支出（类）党委办公厅（室）及相关机构事务（款）一般行政管理事务（项）。</w:t>
      </w:r>
      <w:r>
        <w:rPr>
          <w:rFonts w:hint="eastAsia" w:ascii="仿宋_GB2312" w:hAnsi="仿宋_GB2312" w:eastAsia="仿宋_GB2312" w:cs="仿宋_GB2312"/>
          <w:color w:val="auto"/>
          <w:sz w:val="32"/>
          <w:szCs w:val="32"/>
          <w:highlight w:val="none"/>
          <w:lang w:val="en-US" w:eastAsia="zh-CN"/>
        </w:rPr>
        <w:t>年初预算为6.71万元，支出决算为19.03万元，完成年初预算的283.61%。决算数与年初预算数存在差异的主要原因是追加项目经费。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 xml:space="preserve">年初预算为15.82万元，支出决算为15.70万元，完成年初预算的99.24%。决算数与年初预算数存在差异的主要原因是实际收入小于预算数。 </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6.社会保障和就业支出（类）行政事业单位养老支出（款）机关事业单位基本养老保险缴费支出（项）。</w:t>
      </w:r>
      <w:r>
        <w:rPr>
          <w:rFonts w:hint="eastAsia" w:ascii="仿宋_GB2312" w:hAnsi="仿宋_GB2312" w:eastAsia="仿宋_GB2312" w:cs="仿宋_GB2312"/>
          <w:b w:val="0"/>
          <w:bCs w:val="0"/>
          <w:color w:val="auto"/>
          <w:sz w:val="32"/>
          <w:szCs w:val="32"/>
          <w:highlight w:val="none"/>
          <w:lang w:val="en-US" w:eastAsia="zh-CN"/>
        </w:rPr>
        <w:t>年初预算为0.00万元，支出决算为1.40</w:t>
      </w:r>
      <w:bookmarkStart w:id="0" w:name="_GoBack"/>
      <w:bookmarkEnd w:id="0"/>
      <w:r>
        <w:rPr>
          <w:rFonts w:hint="eastAsia" w:ascii="仿宋_GB2312" w:hAnsi="仿宋_GB2312" w:eastAsia="仿宋_GB2312" w:cs="仿宋_GB2312"/>
          <w:b w:val="0"/>
          <w:bCs w:val="0"/>
          <w:color w:val="auto"/>
          <w:sz w:val="32"/>
          <w:szCs w:val="32"/>
          <w:highlight w:val="none"/>
          <w:lang w:val="en-US" w:eastAsia="zh-CN"/>
        </w:rPr>
        <w:t>万元。决算数与年初预算数存在差异的主要原因是调整预算功能分类。</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年初预算为4.55万元，支出决算为4.99万元，完成年初预算的109.67%。决算数与年初预算数存在差异的主要原因是使用上年基本支出结转资金。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8．卫生健康支出（类）行政事业单位医疗（款）公务员医疗补助（项）。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年初预算为4.33万元，支出决算为4.41万元，完成年初预算的101.85%。决算数与年初预算数存在差异的主要原因是使用上年基本支出结转资金。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192.84</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172.72</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基本工资、津贴补贴、奖金、机关事业单位基本养老保险缴费、职工基本医疗保险缴费、公务员医疗补助缴费、其他社会保障缴费、住房公积金、退休费</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20.12</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办公费、印刷费、邮电费、物业管理费、差旅费、维修（护）费、公务接待费、劳务费、委托业务费、工会经费、福利费、公务用车运行维护费、其他交通费用、其他商品和服务支出、办公设备购置。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4.90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0.90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18.37</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受疫情影响，调研活动减少</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0.64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71.11</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0.26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28.89</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28.89</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p>
    <w:p>
      <w:pPr>
        <w:spacing w:beforeLines="0" w:afterLines="0"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eastAsia="zh-CN"/>
        </w:rPr>
        <w:t>全年</w:t>
      </w:r>
      <w:r>
        <w:rPr>
          <w:rFonts w:hint="eastAsia" w:ascii="仿宋_GB2312" w:hAnsi="仿宋_GB2312" w:eastAsia="仿宋_GB2312"/>
          <w:sz w:val="32"/>
          <w:szCs w:val="24"/>
          <w:lang w:val="en-US"/>
        </w:rPr>
        <w:t>因公出国（境）团组0个，</w:t>
      </w:r>
      <w:r>
        <w:rPr>
          <w:rFonts w:hint="eastAsia" w:ascii="仿宋_GB2312" w:hAnsi="仿宋_GB2312" w:eastAsia="仿宋_GB2312"/>
          <w:sz w:val="32"/>
          <w:szCs w:val="24"/>
          <w:lang w:val="en-US" w:eastAsia="zh-CN"/>
        </w:rPr>
        <w:t>累计0人次</w:t>
      </w:r>
      <w:r>
        <w:rPr>
          <w:rFonts w:hint="eastAsia" w:ascii="仿宋_GB2312" w:hAnsi="仿宋_GB2312" w:eastAsia="仿宋_GB2312"/>
          <w:sz w:val="32"/>
          <w:szCs w:val="24"/>
          <w:lang w:val="en-US"/>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0.64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受疫情影响，调研活动减少</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0.64</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因公出行以及开展课题调研等业务所需车辆燃料费、维修费、保险费、过路过桥费等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0.90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0.26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28.89</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受疫情影响，调研活动减少</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0.26</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上级部门、其他地市政研部门接待</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outlineLvl w:val="1"/>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不存在项目年末结转和结余资金数额较大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sz w:val="32"/>
          <w:szCs w:val="32"/>
          <w:highlight w:val="none"/>
          <w:lang w:eastAsia="zh-CN"/>
        </w:rPr>
        <w:t>我部门</w:t>
      </w:r>
      <w:r>
        <w:rPr>
          <w:rFonts w:hint="eastAsia" w:ascii="仿宋_GB2312" w:hAnsi="仿宋_GB2312" w:eastAsia="仿宋_GB2312" w:cs="仿宋_GB2312"/>
          <w:sz w:val="32"/>
          <w:szCs w:val="32"/>
          <w:highlight w:val="none"/>
          <w:lang w:val="en-US" w:eastAsia="zh-CN"/>
        </w:rPr>
        <w:t>2021年没有政府基金收入，也没有使用政府基金安排的支出。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22.86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20.12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88.01%。决算数与年初预算数存在差异的主要原因是受疫情影响，会议费、公车运行费支出较少。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2020年我部门纳入预算绩效管理的支出总额为204.18万元，其中：基本支出192.84万元；支出项目2个，支出金额11.35万元。开展项目绩效自评项目2个，自评金额11.35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整体绩效目标经过单位自评得分98.7分，完全真实完整反映年初绩效目标。二是项目绩效自评情况。我部门（单位）共有2个项目批复了绩效目标。项目金额11.35万元。其中：</w:t>
      </w:r>
    </w:p>
    <w:p>
      <w:pPr>
        <w:pStyle w:val="2"/>
        <w:ind w:firstLine="960" w:firstLineChars="3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中共许昌市委政策研究室2个，项目金额11.35万元；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96分。其中：2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我部门没有重点项目开展部门重点评价。</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DF05DF"/>
    <w:multiLevelType w:val="singleLevel"/>
    <w:tmpl w:val="29DF05DF"/>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671496"/>
    <w:rsid w:val="01A900E6"/>
    <w:rsid w:val="01DC6F05"/>
    <w:rsid w:val="0205075D"/>
    <w:rsid w:val="02A3489A"/>
    <w:rsid w:val="02CA138D"/>
    <w:rsid w:val="033646FC"/>
    <w:rsid w:val="03A30DDE"/>
    <w:rsid w:val="03C75F80"/>
    <w:rsid w:val="0478364D"/>
    <w:rsid w:val="053D4C0D"/>
    <w:rsid w:val="0557532E"/>
    <w:rsid w:val="06714929"/>
    <w:rsid w:val="0799329C"/>
    <w:rsid w:val="08397436"/>
    <w:rsid w:val="086F16A7"/>
    <w:rsid w:val="0A0F7225"/>
    <w:rsid w:val="0A2B7D82"/>
    <w:rsid w:val="0ADC40E9"/>
    <w:rsid w:val="0AE607F4"/>
    <w:rsid w:val="0B386127"/>
    <w:rsid w:val="0B451598"/>
    <w:rsid w:val="0BEC73F4"/>
    <w:rsid w:val="0C392698"/>
    <w:rsid w:val="0CAB73A0"/>
    <w:rsid w:val="0D8A583D"/>
    <w:rsid w:val="0E191D24"/>
    <w:rsid w:val="0F264E85"/>
    <w:rsid w:val="0F46111F"/>
    <w:rsid w:val="0F63780D"/>
    <w:rsid w:val="0FB41D43"/>
    <w:rsid w:val="10BD36F6"/>
    <w:rsid w:val="11BF0649"/>
    <w:rsid w:val="123E3E08"/>
    <w:rsid w:val="133212F4"/>
    <w:rsid w:val="13B5040C"/>
    <w:rsid w:val="13D22E22"/>
    <w:rsid w:val="1424395D"/>
    <w:rsid w:val="161C2DFF"/>
    <w:rsid w:val="16373578"/>
    <w:rsid w:val="16D3336B"/>
    <w:rsid w:val="17200028"/>
    <w:rsid w:val="17806C36"/>
    <w:rsid w:val="17A74F62"/>
    <w:rsid w:val="18A47774"/>
    <w:rsid w:val="18AD3983"/>
    <w:rsid w:val="1A8D28EB"/>
    <w:rsid w:val="1A8F2C1C"/>
    <w:rsid w:val="1A9F2D78"/>
    <w:rsid w:val="1B2E6FD8"/>
    <w:rsid w:val="1B7B1E0E"/>
    <w:rsid w:val="1B877D21"/>
    <w:rsid w:val="1C4319A9"/>
    <w:rsid w:val="1E443B4B"/>
    <w:rsid w:val="1E994F4A"/>
    <w:rsid w:val="1EAF0224"/>
    <w:rsid w:val="1F2230A4"/>
    <w:rsid w:val="1FAC0751"/>
    <w:rsid w:val="1FDC5D5D"/>
    <w:rsid w:val="200C710B"/>
    <w:rsid w:val="20210932"/>
    <w:rsid w:val="202448E0"/>
    <w:rsid w:val="20531ED6"/>
    <w:rsid w:val="20F614FE"/>
    <w:rsid w:val="21302EEA"/>
    <w:rsid w:val="22376FB5"/>
    <w:rsid w:val="22D7265F"/>
    <w:rsid w:val="23E152D7"/>
    <w:rsid w:val="23EE2489"/>
    <w:rsid w:val="255D43C8"/>
    <w:rsid w:val="260C5BF9"/>
    <w:rsid w:val="26714EF8"/>
    <w:rsid w:val="26876BDD"/>
    <w:rsid w:val="2714632A"/>
    <w:rsid w:val="27541E73"/>
    <w:rsid w:val="27B0539E"/>
    <w:rsid w:val="27C431CB"/>
    <w:rsid w:val="29365CF8"/>
    <w:rsid w:val="299469B3"/>
    <w:rsid w:val="29B13146"/>
    <w:rsid w:val="29F02501"/>
    <w:rsid w:val="2A805789"/>
    <w:rsid w:val="2ADC0D75"/>
    <w:rsid w:val="2B4A0E52"/>
    <w:rsid w:val="2B8C2728"/>
    <w:rsid w:val="2C9034E6"/>
    <w:rsid w:val="2C975890"/>
    <w:rsid w:val="2CD0422B"/>
    <w:rsid w:val="2DEF21BB"/>
    <w:rsid w:val="2E4A2F05"/>
    <w:rsid w:val="2ECC1061"/>
    <w:rsid w:val="2F0F0934"/>
    <w:rsid w:val="2FA476AD"/>
    <w:rsid w:val="303F7540"/>
    <w:rsid w:val="30BD0622"/>
    <w:rsid w:val="31BA18BD"/>
    <w:rsid w:val="31DD00BF"/>
    <w:rsid w:val="323038A6"/>
    <w:rsid w:val="32777F2D"/>
    <w:rsid w:val="3293174C"/>
    <w:rsid w:val="32BB38D4"/>
    <w:rsid w:val="32C9376D"/>
    <w:rsid w:val="33780472"/>
    <w:rsid w:val="33AF0905"/>
    <w:rsid w:val="33BF6F93"/>
    <w:rsid w:val="355932F4"/>
    <w:rsid w:val="35611882"/>
    <w:rsid w:val="36746FC3"/>
    <w:rsid w:val="368763AE"/>
    <w:rsid w:val="39534219"/>
    <w:rsid w:val="395D59E7"/>
    <w:rsid w:val="39A93932"/>
    <w:rsid w:val="3A915562"/>
    <w:rsid w:val="3B3C3AFD"/>
    <w:rsid w:val="3B8D4765"/>
    <w:rsid w:val="3BD54558"/>
    <w:rsid w:val="3C000DBA"/>
    <w:rsid w:val="3D2B6F5C"/>
    <w:rsid w:val="3DBF70C4"/>
    <w:rsid w:val="3DC045D3"/>
    <w:rsid w:val="3E504FFB"/>
    <w:rsid w:val="3E615CD0"/>
    <w:rsid w:val="3E9C47F6"/>
    <w:rsid w:val="3EF63D5B"/>
    <w:rsid w:val="3F8B0112"/>
    <w:rsid w:val="3FAB3095"/>
    <w:rsid w:val="3FE45947"/>
    <w:rsid w:val="402D5092"/>
    <w:rsid w:val="4079659F"/>
    <w:rsid w:val="40AB493B"/>
    <w:rsid w:val="40C10DC8"/>
    <w:rsid w:val="41242965"/>
    <w:rsid w:val="41C22D5F"/>
    <w:rsid w:val="42A65B47"/>
    <w:rsid w:val="435671EA"/>
    <w:rsid w:val="440809E9"/>
    <w:rsid w:val="442407A6"/>
    <w:rsid w:val="44805EA1"/>
    <w:rsid w:val="448619DD"/>
    <w:rsid w:val="45710696"/>
    <w:rsid w:val="46142B1B"/>
    <w:rsid w:val="47E60DD0"/>
    <w:rsid w:val="48735039"/>
    <w:rsid w:val="4885155F"/>
    <w:rsid w:val="492C684B"/>
    <w:rsid w:val="49500594"/>
    <w:rsid w:val="49E7604E"/>
    <w:rsid w:val="4BF67CDD"/>
    <w:rsid w:val="4D173441"/>
    <w:rsid w:val="4D603DD6"/>
    <w:rsid w:val="4DAB5A34"/>
    <w:rsid w:val="4EBF010F"/>
    <w:rsid w:val="4F471DCD"/>
    <w:rsid w:val="4F471EB0"/>
    <w:rsid w:val="51331326"/>
    <w:rsid w:val="51740A7F"/>
    <w:rsid w:val="51A5541E"/>
    <w:rsid w:val="51C96242"/>
    <w:rsid w:val="53906AE1"/>
    <w:rsid w:val="54AF01A1"/>
    <w:rsid w:val="54F46F60"/>
    <w:rsid w:val="55A37BEA"/>
    <w:rsid w:val="56362CD2"/>
    <w:rsid w:val="57652E00"/>
    <w:rsid w:val="5784687B"/>
    <w:rsid w:val="57846959"/>
    <w:rsid w:val="578E6A87"/>
    <w:rsid w:val="5813309A"/>
    <w:rsid w:val="59151102"/>
    <w:rsid w:val="59732B63"/>
    <w:rsid w:val="5AC2203A"/>
    <w:rsid w:val="5AD43DA8"/>
    <w:rsid w:val="5AD63145"/>
    <w:rsid w:val="5CBB3334"/>
    <w:rsid w:val="5D115FAF"/>
    <w:rsid w:val="5D375404"/>
    <w:rsid w:val="5D5E6BB1"/>
    <w:rsid w:val="5DCD3CEB"/>
    <w:rsid w:val="5E0A4C66"/>
    <w:rsid w:val="5F8E3FCA"/>
    <w:rsid w:val="60327E35"/>
    <w:rsid w:val="603A11F0"/>
    <w:rsid w:val="60AA4323"/>
    <w:rsid w:val="616D546C"/>
    <w:rsid w:val="61785D1C"/>
    <w:rsid w:val="61C959EE"/>
    <w:rsid w:val="62811722"/>
    <w:rsid w:val="62E75A72"/>
    <w:rsid w:val="64571880"/>
    <w:rsid w:val="649125B6"/>
    <w:rsid w:val="652F4C1A"/>
    <w:rsid w:val="666D37F1"/>
    <w:rsid w:val="66DC300A"/>
    <w:rsid w:val="67087D8F"/>
    <w:rsid w:val="671F687E"/>
    <w:rsid w:val="67F415F8"/>
    <w:rsid w:val="680005B3"/>
    <w:rsid w:val="682640D1"/>
    <w:rsid w:val="684B73E5"/>
    <w:rsid w:val="68A67CC1"/>
    <w:rsid w:val="69263281"/>
    <w:rsid w:val="69522C47"/>
    <w:rsid w:val="6A047A2A"/>
    <w:rsid w:val="6D8819DC"/>
    <w:rsid w:val="6EFB7548"/>
    <w:rsid w:val="6F3831C3"/>
    <w:rsid w:val="6F8B71C1"/>
    <w:rsid w:val="70753482"/>
    <w:rsid w:val="707B522A"/>
    <w:rsid w:val="71932B42"/>
    <w:rsid w:val="727171C8"/>
    <w:rsid w:val="72AB0710"/>
    <w:rsid w:val="73177757"/>
    <w:rsid w:val="73194D05"/>
    <w:rsid w:val="73A83B0E"/>
    <w:rsid w:val="744D3EF9"/>
    <w:rsid w:val="74794411"/>
    <w:rsid w:val="750178B3"/>
    <w:rsid w:val="75867C40"/>
    <w:rsid w:val="75B10B26"/>
    <w:rsid w:val="76432199"/>
    <w:rsid w:val="76F44829"/>
    <w:rsid w:val="77A267C0"/>
    <w:rsid w:val="78882278"/>
    <w:rsid w:val="78B118A6"/>
    <w:rsid w:val="79135044"/>
    <w:rsid w:val="7A7D0F99"/>
    <w:rsid w:val="7B1D3CBC"/>
    <w:rsid w:val="7BD72AD7"/>
    <w:rsid w:val="7C6B04FF"/>
    <w:rsid w:val="7DA26283"/>
    <w:rsid w:val="7E332C66"/>
    <w:rsid w:val="7E4A0E7C"/>
    <w:rsid w:val="7E9B1200"/>
    <w:rsid w:val="7EFD449D"/>
    <w:rsid w:val="7F0B74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11"/>
    <w:qFormat/>
    <w:uiPriority w:val="0"/>
    <w:rPr>
      <w:rFonts w:hint="eastAsia" w:ascii="宋体" w:hAnsi="宋体" w:eastAsia="宋体" w:cs="宋体"/>
      <w:color w:val="000000"/>
      <w:sz w:val="20"/>
      <w:szCs w:val="20"/>
      <w:u w:val="none"/>
    </w:rPr>
  </w:style>
  <w:style w:type="character" w:customStyle="1" w:styleId="15">
    <w:name w:val="font41"/>
    <w:qFormat/>
    <w:uiPriority w:val="0"/>
    <w:rPr>
      <w:rFonts w:hint="eastAsia" w:ascii="宋体" w:hAnsi="宋体" w:eastAsia="宋体" w:cs="宋体"/>
      <w:color w:val="000000"/>
      <w:sz w:val="24"/>
      <w:szCs w:val="24"/>
      <w:u w:val="none"/>
    </w:rPr>
  </w:style>
  <w:style w:type="character" w:customStyle="1" w:styleId="16">
    <w:name w:val="font01"/>
    <w:qFormat/>
    <w:uiPriority w:val="0"/>
    <w:rPr>
      <w:rFonts w:hint="eastAsia" w:ascii="宋体" w:hAnsi="宋体" w:eastAsia="宋体" w:cs="宋体"/>
      <w:color w:val="000000"/>
      <w:sz w:val="22"/>
      <w:szCs w:val="22"/>
      <w:u w:val="none"/>
    </w:rPr>
  </w:style>
  <w:style w:type="character" w:customStyle="1" w:styleId="17">
    <w:name w:val="font21"/>
    <w:qFormat/>
    <w:uiPriority w:val="0"/>
    <w:rPr>
      <w:rFonts w:hint="eastAsia" w:ascii="宋体" w:hAnsi="宋体" w:eastAsia="宋体" w:cs="宋体"/>
      <w:color w:val="000000"/>
      <w:sz w:val="22"/>
      <w:szCs w:val="22"/>
      <w:u w:val="none"/>
    </w:rPr>
  </w:style>
  <w:style w:type="character" w:customStyle="1" w:styleId="18">
    <w:name w:val="font5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8230</Words>
  <Characters>10031</Characters>
  <Lines>60</Lines>
  <Paragraphs>16</Paragraphs>
  <TotalTime>30</TotalTime>
  <ScaleCrop>false</ScaleCrop>
  <LinksUpToDate>false</LinksUpToDate>
  <CharactersWithSpaces>10259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2023-05-15T03:06:07Z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F7030F3268CE438DB09080A665C6F836</vt:lpwstr>
  </property>
</Properties>
</file>