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中共许昌市委政法委员会</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中共许昌市委政法委员会</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ind w:left="-420" w:leftChars="-200" w:right="-313" w:rightChars="-149" w:firstLine="0" w:firstLineChars="0"/>
        <w:jc w:val="both"/>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lang w:eastAsia="zh-CN"/>
        </w:rPr>
        <w:t>中共许昌市委政法委员会</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贯彻落实习近平新时代中国特色社会主义思想，贯彻落实党的路线方针政策和决策部署，统一全市政法各部门思想和行动，坚持党对政法工作的绝对领导，坚决维护党中央权威和集中统一领导。</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贯彻落实党中央、省委和市委决定，对全市政法工作研究提出部署，推进平安许昌、法治许昌建设，加强过硬政法队伍建设，深化智能化建设，坚决维护国家政治安全，确保全市社会大局稳定、促进社会公平正义、保障人民安居乐业。</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了解掌握和分析研判全市政法工作情况动态、分析社会稳定形势，创新完善多部门参与的综治维稳工作机制，研究加强社会治安综合治理、创新社会治理体系和提高社会治理能力有关重大问题，协调推动预防、化解影响全市稳定的社会矛盾和风险，协调应对和处置重大突发事件。</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（四）加强对全市政法工作的督查，统筹协调社会治安综合治理、平安许昌建设、法治许昌建设、维护社会稳定、反邪教有关法律法规的实施工作。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（五）组织开展全市政法系统的调查研究和理论研究，研究拟订全市政法工作意见和措施，及时向市委提出建议。提出地方立法建议。</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（六）掌握分析全市政法舆情动态，指导协调政法部门媒体网络宣传工作，指导政法部门做好涉及政法工作的重大宣传工作。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（七）监督和支持政法各部门依法行使职权，指导和协调政法各部门密切配合，研究和协调重大、疑难案件，督促和推动大案要案的查处工作，推动严格执法、公正司法。</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（八）组织研究全市政法改革中带有方向性、倾向性和普遍性的重大问题，深化全市政法改革。</w:t>
      </w:r>
    </w:p>
    <w:p>
      <w:pPr>
        <w:numPr>
          <w:ilvl w:val="0"/>
          <w:numId w:val="0"/>
        </w:numPr>
        <w:adjustRightInd w:val="0"/>
        <w:snapToGrid w:val="0"/>
        <w:spacing w:line="62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（九）指导推动全市政法系统党的建设和政法队伍建设，代管市法学会。</w:t>
      </w:r>
    </w:p>
    <w:p>
      <w:pPr>
        <w:numPr>
          <w:ilvl w:val="0"/>
          <w:numId w:val="0"/>
        </w:numPr>
        <w:adjustRightInd w:val="0"/>
        <w:snapToGrid w:val="0"/>
        <w:spacing w:line="62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（十）完成市委交办的其他任务。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中共许昌市委政法委员会内设机构11</w:t>
      </w:r>
      <w:r>
        <w:rPr>
          <w:rFonts w:hint="eastAsia" w:ascii="仿宋_GB2312" w:hAnsi="仿宋_GB2312" w:eastAsia="仿宋_GB2312" w:cs="仿宋_GB2312"/>
          <w:color w:val="auto"/>
          <w:sz w:val="32"/>
          <w:szCs w:val="32"/>
          <w:highlight w:val="none"/>
          <w:lang w:eastAsia="zh-CN"/>
        </w:rPr>
        <w:t>个，包括：办公室、政治部、研究室、政治安全科、执法监督科、宣传科、维稳指导科、综治指导科、平安创建和专项行动科、基层社会治理科、反邪教协调科。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中共许昌市委政法委员会</w:t>
      </w:r>
      <w:r>
        <w:rPr>
          <w:rFonts w:hint="eastAsia" w:ascii="仿宋_GB2312" w:hAnsi="仿宋_GB2312" w:eastAsia="仿宋_GB2312" w:cs="仿宋_GB2312"/>
          <w:color w:val="auto"/>
          <w:kern w:val="0"/>
          <w:sz w:val="32"/>
          <w:szCs w:val="32"/>
          <w:highlight w:val="none"/>
        </w:rPr>
        <w:t>部门决算包括：本级决算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、所属单位决算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w:t>
      </w:r>
      <w:r>
        <w:rPr>
          <w:rFonts w:hint="eastAsia" w:ascii="仿宋_GB2312" w:hAnsi="仿宋_GB2312" w:eastAsia="仿宋_GB2312" w:cs="仿宋_GB2312"/>
          <w:color w:val="auto"/>
          <w:kern w:val="0"/>
          <w:sz w:val="32"/>
          <w:szCs w:val="32"/>
          <w:highlight w:val="none"/>
          <w:lang w:val="en-US" w:eastAsia="zh-CN"/>
        </w:rPr>
        <w:t>3个，其中二级预算单位2个，具体是：</w:t>
      </w:r>
    </w:p>
    <w:p>
      <w:pPr>
        <w:widowControl/>
        <w:numPr>
          <w:ilvl w:val="0"/>
          <w:numId w:val="0"/>
        </w:numPr>
        <w:ind w:left="860" w:leftChars="0"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1.中共许昌市委政法委员会（本级）</w:t>
      </w:r>
    </w:p>
    <w:p>
      <w:pPr>
        <w:widowControl/>
        <w:numPr>
          <w:ilvl w:val="0"/>
          <w:numId w:val="0"/>
        </w:numPr>
        <w:ind w:left="860" w:leftChars="0" w:firstLine="0" w:firstLineChars="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许昌市法学会(未独立核算）</w:t>
      </w:r>
    </w:p>
    <w:p>
      <w:pPr>
        <w:widowControl/>
        <w:numPr>
          <w:ilvl w:val="0"/>
          <w:numId w:val="0"/>
        </w:numPr>
        <w:ind w:left="860" w:leftChars="0" w:firstLine="0" w:firstLineChars="0"/>
        <w:jc w:val="left"/>
        <w:rPr>
          <w:rFonts w:hint="eastAsia" w:ascii="仿宋_GB2312" w:hAnsi="仿宋_GB2312" w:eastAsia="仿宋_GB2312" w:cs="仿宋_GB2312"/>
          <w:color w:val="auto"/>
          <w:sz w:val="32"/>
          <w:szCs w:val="32"/>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3.许昌市社会治安综合管理中心(未独立核算）</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3"/>
        <w:gridCol w:w="845"/>
        <w:gridCol w:w="1414"/>
        <w:gridCol w:w="4529"/>
        <w:gridCol w:w="845"/>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860"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860" w:type="dxa"/>
            <w:gridSpan w:val="6"/>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860"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78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45"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45"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947.52</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0"/>
                <w:szCs w:val="20"/>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0"/>
                <w:szCs w:val="20"/>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0"/>
                <w:szCs w:val="20"/>
                <w:highlight w:val="none"/>
                <w:u w:val="none"/>
              </w:rPr>
            </w:pP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947.52</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230.77</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452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41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45"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4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860"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8"/>
        <w:gridCol w:w="4351"/>
        <w:gridCol w:w="1187"/>
        <w:gridCol w:w="1104"/>
        <w:gridCol w:w="1056"/>
        <w:gridCol w:w="1154"/>
        <w:gridCol w:w="1104"/>
        <w:gridCol w:w="1279"/>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560"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3560"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3560" w:type="dxa"/>
            <w:gridSpan w:val="9"/>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54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1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2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2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8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3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8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8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5439"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5439"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947.52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947.52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785.78</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785.78</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党委办公厅（室）及相关机构事务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781.90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781.90</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626.12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626.12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2013102</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58.08</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58.08</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2013150</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97.71</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97.71</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120.22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120.22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81.46</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81.46</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37.85</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37.85</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19.34</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19.34</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2.79</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2.79</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8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3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19.40</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35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301"/>
        <w:gridCol w:w="1631"/>
        <w:gridCol w:w="1631"/>
        <w:gridCol w:w="1239"/>
        <w:gridCol w:w="1223"/>
        <w:gridCol w:w="1274"/>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616"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3616" w:type="dxa"/>
            <w:gridSpan w:val="8"/>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3616" w:type="dxa"/>
            <w:gridSpan w:val="8"/>
            <w:tcBorders>
              <w:top w:val="nil"/>
              <w:left w:val="nil"/>
              <w:bottom w:val="nil"/>
              <w:right w:val="nil"/>
            </w:tcBorders>
            <w:noWrap w:val="0"/>
            <w:vAlign w:val="bottom"/>
          </w:tcPr>
          <w:p>
            <w:pPr>
              <w:keepNext w:val="0"/>
              <w:keepLines w:val="0"/>
              <w:widowControl/>
              <w:suppressLineNumbers w:val="0"/>
              <w:jc w:val="both"/>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6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22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2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3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7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7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1,178.29</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1,003.82</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174.47</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1,003.17</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828.71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20106</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财政事务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2010601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党委办公厅（室）及相关机构事务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983.18</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808.71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707.15</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707.15</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2013102</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2013150</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101.57</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101.57</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其他一般公共服务支出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128.49</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128.49</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86.44</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86.44</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21.34</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21.34</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163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16"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46" w:tblpY="2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3"/>
        <w:gridCol w:w="595"/>
        <w:gridCol w:w="1145"/>
        <w:gridCol w:w="3673"/>
        <w:gridCol w:w="548"/>
        <w:gridCol w:w="1145"/>
        <w:gridCol w:w="1301"/>
        <w:gridCol w:w="1055"/>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6"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16"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16"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763"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0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95"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947.52</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1,003.17</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1,003.17</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947.52</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230.77</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230.77</w:t>
            </w: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3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95"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130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1,178.29</w:t>
            </w:r>
          </w:p>
        </w:tc>
        <w:tc>
          <w:tcPr>
            <w:tcW w:w="10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1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tabs>
          <w:tab w:val="left" w:pos="5457"/>
        </w:tabs>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pPr w:leftFromText="180" w:rightFromText="180" w:vertAnchor="text" w:horzAnchor="page" w:tblpX="1531"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4680"/>
        <w:gridCol w:w="2661"/>
        <w:gridCol w:w="2661"/>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820" w:type="dxa"/>
            <w:gridSpan w:val="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820"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820" w:type="dxa"/>
            <w:gridSpan w:val="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6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7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6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6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6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7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1"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51"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1,178.29</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1,003.82</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1,003.17</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828.71</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20106</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财政事务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2010601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党委办公厅（室）及相关机构事务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983.18</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808.71</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707.15</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707.15</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2013102</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2013150</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101.57</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101.57</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其他一般公共服务支出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129.39</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128.49</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128.49</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86.44</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86.44</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45.72</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21.34</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21.34</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26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2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820"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pPr w:leftFromText="180" w:rightFromText="180" w:vertAnchor="text" w:horzAnchor="page" w:tblpX="1546" w:tblpY="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2700"/>
        <w:gridCol w:w="1080"/>
        <w:gridCol w:w="945"/>
        <w:gridCol w:w="1755"/>
        <w:gridCol w:w="1071"/>
        <w:gridCol w:w="894"/>
        <w:gridCol w:w="3704"/>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37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7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7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761.24</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150.64</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77.37</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179.41</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123.36</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16.67</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19.23</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10.56</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50.99</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91.95</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3.31</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11.89</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74.55</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0.55</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89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70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21.17</w:t>
            </w:r>
          </w:p>
        </w:tc>
        <w:tc>
          <w:tcPr>
            <w:tcW w:w="89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370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70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4.61</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9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370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270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0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9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370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2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853.19</w:t>
            </w:r>
          </w:p>
        </w:tc>
        <w:tc>
          <w:tcPr>
            <w:tcW w:w="8369"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9"/>
        <w:gridCol w:w="1186"/>
        <w:gridCol w:w="863"/>
        <w:gridCol w:w="1110"/>
        <w:gridCol w:w="1196"/>
        <w:gridCol w:w="1139"/>
        <w:gridCol w:w="1112"/>
        <w:gridCol w:w="1187"/>
        <w:gridCol w:w="1039"/>
        <w:gridCol w:w="1217"/>
        <w:gridCol w:w="1545"/>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3760"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3760" w:type="dxa"/>
            <w:gridSpan w:val="1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3760" w:type="dxa"/>
            <w:gridSpan w:val="12"/>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部门：中共许昌市委政法委员会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5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16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9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16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80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9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9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9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18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1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7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eastAsia="zh-CN" w:bidi="ar"/>
              </w:rPr>
              <w:t>中共许昌市委政法委员会</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仿宋_GB2312"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96.57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8.93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人员经费增加，项目经费增加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947.52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947.52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1003.82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85.19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174.47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14.81</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96.57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8.93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人员经费增加，项目经费增加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285.5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31.98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2021年开展政法教育整顿专项活动，项目支出有所增加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1003.17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85.14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129.39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10.98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卫生健康（类）支出</w:t>
      </w:r>
      <w:r>
        <w:rPr>
          <w:rFonts w:hint="eastAsia" w:ascii="仿宋_GB2312" w:hAnsi="仿宋_GB2312" w:eastAsia="仿宋_GB2312" w:cs="仿宋_GB2312"/>
          <w:color w:val="auto"/>
          <w:sz w:val="32"/>
          <w:szCs w:val="32"/>
          <w:highlight w:val="none"/>
          <w:lang w:val="en-US" w:eastAsia="zh-CN"/>
        </w:rPr>
        <w:t>45.73万元，占3.88%。</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869.89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1178.29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135.45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财政事务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6.11</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此项为上年度结转经费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党委办公厅（室）及相关机构事务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613.70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707.15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115.23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eastAsia="zh-CN"/>
        </w:rPr>
        <w:t>人员经费增加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党委办公厅（室）及相关机构事务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一般行政管理事务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174.47</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此项为政法队伍教育整顿、扫黑等项目专项支出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党委办公厅（室）及相关机构事务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94.67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101.57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107.29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事业人员增加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其他一般公共服务支出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其他一般公共服务支出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此项为上年度结转经费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76.62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86.44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112.82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离退休人员增加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38.65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42.05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108.80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养老基数调整</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临时救助</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临时救助支出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此项经费用于贫困户</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19.77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21.34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107.94%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 w:hAnsi="仿宋" w:eastAsia="仿宋" w:cs="仿宋"/>
          <w:color w:val="auto"/>
          <w:sz w:val="32"/>
          <w:szCs w:val="32"/>
          <w:highlight w:val="none"/>
          <w:lang w:val="en-US" w:eastAsia="zh-CN"/>
        </w:rPr>
        <w:t>2020年12月医保缴费于2021年完成</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103.58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医保基数略微提高</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19.81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108.53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 w:hAnsi="仿宋" w:eastAsia="仿宋" w:cs="仿宋"/>
          <w:color w:val="auto"/>
          <w:sz w:val="32"/>
          <w:szCs w:val="32"/>
          <w:highlight w:val="none"/>
          <w:lang w:val="en-US" w:eastAsia="zh-CN"/>
        </w:rPr>
        <w:t>2020年12月公务员医疗补助缴费于2021年完成</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1003.83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853.19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其他社会保障缴费、住房公积金、其他工资福利支出、离休费、退休费、</w:t>
      </w:r>
      <w:r>
        <w:rPr>
          <w:rFonts w:hint="eastAsia" w:ascii="仿宋_GB2312" w:hAnsi="仿宋_GB2312" w:eastAsia="仿宋_GB2312" w:cs="仿宋_GB2312"/>
          <w:color w:val="auto"/>
          <w:sz w:val="32"/>
          <w:szCs w:val="32"/>
          <w:highlight w:val="none"/>
          <w:lang w:eastAsia="zh-CN"/>
        </w:rPr>
        <w:t>救济费</w:t>
      </w:r>
      <w:r>
        <w:rPr>
          <w:rFonts w:hint="eastAsia" w:ascii="仿宋_GB2312" w:hAnsi="仿宋_GB2312" w:eastAsia="仿宋_GB2312" w:cs="仿宋_GB2312"/>
          <w:color w:val="auto"/>
          <w:sz w:val="32"/>
          <w:szCs w:val="32"/>
          <w:highlight w:val="none"/>
        </w:rPr>
        <w:t>、其他对个人和家庭的补助支出；公用经费</w:t>
      </w:r>
      <w:r>
        <w:rPr>
          <w:rFonts w:hint="eastAsia" w:ascii="仿宋_GB2312" w:hAnsi="仿宋_GB2312" w:eastAsia="仿宋_GB2312" w:cs="仿宋_GB2312"/>
          <w:color w:val="auto"/>
          <w:sz w:val="32"/>
          <w:szCs w:val="32"/>
          <w:highlight w:val="none"/>
          <w:lang w:val="en-US" w:eastAsia="zh-CN"/>
        </w:rPr>
        <w:t>150.64</w:t>
      </w:r>
      <w:r>
        <w:rPr>
          <w:rFonts w:hint="eastAsia" w:ascii="仿宋_GB2312" w:hAnsi="仿宋_GB2312" w:eastAsia="仿宋_GB2312" w:cs="仿宋_GB2312"/>
          <w:color w:val="auto"/>
          <w:sz w:val="32"/>
          <w:szCs w:val="32"/>
          <w:highlight w:val="none"/>
        </w:rPr>
        <w:t>万元，主要包括：办公费、印刷费、手续费、水费、电费、邮电费、差旅费、租赁费、会议费、培训费、劳务费、委托业务费、工会经费、福利费、公务用车运行维护费、其他交通费用、其他商品和服务支出。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2021年度“三公”经费支出决算数与预算数不存在差异。全年因公出国（境）团组0个，累计0人次。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20.01</w:t>
      </w:r>
      <w:r>
        <w:rPr>
          <w:rFonts w:hint="eastAsia" w:ascii="仿宋_GB2312" w:hAnsi="仿宋_GB2312" w:eastAsia="仿宋_GB2312" w:cs="仿宋_GB2312"/>
          <w:color w:val="auto"/>
          <w:sz w:val="32"/>
          <w:szCs w:val="32"/>
          <w:highlight w:val="none"/>
        </w:rPr>
        <w:t>万元。</w:t>
      </w:r>
      <w:r>
        <w:rPr>
          <w:rFonts w:hint="eastAsia" w:ascii="仿宋" w:hAnsi="仿宋" w:eastAsia="仿宋" w:cs="仿宋"/>
          <w:color w:val="auto"/>
          <w:sz w:val="32"/>
          <w:szCs w:val="32"/>
          <w:highlight w:val="none"/>
          <w:lang w:val="zh-CN"/>
        </w:rPr>
        <w:t>主要用于支付公车维修、保养、燃油等费用</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不存在项目年末结转和结余资金数额较大。情况说明：我部门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127.95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150.64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117.73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2021年开展政法队伍教育整顿专项活动，为临时追加预算</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pStyle w:val="17"/>
        <w:autoSpaceDN w:val="0"/>
        <w:spacing w:line="360" w:lineRule="auto"/>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我部门按照《中共许昌市委 许昌市人民政府关于全面实施预算绩效管理的实施意见》（许发〔2021〕13号）文件要求，对本部门整体支出和项目支出开展全过程预算绩效管理。</w:t>
      </w:r>
    </w:p>
    <w:p>
      <w:pPr>
        <w:pStyle w:val="17"/>
        <w:autoSpaceDN w:val="0"/>
        <w:spacing w:line="360" w:lineRule="auto"/>
        <w:ind w:firstLine="640"/>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部门始终坚持以提高政法经费的使用效率、平安许昌创建为目标,对资金进行规范化管理，并辅之以科学的管理方法和管理理念,提高资金的使用效率,使有限的经费最大限度的发挥其积极作用,提高广大政法人的工作积极性、主动性和创造性,促进政法工作质量、工作效率的进一步提升。2021年预算项目编审绩效目标后，我部门党委高度重视项目预算执行情况及绩效监控工作，每季度的支出情况在机关党委会上进行研究。在市财政指导下，分管财务领导和财务工作人员认真履职，合理确定支出，每月组织对经费投入、支出等进行绩效监控，确保实现年度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pStyle w:val="17"/>
        <w:autoSpaceDN w:val="0"/>
        <w:spacing w:line="360" w:lineRule="auto"/>
        <w:ind w:firstLine="640"/>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auto"/>
          <w:sz w:val="32"/>
          <w:szCs w:val="32"/>
          <w:highlight w:val="none"/>
        </w:rPr>
        <w:t>按照《许昌市财政局关于开展2021年度市级预算绩效自评工作的通知》（许财效〔202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〕1号）等文件精神，我部门对本部</w:t>
      </w:r>
      <w:r>
        <w:rPr>
          <w:rFonts w:hint="eastAsia" w:ascii="仿宋_GB2312" w:hAnsi="仿宋_GB2312" w:eastAsia="仿宋_GB2312" w:cs="仿宋_GB2312"/>
          <w:color w:val="auto"/>
          <w:sz w:val="32"/>
          <w:szCs w:val="32"/>
          <w:highlight w:val="none"/>
          <w:lang w:val="en-US" w:eastAsia="zh-CN"/>
        </w:rPr>
        <w:t>门整体绩效目标和项目支出绩效目标进行了自评。一是部门整体绩效自评工作已完成，各项指标基本达到了预期绩效目标，整体绩效自评结果评定等级为“优”。二是项目绩效自评情况。我部门共有0个项目批复了绩效目标。</w:t>
      </w:r>
    </w:p>
    <w:p>
      <w:pPr>
        <w:pStyle w:val="17"/>
        <w:autoSpaceDN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7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r>
        <w:rPr>
          <w:rFonts w:hint="eastAsia" w:ascii="黑体" w:hAnsi="宋体" w:eastAsia="黑体" w:cs="宋体"/>
          <w:color w:val="auto"/>
          <w:kern w:val="0"/>
          <w:sz w:val="28"/>
          <w:szCs w:val="28"/>
          <w:highlight w:val="none"/>
          <w:lang w:val="en-US" w:eastAsia="zh-CN"/>
        </w:rPr>
        <w:t xml:space="preserve"> </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142719F6"/>
    <w:rsid w:val="2D365A48"/>
    <w:rsid w:val="317C29D1"/>
    <w:rsid w:val="464F0AB3"/>
    <w:rsid w:val="49AF3838"/>
    <w:rsid w:val="4FF3076B"/>
    <w:rsid w:val="531C0505"/>
    <w:rsid w:val="558C043F"/>
    <w:rsid w:val="6F1953C8"/>
    <w:rsid w:val="79797D42"/>
    <w:rsid w:val="7FDB1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9604</Words>
  <Characters>12964</Characters>
  <Lines>60</Lines>
  <Paragraphs>16</Paragraphs>
  <TotalTime>39</TotalTime>
  <ScaleCrop>false</ScaleCrop>
  <LinksUpToDate>false</LinksUpToDate>
  <CharactersWithSpaces>13875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2023-09-17T11:19:14Z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58B70F9306024CC894ACB5557628ECB5_13</vt:lpwstr>
  </property>
</Properties>
</file>