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default" w:ascii="黑体" w:hAnsi="黑体" w:eastAsia="黑体" w:cs="黑体"/>
          <w:sz w:val="52"/>
          <w:szCs w:val="52"/>
          <w:highlight w:val="none"/>
          <w:lang w:val="en"/>
        </w:rPr>
        <w:t>中共许昌市委宣传部</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default" w:ascii="黑体" w:hAnsi="黑体" w:eastAsia="黑体" w:cs="黑体"/>
          <w:sz w:val="32"/>
          <w:szCs w:val="32"/>
          <w:highlight w:val="none"/>
          <w:lang w:val="en"/>
        </w:rPr>
        <w:t>中共许昌市委宣传部</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default" w:ascii="黑体" w:hAnsi="黑体" w:eastAsia="黑体" w:cs="黑体"/>
          <w:sz w:val="48"/>
          <w:szCs w:val="48"/>
          <w:highlight w:val="none"/>
          <w:lang w:val="en"/>
        </w:rPr>
        <w:t>中共许昌市委宣传部</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（一）贯彻落实党中央宣传思想文化工作重大方针政策，拟订全市宣传思想文化事业发展规划，统筹协调推进宣传思想文化领域法治建设，按照市委统一部署，协调宣传思想文化系统各部门之间的工作。</w:t>
      </w:r>
    </w:p>
    <w:p>
      <w:pPr>
        <w:adjustRightInd w:val="0"/>
        <w:snapToGrid w:val="0"/>
        <w:spacing w:line="6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（二）贯彻落实党中央及省委、市委关于意识形态工作的决策部署，统筹协调全市党的意识形态工作，组织协调意识形态工作责任制落实和日常监督检查，结合巡视巡察工作开展专项检查。</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（三）统筹指导协调全市理论研究、理论学习、理论宣传工作，组织推动理论武装工作。统筹指导全市哲学社会科学的规划发展。</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（四）负责规划组织全市思想政治工作，组织全市重大先进典型的选树、宣传、学习，配合市委组织部做好党员教育工作，指导协调编写党员教育教材，会同有关部门研究和改进群众思想教育工作。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（五）统筹分析研判和引导社会舆论，统筹指导协调全市新闻单位工作，负责在许新闻单位分支机构等的监督管理。组织全市突发公共事件应急新闻工作。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拟订全市新闻出版业的规范性文件并督促落实，管理新闻出版行政事务，组织协调有关行政审批工作。统筹规划和指导协调新闻出版事业、产业发展，管理出版物进出口等。负责全市新闻记者证的监督备案管理。组织指导协调全市“扫黄打非”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（七）统筹指导协调互联网宣传和信息内容管理工作。统筹协调融媒体的建设与管理。</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（八）统筹指导协调推动精神文化产品的创作和生产，协调组织优秀传统文化传承发展有关工作，指导协调推动群众文化建设。</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（九）负责管理电影行政事务，指导监管电影制片、发行、放映工作，组织对电影内容进行审查，指导协调重大电影活动。</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（十）对新闻出版、广播电视、文化艺术业改革发展研究提出相关建议，统筹指导协调文化体制改革和文化事业、文化产业及旅游业发展，指导协调国有文化企业监督管理工作。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（十一）统筹指导舆情信息工作，组织协调开展全市舆情信息收集分析研判工作，跟踪了解、研究掌握宣传舆情动态。</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（十二）统筹协调全市对外宣传工作，指导协调有关部门研究拟订对外宣传工作相关措施和对外宣传事业发展规划。指导对外文化交流工作。会同有关部门做好境外媒体记者在我市采访的服务引导工作。</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（十三）统筹协调组织开展新闻发布工作，承担市委新闻发布有关组织协调工作，负责市政府新闻发布组织实施工作，指导协调市政府各部门和县（市、区）的新闻发布工作，推动新闻发言人制度建设。</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贯彻落实党中央关于加强社会主义精神文明建设的方针政策和省委、市委有关部署，在许昌市精神文明建设指导委员会指导下统筹协调、指导推动全市精神文明建设工作，组织开展全市群众性精神文明创建活动，评选表彰精神文明建设先进典型，总结推广先进经验。</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受市委委托，协同市委组织部管理新闻。文化、出版、社会科学研究和互联网信息等方面市直宣传思想文化单位的领导干部。对县（市、区）党委宣传部部长的任免提出意见。负责有关重要宣传舆论阵地和重要岗位领导干部管理。负责组织开展宣传思想文化系统人才工作和干部教育培训。</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对市互联网信息办公室互联网宣传和信息内容管理方面的工作进行指导。归口领导许昌日报报业集团、许昌广播电视台。受市委委托，代管许昌市社科联、许昌市文联。指导协调许昌市文化广电和旅游局。</w:t>
      </w:r>
    </w:p>
    <w:p>
      <w:pPr>
        <w:widowControl/>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（十七）完成市委交办的其他任务。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中共许昌市委宣传部内设机构16个，包括：</w:t>
      </w:r>
      <w:r>
        <w:rPr>
          <w:rFonts w:hint="eastAsia" w:ascii="仿宋_GB2312" w:hAnsi="仿宋_GB2312" w:eastAsia="仿宋_GB2312" w:cs="仿宋_GB2312"/>
          <w:sz w:val="32"/>
          <w:szCs w:val="32"/>
        </w:rPr>
        <w:t>办公室、政策法规研究室、理论科、意识形态工作科（意识形态工作责任制专项巡察工作办公室）、新闻科、出版发行科（传媒监管科）、文艺科（电影科）、宣传教育科、文化体制改革和文化产业发展办公室、对外宣传办公室、反非法反违禁科（许昌市“扫黄打非”工作领导小组办公室）、精神文明建设协调科、思想道德建设科、城市精神文明建设科、农村精神文明建设科、组织干部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32"/>
        </w:rPr>
        <w:t>中共许昌市委宣传部部门决算包括：本级决算</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w:t>
      </w:r>
      <w:r>
        <w:rPr>
          <w:rFonts w:hint="eastAsia" w:ascii="仿宋_GB2312" w:hAnsi="仿宋_GB2312" w:eastAsia="仿宋_GB2312" w:cs="仿宋_GB2312"/>
          <w:kern w:val="0"/>
          <w:sz w:val="32"/>
          <w:szCs w:val="32"/>
        </w:rPr>
        <w:t>共1个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中共许昌市委宣传部</w:t>
      </w:r>
      <w:r>
        <w:rPr>
          <w:rFonts w:hint="eastAsia" w:ascii="仿宋_GB2312" w:hAnsi="仿宋_GB2312" w:eastAsia="仿宋_GB2312" w:cs="仿宋_GB2312"/>
          <w:kern w:val="0"/>
          <w:sz w:val="32"/>
          <w:szCs w:val="32"/>
          <w:highlight w:val="none"/>
        </w:rPr>
        <w:t>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2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9"/>
        <w:gridCol w:w="792"/>
        <w:gridCol w:w="1190"/>
        <w:gridCol w:w="4244"/>
        <w:gridCol w:w="792"/>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717"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1"/>
        <w:gridCol w:w="3956"/>
        <w:gridCol w:w="1245"/>
        <w:gridCol w:w="1560"/>
        <w:gridCol w:w="1018"/>
        <w:gridCol w:w="1037"/>
        <w:gridCol w:w="1066"/>
        <w:gridCol w:w="1091"/>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14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1,411.47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1,411.47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1,207.84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869.50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22"/>
        <w:gridCol w:w="222"/>
        <w:gridCol w:w="3956"/>
        <w:gridCol w:w="1303"/>
        <w:gridCol w:w="1323"/>
        <w:gridCol w:w="1125"/>
        <w:gridCol w:w="645"/>
        <w:gridCol w:w="657"/>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74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2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1,476.44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810.83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76"/>
        <w:gridCol w:w="525"/>
        <w:gridCol w:w="1005"/>
        <w:gridCol w:w="3516"/>
        <w:gridCol w:w="480"/>
        <w:gridCol w:w="986"/>
        <w:gridCol w:w="1335"/>
        <w:gridCol w:w="1320"/>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4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29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3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9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3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3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875.80</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347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22"/>
        <w:gridCol w:w="222"/>
        <w:gridCol w:w="3956"/>
        <w:gridCol w:w="2180"/>
        <w:gridCol w:w="2180"/>
        <w:gridCol w:w="1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3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71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5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5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5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1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25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25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2,287.27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1,476.44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2,083.65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临时救助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3286"/>
        <w:gridCol w:w="779"/>
        <w:gridCol w:w="728"/>
        <w:gridCol w:w="2263"/>
        <w:gridCol w:w="779"/>
        <w:gridCol w:w="728"/>
        <w:gridCol w:w="4105"/>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39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一般公共预算财政拨款基本支出决算</w:t>
            </w:r>
            <w:r>
              <w:rPr>
                <w:rFonts w:hint="eastAsia" w:ascii="宋体" w:hAnsi="宋体" w:cs="宋体"/>
                <w:i w:val="0"/>
                <w:color w:val="000000"/>
                <w:kern w:val="0"/>
                <w:sz w:val="20"/>
                <w:szCs w:val="20"/>
                <w:u w:val="none"/>
                <w:lang w:val="en-US" w:eastAsia="zh-CN" w:bidi="ar"/>
              </w:rPr>
              <w:t>明细</w:t>
            </w:r>
            <w:r>
              <w:rPr>
                <w:rFonts w:hint="eastAsia" w:ascii="宋体" w:hAnsi="宋体" w:eastAsia="宋体" w:cs="宋体"/>
                <w:i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3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5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6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3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7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9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7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5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534.38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936.46</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5"/>
        <w:gridCol w:w="1095"/>
        <w:gridCol w:w="990"/>
        <w:gridCol w:w="1155"/>
        <w:gridCol w:w="1020"/>
        <w:gridCol w:w="1155"/>
        <w:gridCol w:w="1155"/>
        <w:gridCol w:w="1125"/>
        <w:gridCol w:w="1200"/>
        <w:gridCol w:w="1095"/>
        <w:gridCol w:w="118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33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1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8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33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2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
        <w:gridCol w:w="390"/>
        <w:gridCol w:w="390"/>
        <w:gridCol w:w="1924"/>
        <w:gridCol w:w="1529"/>
        <w:gridCol w:w="1673"/>
        <w:gridCol w:w="1804"/>
        <w:gridCol w:w="1699"/>
        <w:gridCol w:w="1646"/>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80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部门：中共许昌市委宣传部</w:t>
            </w: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56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5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3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color w:val="000000"/>
                <w:sz w:val="22"/>
                <w:szCs w:val="22"/>
                <w:u w:val="none"/>
              </w:rPr>
            </w:pPr>
          </w:p>
        </w:tc>
        <w:tc>
          <w:tcPr>
            <w:tcW w:w="13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4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keepNext w:val="0"/>
        <w:keepLines w:val="0"/>
        <w:widowControl w:val="0"/>
        <w:suppressLineNumbers w:val="0"/>
        <w:spacing w:before="0" w:beforeAutospacing="0" w:after="0" w:afterAutospacing="0"/>
        <w:ind w:left="0" w:right="0"/>
        <w:jc w:val="both"/>
      </w:pPr>
      <w:r>
        <w:rPr>
          <w:rFonts w:hint="default" w:ascii="仿宋_GB2312" w:hAnsi="Times New Roman" w:eastAsia="仿宋_GB2312" w:cs="仿宋_GB2312"/>
          <w:kern w:val="2"/>
          <w:sz w:val="32"/>
          <w:szCs w:val="32"/>
          <w:highlight w:val="none"/>
          <w:lang w:val="en-US" w:eastAsia="zh-CN" w:bidi="ar"/>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kern w:val="2"/>
          <w:sz w:val="32"/>
        </w:rPr>
        <w:t>2,287.27</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kern w:val="2"/>
          <w:sz w:val="32"/>
        </w:rPr>
        <w:t>332.4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kern w:val="2"/>
          <w:sz w:val="32"/>
        </w:rPr>
        <w:t>12.69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kern w:val="2"/>
          <w:sz w:val="32"/>
          <w:lang w:val="en-US"/>
        </w:rPr>
        <w:t>1,411.47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kern w:val="2"/>
          <w:sz w:val="32"/>
          <w:lang w:val="en-US"/>
        </w:rPr>
        <w:t>1,411.47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kern w:val="2"/>
          <w:sz w:val="32"/>
          <w:lang w:val="en-US"/>
        </w:rPr>
        <w:t>2,287.27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kern w:val="2"/>
          <w:sz w:val="32"/>
          <w:lang w:val="en-US"/>
        </w:rPr>
        <w:t>1,476.44</w:t>
      </w:r>
      <w:r>
        <w:rPr>
          <w:rFonts w:hint="eastAsia" w:ascii="仿宋_GB2312" w:hAnsi="仿宋_GB2312" w:eastAsia="仿宋_GB2312" w:cs="仿宋_GB2312"/>
          <w:sz w:val="32"/>
          <w:szCs w:val="32"/>
          <w:highlight w:val="none"/>
        </w:rPr>
        <w:t>万元，占</w:t>
      </w:r>
      <w:r>
        <w:rPr>
          <w:rFonts w:hint="eastAsia" w:ascii="仿宋_GB2312" w:hAnsi="仿宋_GB2312" w:eastAsia="仿宋_GB2312"/>
          <w:kern w:val="2"/>
          <w:sz w:val="32"/>
          <w:lang w:val="en-US"/>
        </w:rPr>
        <w:t>64.55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kern w:val="2"/>
          <w:sz w:val="32"/>
          <w:lang w:val="en-US"/>
        </w:rPr>
        <w:t>810.83</w:t>
      </w:r>
      <w:r>
        <w:rPr>
          <w:rFonts w:hint="eastAsia" w:ascii="仿宋_GB2312" w:hAnsi="仿宋_GB2312" w:eastAsia="仿宋_GB2312" w:cs="仿宋_GB2312"/>
          <w:sz w:val="32"/>
          <w:szCs w:val="32"/>
          <w:highlight w:val="none"/>
        </w:rPr>
        <w:t>万元，占</w:t>
      </w:r>
      <w:r>
        <w:rPr>
          <w:rFonts w:hint="eastAsia" w:ascii="仿宋_GB2312" w:hAnsi="仿宋_GB2312" w:eastAsia="仿宋_GB2312"/>
          <w:kern w:val="2"/>
          <w:sz w:val="32"/>
          <w:lang w:val="en-US"/>
        </w:rPr>
        <w:t>35.45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kern w:val="2"/>
          <w:sz w:val="32"/>
          <w:lang w:val="en-US"/>
        </w:rPr>
        <w:t>2,287.27</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kern w:val="2"/>
          <w:sz w:val="32"/>
          <w:lang w:val="en-US"/>
        </w:rPr>
        <w:t>332.4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kern w:val="2"/>
          <w:sz w:val="32"/>
          <w:lang w:val="en-US"/>
        </w:rPr>
        <w:t>12.69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kern w:val="2"/>
          <w:sz w:val="32"/>
          <w:lang w:val="en-US"/>
        </w:rPr>
        <w:t>2,287.27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425.26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22.84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宣传思想文化事业支出增加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2287.27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2139.53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93.54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120.69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5.28</w:t>
      </w:r>
      <w:r>
        <w:rPr>
          <w:rFonts w:hint="eastAsia" w:ascii="仿宋_GB2312" w:hAnsi="仿宋_GB2312" w:eastAsia="仿宋_GB2312" w:cs="仿宋_GB2312"/>
          <w:sz w:val="32"/>
          <w:szCs w:val="32"/>
        </w:rPr>
        <w:t>%；卫生健康（类）支出</w:t>
      </w:r>
      <w:r>
        <w:rPr>
          <w:rFonts w:hint="eastAsia" w:ascii="仿宋_GB2312" w:hAnsi="仿宋_GB2312" w:eastAsia="仿宋_GB2312" w:cs="仿宋_GB2312"/>
          <w:sz w:val="32"/>
          <w:szCs w:val="32"/>
          <w:lang w:val="en-US" w:eastAsia="zh-CN"/>
        </w:rPr>
        <w:t>27.05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988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2287.27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231.51</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财政事务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52.05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宣传思想文化事业支出增加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3．一般公共服务支出（类）宣传事务（款）</w:t>
      </w:r>
      <w:r>
        <w:rPr>
          <w:rFonts w:hint="eastAsia" w:ascii="仿宋_GB2312" w:hAnsi="仿宋_GB2312" w:eastAsia="仿宋_GB2312" w:cs="仿宋_GB2312"/>
          <w:b/>
          <w:bCs/>
          <w:sz w:val="32"/>
          <w:szCs w:val="32"/>
          <w:lang w:eastAsia="zh-CN"/>
        </w:rPr>
        <w:t>行政运行</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797.85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1273.72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159.64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宣传思想文化事业支出增加</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．一般公共服务支出（类）宣传事务（款）</w:t>
      </w:r>
      <w:r>
        <w:rPr>
          <w:rFonts w:hint="eastAsia" w:ascii="仿宋_GB2312" w:hAnsi="仿宋_GB2312" w:eastAsia="仿宋_GB2312" w:cs="仿宋_GB2312"/>
          <w:b/>
          <w:bCs/>
          <w:sz w:val="32"/>
          <w:szCs w:val="32"/>
          <w:lang w:eastAsia="zh-CN"/>
        </w:rPr>
        <w:t>一般行政管理事务</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809.93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宣传思想文化事业支出增加</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行政单位离退休</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88.55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91.24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103.04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临时待遇退休人员核算正式待遇。</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机关事业单位基本养老保险缴费支出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49.78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28.56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57.37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人员变动缴费不及时</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临时救助</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临时救助支出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春节慰问困难群众</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行政单位医疗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24.58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13.64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55.50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人员变动缴费不及时</w:t>
      </w:r>
      <w:r>
        <w:rPr>
          <w:rFonts w:hint="eastAsia" w:ascii="仿宋_GB2312" w:hAnsi="仿宋_GB2312" w:eastAsia="仿宋_GB2312" w:cs="仿宋_GB2312"/>
          <w:sz w:val="32"/>
          <w:szCs w:val="32"/>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公务员医疗补助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13.41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57.28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人员变动缴费不及时</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1476.44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936.46</w:t>
      </w:r>
      <w:r>
        <w:rPr>
          <w:rFonts w:hint="eastAsia" w:ascii="仿宋_GB2312" w:hAnsi="仿宋_GB2312" w:eastAsia="仿宋_GB2312" w:cs="仿宋_GB2312"/>
          <w:sz w:val="32"/>
          <w:szCs w:val="32"/>
          <w:highlight w:val="none"/>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_GB2312" w:hAnsi="仿宋_GB2312" w:eastAsia="仿宋_GB2312" w:cs="仿宋_GB2312"/>
          <w:sz w:val="32"/>
          <w:szCs w:val="32"/>
          <w:highlight w:val="none"/>
          <w:lang w:val="en-US" w:eastAsia="zh-CN"/>
        </w:rPr>
        <w:t>539.98</w:t>
      </w:r>
      <w:r>
        <w:rPr>
          <w:rFonts w:hint="eastAsia" w:ascii="仿宋_GB2312" w:hAnsi="仿宋_GB2312" w:eastAsia="仿宋_GB2312" w:cs="仿宋_GB2312"/>
          <w:sz w:val="32"/>
          <w:szCs w:val="32"/>
          <w:highlight w:val="none"/>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83.36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受疫情影响，上级媒体减少外出采访</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完成预算的0.00%；公务用车购置及运行费支出决算</w:t>
      </w:r>
      <w:r>
        <w:rPr>
          <w:rFonts w:hint="eastAsia" w:ascii="仿宋_GB2312" w:hAnsi="仿宋_GB2312" w:eastAsia="仿宋_GB2312" w:cs="仿宋_GB2312"/>
          <w:sz w:val="32"/>
          <w:szCs w:val="32"/>
          <w:highlight w:val="none"/>
          <w:lang w:val="en-US" w:eastAsia="zh-CN"/>
        </w:rPr>
        <w:t>9.42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94.23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80.71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56.3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19.29</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94.23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严格公车管理，公车运行维护费用减少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9.42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宣传思想文化活动车辆保障、老干部活动车辆保障</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56.3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受疫情影响，上级媒体减少外出采访</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2.25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接待上级媒体记者和其他地市观摩学习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180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万元。主要原因：</w:t>
      </w:r>
      <w:r>
        <w:rPr>
          <w:rFonts w:hint="eastAsia" w:ascii="仿宋_GB2312" w:hAnsi="仿宋_GB2312" w:eastAsia="仿宋_GB2312" w:cs="仿宋_GB2312"/>
          <w:sz w:val="32"/>
          <w:szCs w:val="32"/>
        </w:rPr>
        <w:t>我部门202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136.65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539.98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395.16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宣传思想文化事业支出增加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2067万元，其中：基本支出988万元；支出项目9个，支出金额1079万元。开展项目绩效自评项目9个，自评金额1079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w:t>
      </w:r>
      <w:bookmarkStart w:id="0" w:name="_GoBack"/>
      <w:bookmarkEnd w:id="0"/>
      <w:r>
        <w:rPr>
          <w:rFonts w:hint="eastAsia" w:ascii="仿宋_GB2312" w:hAnsi="仿宋_GB2312" w:eastAsia="仿宋_GB2312" w:cs="仿宋_GB2312"/>
          <w:color w:val="auto"/>
          <w:sz w:val="32"/>
          <w:szCs w:val="32"/>
          <w:highlight w:val="none"/>
          <w:lang w:val="en-US" w:eastAsia="zh-CN"/>
        </w:rPr>
        <w:t>于开展2021年度市级预算绩效自评工作的通知》（许财效）〔2022〕1号）等文件精神，我部门对本部门整体绩效目标和项目支出绩效目标进行了自评。一是部门整体绩效自评情况市委宣传部总体工作完成率为100%，预算执行率69%，因年底财政资金管控，部分项目资金未及时支出，资金执行率存在偏差。二是项目绩效自评情况。我部门共有9个项目批复了绩效目标，项目金额1079万元。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中共许昌市委宣传部9个，项目金额1079万元。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93.78分。其中：9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FtmEerQBAABSAwAADgAAAAAAAAABACAAAAA0AQAAZHJzL2Uyb0Rv&#10;Yy54bWxQSwUGAAAAAAYABgBZAQAAW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DB0140C"/>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567"/>
    <w:rsid w:val="299469B3"/>
    <w:rsid w:val="2A805789"/>
    <w:rsid w:val="2ADC0D75"/>
    <w:rsid w:val="2B4A0E52"/>
    <w:rsid w:val="2C975890"/>
    <w:rsid w:val="2DEF21BB"/>
    <w:rsid w:val="2E4A2F05"/>
    <w:rsid w:val="2ECC1061"/>
    <w:rsid w:val="2FA476AD"/>
    <w:rsid w:val="2FDF20C0"/>
    <w:rsid w:val="303F7540"/>
    <w:rsid w:val="31DD00BF"/>
    <w:rsid w:val="3293174C"/>
    <w:rsid w:val="32BB38D4"/>
    <w:rsid w:val="32C9376D"/>
    <w:rsid w:val="33780472"/>
    <w:rsid w:val="33AF0905"/>
    <w:rsid w:val="355932F4"/>
    <w:rsid w:val="35611882"/>
    <w:rsid w:val="35D7B324"/>
    <w:rsid w:val="36746FC3"/>
    <w:rsid w:val="368763AE"/>
    <w:rsid w:val="395D59E7"/>
    <w:rsid w:val="39A93932"/>
    <w:rsid w:val="3A915562"/>
    <w:rsid w:val="3B8D4765"/>
    <w:rsid w:val="3C000DBA"/>
    <w:rsid w:val="3DC045D3"/>
    <w:rsid w:val="3E504FFB"/>
    <w:rsid w:val="3E615CD0"/>
    <w:rsid w:val="3E9C47F6"/>
    <w:rsid w:val="3EEF2117"/>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5D894F5F"/>
    <w:rsid w:val="5F4D9698"/>
    <w:rsid w:val="5FCF4A39"/>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2EF9BD8"/>
    <w:rsid w:val="73194D05"/>
    <w:rsid w:val="73A83B0E"/>
    <w:rsid w:val="744D3EF9"/>
    <w:rsid w:val="74794411"/>
    <w:rsid w:val="75867C40"/>
    <w:rsid w:val="75B10B26"/>
    <w:rsid w:val="76432199"/>
    <w:rsid w:val="76F44829"/>
    <w:rsid w:val="77A267C0"/>
    <w:rsid w:val="77F791E8"/>
    <w:rsid w:val="78882278"/>
    <w:rsid w:val="78B118A6"/>
    <w:rsid w:val="79135044"/>
    <w:rsid w:val="7A7D0F99"/>
    <w:rsid w:val="7BB75D73"/>
    <w:rsid w:val="7D7F4E7B"/>
    <w:rsid w:val="7E4A0E7C"/>
    <w:rsid w:val="7EFD449D"/>
    <w:rsid w:val="7FBF4424"/>
    <w:rsid w:val="7FFDA923"/>
    <w:rsid w:val="B3DFC7DF"/>
    <w:rsid w:val="B7FF58E9"/>
    <w:rsid w:val="BFF640BF"/>
    <w:rsid w:val="D77B0FF5"/>
    <w:rsid w:val="EEAD83BC"/>
    <w:rsid w:val="EFFD4E79"/>
    <w:rsid w:val="F3FF050A"/>
    <w:rsid w:val="F7FFB7AC"/>
    <w:rsid w:val="FD7F6B02"/>
    <w:rsid w:val="FFDF2431"/>
    <w:rsid w:val="FFEDB3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1</Pages>
  <Words>9561</Words>
  <Characters>11677</Characters>
  <Lines>1</Lines>
  <Paragraphs>1</Paragraphs>
  <TotalTime>106</TotalTime>
  <ScaleCrop>false</ScaleCrop>
  <LinksUpToDate>false</LinksUpToDate>
  <CharactersWithSpaces>11914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huanghe</cp:lastModifiedBy>
  <cp:lastPrinted>2018-07-26T18:50:00Z</cp:lastPrinted>
  <dcterms:modified xsi:type="dcterms:W3CDTF">2023-04-03T16:52:59Z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D8936632DBD342CD9F77016586646E88</vt:lpwstr>
  </property>
</Properties>
</file>