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w:t>
      </w:r>
      <w:r>
        <w:rPr>
          <w:rFonts w:hint="eastAsia" w:ascii="黑体" w:hAnsi="黑体" w:eastAsia="黑体" w:cs="黑体"/>
          <w:sz w:val="52"/>
          <w:szCs w:val="52"/>
        </w:rPr>
        <w:t>2年度</w:t>
      </w:r>
    </w:p>
    <w:p>
      <w:pPr>
        <w:jc w:val="center"/>
        <w:rPr>
          <w:rFonts w:ascii="黑体" w:hAnsi="黑体" w:eastAsia="黑体" w:cs="黑体"/>
          <w:sz w:val="52"/>
          <w:szCs w:val="52"/>
        </w:rPr>
      </w:pPr>
      <w:r>
        <w:rPr>
          <w:rFonts w:hint="eastAsia" w:ascii="黑体" w:hAnsi="黑体" w:eastAsia="黑体" w:cs="黑体"/>
          <w:kern w:val="0"/>
          <w:sz w:val="52"/>
          <w:szCs w:val="52"/>
        </w:rPr>
        <w:t>许昌市社会科学界联合会</w:t>
      </w:r>
      <w:r>
        <w:rPr>
          <w:rFonts w:hint="eastAsia" w:ascii="黑体" w:hAnsi="黑体" w:eastAsia="黑体" w:cs="黑体"/>
          <w:sz w:val="52"/>
          <w:szCs w:val="52"/>
        </w:rPr>
        <w:t>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二〇二三年九月</w:t>
      </w: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kern w:val="0"/>
          <w:sz w:val="32"/>
          <w:szCs w:val="32"/>
        </w:rPr>
        <w:t>许昌市社会科学界联合会</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2022年度部门决算表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七、政府性基金预算财政拨款收入支出决算表</w:t>
      </w:r>
    </w:p>
    <w:p>
      <w:pPr>
        <w:ind w:firstLine="640" w:firstLineChars="200"/>
        <w:jc w:val="left"/>
        <w:rPr>
          <w:rFonts w:ascii="宋体" w:hAnsi="宋体" w:cs="黑体"/>
          <w:sz w:val="32"/>
          <w:szCs w:val="32"/>
        </w:rPr>
      </w:pPr>
      <w:r>
        <w:rPr>
          <w:rFonts w:hint="eastAsia" w:ascii="宋体" w:hAnsi="宋体" w:cs="黑体"/>
          <w:sz w:val="32"/>
          <w:szCs w:val="32"/>
        </w:rPr>
        <w:t>八、国有</w:t>
      </w:r>
      <w:r>
        <w:rPr>
          <w:rFonts w:ascii="宋体" w:hAnsi="宋体" w:cs="黑体"/>
          <w:sz w:val="32"/>
          <w:szCs w:val="32"/>
        </w:rPr>
        <w:t>资本经营预算财政拨款</w:t>
      </w:r>
      <w:r>
        <w:rPr>
          <w:rFonts w:hint="eastAsia" w:ascii="宋体" w:hAnsi="宋体" w:cs="黑体"/>
          <w:sz w:val="32"/>
          <w:szCs w:val="32"/>
        </w:rPr>
        <w:t>支出决算表</w:t>
      </w:r>
    </w:p>
    <w:p>
      <w:pPr>
        <w:ind w:firstLine="640" w:firstLineChars="200"/>
        <w:jc w:val="left"/>
        <w:rPr>
          <w:rFonts w:ascii="宋体" w:hAnsi="宋体" w:cs="黑体"/>
          <w:sz w:val="32"/>
          <w:szCs w:val="32"/>
        </w:rPr>
      </w:pPr>
      <w:r>
        <w:rPr>
          <w:rFonts w:hint="eastAsia" w:ascii="宋体" w:hAnsi="宋体" w:cs="黑体"/>
          <w:sz w:val="32"/>
          <w:szCs w:val="32"/>
        </w:rPr>
        <w:t>九、财政拨款“三公”经费支出决算表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w:t>
      </w:r>
      <w:r>
        <w:rPr>
          <w:rFonts w:hint="eastAsia" w:ascii="黑体" w:hAnsi="黑体" w:eastAsia="黑体" w:cs="黑体"/>
          <w:sz w:val="32"/>
          <w:szCs w:val="32"/>
        </w:rPr>
        <w:t>2年度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八、国有资本</w:t>
      </w:r>
      <w:r>
        <w:rPr>
          <w:rFonts w:ascii="宋体" w:hAnsi="宋体" w:cs="宋体"/>
          <w:sz w:val="32"/>
          <w:szCs w:val="32"/>
        </w:rPr>
        <w:t>经营</w:t>
      </w:r>
      <w:r>
        <w:rPr>
          <w:rFonts w:hint="eastAsia" w:ascii="宋体" w:hAnsi="宋体" w:cs="宋体"/>
          <w:sz w:val="32"/>
          <w:szCs w:val="32"/>
        </w:rPr>
        <w:t>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十三、预算绩效情况说明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bCs/>
          <w:kern w:val="0"/>
          <w:sz w:val="48"/>
          <w:szCs w:val="48"/>
        </w:rPr>
      </w:pPr>
      <w:r>
        <w:rPr>
          <w:rFonts w:hint="eastAsia" w:ascii="黑体" w:hAnsi="黑体" w:eastAsia="黑体" w:cs="黑体"/>
          <w:sz w:val="48"/>
          <w:szCs w:val="48"/>
        </w:rPr>
        <w:t xml:space="preserve">第一部分  </w:t>
      </w:r>
      <w:r>
        <w:rPr>
          <w:rFonts w:hint="eastAsia" w:ascii="黑体" w:hAnsi="黑体" w:eastAsia="黑体" w:cs="黑体"/>
          <w:bCs/>
          <w:kern w:val="0"/>
          <w:sz w:val="48"/>
          <w:szCs w:val="48"/>
        </w:rPr>
        <w:t>许昌市社会科学界联合会</w:t>
      </w:r>
    </w:p>
    <w:p>
      <w:pPr>
        <w:widowControl/>
        <w:jc w:val="center"/>
        <w:outlineLvl w:val="0"/>
        <w:rPr>
          <w:rFonts w:ascii="黑体" w:hAnsi="宋体" w:eastAsia="黑体" w:cs="宋体"/>
          <w:kern w:val="0"/>
          <w:sz w:val="48"/>
          <w:szCs w:val="48"/>
        </w:rPr>
      </w:pP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numPr>
          <w:ilvl w:val="0"/>
          <w:numId w:val="2"/>
        </w:numPr>
        <w:ind w:firstLine="640" w:firstLineChars="200"/>
        <w:jc w:val="left"/>
        <w:outlineLvl w:val="1"/>
        <w:rPr>
          <w:rFonts w:ascii="黑体" w:hAnsi="黑体" w:eastAsia="黑体" w:cs="黑体"/>
          <w:bCs/>
          <w:sz w:val="32"/>
          <w:szCs w:val="32"/>
        </w:rPr>
      </w:pPr>
      <w:r>
        <w:rPr>
          <w:rFonts w:hint="eastAsia" w:ascii="黑体" w:hAnsi="黑体" w:eastAsia="黑体" w:cs="黑体"/>
          <w:kern w:val="0"/>
          <w:sz w:val="32"/>
          <w:szCs w:val="32"/>
        </w:rPr>
        <w:t>部门</w:t>
      </w:r>
      <w:r>
        <w:rPr>
          <w:rFonts w:hint="eastAsia" w:ascii="黑体" w:hAnsi="黑体" w:eastAsia="黑体" w:cs="黑体"/>
          <w:bCs/>
          <w:sz w:val="32"/>
          <w:szCs w:val="32"/>
        </w:rPr>
        <w:t>职责</w:t>
      </w:r>
    </w:p>
    <w:p>
      <w:pPr>
        <w:widowControl/>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(一)团结和组织全市社会科学工作者</w:t>
      </w:r>
      <w:r>
        <w:rPr>
          <w:rFonts w:hint="eastAsia" w:ascii="仿宋_GB2312" w:hAnsi="宋体" w:eastAsia="仿宋_GB2312" w:cs="宋体"/>
          <w:kern w:val="0"/>
          <w:sz w:val="32"/>
          <w:szCs w:val="32"/>
          <w:lang w:eastAsia="zh-CN"/>
        </w:rPr>
        <w:t>；</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(二)组织研究党的基本理论和路线方针政策</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widowControl/>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(三)发挥智库作用，组织全市社会科学工作者围绕市委市政府中心工作</w:t>
      </w:r>
      <w:r>
        <w:rPr>
          <w:rFonts w:hint="eastAsia" w:ascii="仿宋_GB2312" w:hAnsi="宋体" w:eastAsia="仿宋_GB2312" w:cs="宋体"/>
          <w:kern w:val="0"/>
          <w:sz w:val="32"/>
          <w:szCs w:val="32"/>
          <w:lang w:eastAsia="zh-CN"/>
        </w:rPr>
        <w:t>开展理论研究；</w:t>
      </w:r>
    </w:p>
    <w:p>
      <w:pPr>
        <w:widowControl/>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(四)履行对本会团体会员及市级民办社科研究机构的业务管理服务和监督职责</w:t>
      </w:r>
      <w:r>
        <w:rPr>
          <w:rFonts w:hint="eastAsia" w:ascii="仿宋_GB2312" w:hAnsi="宋体" w:eastAsia="仿宋_GB2312" w:cs="宋体"/>
          <w:kern w:val="0"/>
          <w:sz w:val="32"/>
          <w:szCs w:val="32"/>
          <w:lang w:eastAsia="zh-CN"/>
        </w:rPr>
        <w:t>；</w:t>
      </w:r>
    </w:p>
    <w:p>
      <w:pPr>
        <w:widowControl/>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(五)贯彻落实《河南省社会科学普及条例》</w:t>
      </w:r>
      <w:r>
        <w:rPr>
          <w:rFonts w:hint="eastAsia" w:ascii="仿宋_GB2312" w:hAnsi="宋体" w:eastAsia="仿宋_GB2312" w:cs="宋体"/>
          <w:kern w:val="0"/>
          <w:sz w:val="32"/>
          <w:szCs w:val="32"/>
          <w:lang w:eastAsia="zh-CN"/>
        </w:rPr>
        <w:t>；</w:t>
      </w:r>
    </w:p>
    <w:p>
      <w:pPr>
        <w:widowControl/>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(六)促进和加强社会科学学术团体之间、理论工作部门与实际工作部门之间、社会科学界与自然科学界之间的联系和协作，有计划的开展社会科学课题调研和联合攻关</w:t>
      </w:r>
      <w:r>
        <w:rPr>
          <w:rFonts w:hint="eastAsia" w:ascii="仿宋_GB2312" w:hAnsi="宋体" w:eastAsia="仿宋_GB2312" w:cs="宋体"/>
          <w:kern w:val="0"/>
          <w:sz w:val="32"/>
          <w:szCs w:val="32"/>
          <w:lang w:eastAsia="zh-CN"/>
        </w:rPr>
        <w:t>；</w:t>
      </w:r>
    </w:p>
    <w:p>
      <w:pPr>
        <w:widowControl/>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(七)受市委市政府委托，做好社会科学优秀成果评奖活动和社科优秀专家、先进社科学术团体以及优秀社科工作者的评选活动</w:t>
      </w:r>
      <w:r>
        <w:rPr>
          <w:rFonts w:hint="eastAsia" w:ascii="仿宋_GB2312" w:hAnsi="宋体" w:eastAsia="仿宋_GB2312" w:cs="宋体"/>
          <w:kern w:val="0"/>
          <w:sz w:val="32"/>
          <w:szCs w:val="32"/>
          <w:lang w:eastAsia="zh-CN"/>
        </w:rPr>
        <w:t>；</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(八)办好综合性社会科学刊物《改革论坛》。</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宋体" w:eastAsia="仿宋_GB2312" w:cs="宋体"/>
          <w:kern w:val="0"/>
          <w:sz w:val="32"/>
          <w:szCs w:val="32"/>
        </w:rPr>
        <w:t>许昌市社会科学界联合会</w:t>
      </w:r>
      <w:r>
        <w:rPr>
          <w:rFonts w:hint="eastAsia" w:ascii="仿宋_GB2312" w:hAnsi="仿宋_GB2312" w:eastAsia="仿宋_GB2312" w:cs="仿宋_GB2312"/>
          <w:kern w:val="0"/>
          <w:sz w:val="32"/>
          <w:szCs w:val="32"/>
        </w:rPr>
        <w:t>内设科室2个。 包括：办公室、科普</w:t>
      </w:r>
      <w:r>
        <w:rPr>
          <w:rFonts w:hint="eastAsia" w:ascii="仿宋_GB2312" w:hAnsi="仿宋_GB2312" w:eastAsia="仿宋_GB2312" w:cs="仿宋_GB2312"/>
          <w:kern w:val="0"/>
          <w:sz w:val="32"/>
          <w:szCs w:val="32"/>
          <w:lang w:eastAsia="zh-CN"/>
        </w:rPr>
        <w:t>科研</w:t>
      </w:r>
      <w:r>
        <w:rPr>
          <w:rFonts w:hint="eastAsia" w:ascii="仿宋_GB2312" w:hAnsi="仿宋_GB2312" w:eastAsia="仿宋_GB2312" w:cs="仿宋_GB2312"/>
          <w:kern w:val="0"/>
          <w:sz w:val="32"/>
          <w:szCs w:val="32"/>
        </w:rPr>
        <w:t>部。</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宋体" w:eastAsia="仿宋_GB2312" w:cs="宋体"/>
          <w:kern w:val="0"/>
          <w:sz w:val="32"/>
          <w:szCs w:val="32"/>
        </w:rPr>
        <w:t>许昌市社会科学界联合会</w:t>
      </w:r>
      <w:r>
        <w:rPr>
          <w:rFonts w:hint="eastAsia" w:ascii="仿宋_GB2312" w:hAnsi="仿宋_GB2312" w:eastAsia="仿宋_GB2312" w:cs="仿宋_GB2312"/>
          <w:kern w:val="0"/>
          <w:sz w:val="32"/>
          <w:szCs w:val="32"/>
        </w:rPr>
        <w:t>部门决算包括：本级决算（1个）。</w:t>
      </w:r>
    </w:p>
    <w:p>
      <w:pPr>
        <w:widowControl/>
        <w:ind w:firstLine="640" w:firstLineChars="200"/>
        <w:jc w:val="left"/>
        <w:rPr>
          <w:rFonts w:ascii="黑体" w:hAnsi="宋体" w:eastAsia="黑体" w:cs="宋体"/>
          <w:kern w:val="0"/>
          <w:sz w:val="28"/>
          <w:szCs w:val="28"/>
        </w:rPr>
      </w:pPr>
      <w:r>
        <w:rPr>
          <w:rFonts w:hint="eastAsia" w:ascii="仿宋_GB2312" w:hAnsi="仿宋_GB2312" w:eastAsia="仿宋_GB2312" w:cs="仿宋_GB2312"/>
          <w:kern w:val="0"/>
          <w:sz w:val="32"/>
          <w:szCs w:val="32"/>
        </w:rPr>
        <w:t>纳入本部门2022年度部门决算编制范围的单位共1个，具体是：</w:t>
      </w:r>
    </w:p>
    <w:p>
      <w:pPr>
        <w:widowControl/>
        <w:ind w:firstLine="640" w:firstLineChars="200"/>
        <w:jc w:val="left"/>
        <w:rPr>
          <w:rFonts w:ascii="黑体" w:hAnsi="宋体" w:eastAsia="黑体" w:cs="宋体"/>
          <w:kern w:val="0"/>
          <w:sz w:val="28"/>
          <w:szCs w:val="28"/>
        </w:rPr>
      </w:pPr>
      <w:r>
        <w:rPr>
          <w:rFonts w:hint="eastAsia" w:ascii="仿宋_GB2312" w:hAnsi="宋体" w:eastAsia="仿宋_GB2312" w:cs="宋体"/>
          <w:kern w:val="0"/>
          <w:sz w:val="32"/>
          <w:szCs w:val="32"/>
        </w:rPr>
        <w:t>1.许昌市社会科学界联合会</w:t>
      </w:r>
      <w:r>
        <w:rPr>
          <w:rFonts w:hint="eastAsia" w:ascii="仿宋_GB2312" w:hAnsi="仿宋_GB2312" w:eastAsia="仿宋_GB2312" w:cs="仿宋_GB2312"/>
          <w:kern w:val="0"/>
          <w:sz w:val="32"/>
          <w:szCs w:val="32"/>
        </w:rPr>
        <w:t>（本级）</w:t>
      </w:r>
    </w:p>
    <w:p>
      <w:pPr>
        <w:widowControl/>
        <w:jc w:val="left"/>
        <w:rPr>
          <w:rFonts w:ascii="黑体" w:hAnsi="宋体" w:eastAsia="黑体" w:cs="宋体"/>
          <w:kern w:val="0"/>
          <w:sz w:val="28"/>
          <w:szCs w:val="2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pStyle w:val="7"/>
        <w:rPr>
          <w:rFonts w:ascii="黑体" w:hAnsi="黑体" w:eastAsia="黑体" w:cs="黑体"/>
          <w:sz w:val="48"/>
          <w:szCs w:val="4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2022年度部门决算表</w:t>
      </w: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5131"/>
        <w:gridCol w:w="901"/>
        <w:gridCol w:w="1202"/>
        <w:gridCol w:w="4828"/>
        <w:gridCol w:w="899"/>
        <w:gridCol w:w="1213"/>
      </w:tblGrid>
      <w:tr>
        <w:tblPrEx>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181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2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0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43"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255" w:hRule="atLeast"/>
        </w:trPr>
        <w:tc>
          <w:tcPr>
            <w:tcW w:w="2128" w:type="pct"/>
            <w:gridSpan w:val="2"/>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部门：许昌市社会科学界联合会</w:t>
            </w:r>
          </w:p>
        </w:tc>
        <w:tc>
          <w:tcPr>
            <w:tcW w:w="42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0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43"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552" w:type="pct"/>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2447" w:type="pct"/>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424"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425"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317"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24"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317"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25"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一、一般公共预算财政拨款收入</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131.63</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二、政府性基金预算财政拨款收入</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三、国有资本经营预算财政拨款收入</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四、上级补助收入</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五、事业收入</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六、经营收入</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七、附属单位上缴收入</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八、其他收入</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55.99</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b/>
                <w:bCs/>
                <w:color w:val="000000"/>
                <w:sz w:val="20"/>
                <w:szCs w:val="20"/>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0"/>
                <w:szCs w:val="20"/>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0"/>
                <w:szCs w:val="20"/>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使用非财政拨款结余</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703" w:type="pct"/>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000000"/>
                <w:sz w:val="22"/>
              </w:rPr>
            </w:pP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425" w:type="pct"/>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424"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c>
          <w:tcPr>
            <w:tcW w:w="1703"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317" w:type="pc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425" w:type="pct"/>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0"/>
                <w:szCs w:val="20"/>
              </w:rPr>
              <w:t>注：1.本表反映部门本年度的总收支和年末结转结余情况。本表金额转换为万元时，因四舍五入可能存在尾差。</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3030"/>
        <w:gridCol w:w="222"/>
        <w:gridCol w:w="227"/>
        <w:gridCol w:w="3983"/>
        <w:gridCol w:w="1074"/>
        <w:gridCol w:w="1074"/>
        <w:gridCol w:w="916"/>
        <w:gridCol w:w="791"/>
        <w:gridCol w:w="791"/>
        <w:gridCol w:w="1193"/>
        <w:gridCol w:w="873"/>
      </w:tblGrid>
      <w:tr>
        <w:tblPrEx>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106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0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2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25"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108" w:type="dxa"/>
            <w:bottom w:w="0" w:type="dxa"/>
            <w:right w:w="108" w:type="dxa"/>
          </w:tblCellMar>
        </w:tblPrEx>
        <w:trPr>
          <w:trHeight w:val="255" w:hRule="atLeast"/>
        </w:trPr>
        <w:tc>
          <w:tcPr>
            <w:tcW w:w="1069"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部门：许昌市社会科学界联合会</w:t>
            </w:r>
          </w:p>
        </w:tc>
        <w:tc>
          <w:tcPr>
            <w:tcW w:w="7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0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2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25"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63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379"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379"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323"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279"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279"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421"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304"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12" w:hRule="atLeast"/>
        </w:trPr>
        <w:tc>
          <w:tcPr>
            <w:tcW w:w="1227"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科目代码</w:t>
            </w:r>
          </w:p>
        </w:tc>
        <w:tc>
          <w:tcPr>
            <w:tcW w:w="1405"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3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2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2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0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22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405"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3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2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2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0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22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405"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3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2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2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0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632"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379"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379"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23"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279"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279"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421"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304"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308" w:hRule="atLeast"/>
        </w:trPr>
        <w:tc>
          <w:tcPr>
            <w:tcW w:w="2632"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204.35</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204.35</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131.63</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131.63</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128.95</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128.95</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2012901</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128.45</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128.45</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0.50</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0.50</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20199</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其他一般公共服务支出</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2019999</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其他一般公共服务支出</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55.99</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55.99</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31.42</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31.42</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22.59</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22.59</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8.84</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8.84</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抚恤</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2080801</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死亡抚恤</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4.13</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4.13</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4.21</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4.21</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221</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住房保障支出</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22102</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住房改革支出</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2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2210201</w:t>
            </w:r>
          </w:p>
        </w:tc>
        <w:tc>
          <w:tcPr>
            <w:tcW w:w="140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32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7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0"/>
                <w:szCs w:val="20"/>
              </w:rPr>
              <w:t>注：本表反映部门本年度取得的各项收入情况</w:t>
            </w:r>
            <w:r>
              <w:rPr>
                <w:rFonts w:hint="eastAsia" w:ascii="宋体" w:hAnsi="宋体" w:cs="宋体"/>
                <w:color w:val="000000"/>
                <w:kern w:val="0"/>
                <w:sz w:val="22"/>
              </w:rPr>
              <w:t>。</w:t>
            </w:r>
            <w:r>
              <w:rPr>
                <w:rFonts w:hint="eastAsia" w:ascii="宋体" w:hAnsi="宋体" w:cs="宋体"/>
                <w:color w:val="000000"/>
                <w:kern w:val="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Layout w:type="fixed"/>
        <w:tblCellMar>
          <w:top w:w="0" w:type="dxa"/>
          <w:left w:w="108" w:type="dxa"/>
          <w:bottom w:w="0" w:type="dxa"/>
          <w:right w:w="108" w:type="dxa"/>
        </w:tblCellMar>
      </w:tblPr>
      <w:tblGrid>
        <w:gridCol w:w="334"/>
        <w:gridCol w:w="334"/>
        <w:gridCol w:w="640"/>
        <w:gridCol w:w="3119"/>
        <w:gridCol w:w="1698"/>
        <w:gridCol w:w="1650"/>
        <w:gridCol w:w="1681"/>
        <w:gridCol w:w="1534"/>
        <w:gridCol w:w="1548"/>
        <w:gridCol w:w="1636"/>
      </w:tblGrid>
      <w:tr>
        <w:tblPrEx>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11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0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9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9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4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23"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55" w:hRule="atLeast"/>
        </w:trPr>
        <w:tc>
          <w:tcPr>
            <w:tcW w:w="1561" w:type="pct"/>
            <w:gridSpan w:val="4"/>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部门：许昌市社会科学界联合会</w:t>
            </w:r>
          </w:p>
        </w:tc>
        <w:tc>
          <w:tcPr>
            <w:tcW w:w="59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9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4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23"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5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98"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582"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592"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541"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546"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577"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461"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科目代码</w:t>
            </w:r>
          </w:p>
        </w:tc>
        <w:tc>
          <w:tcPr>
            <w:tcW w:w="1100"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59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8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9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4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4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7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461"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100"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59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8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9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4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4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7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461"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100"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59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8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9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4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4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7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561"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98"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58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59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541"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54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577"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1561"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204.35</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204.35</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131.63</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131.63</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128.95</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128.95</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2012901</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128.45</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128.45</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0.50</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0.50</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20199</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其他一般公共服务支出</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2019999</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其他一般公共服务支出</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55.99</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55.99</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31.42</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31.42</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22.59</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22.59</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8.84</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8.84</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抚恤</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2080801</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死亡抚恤</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4.13</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4.13</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4.21</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4.21</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221</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住房保障支出</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22102</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住房改革支出</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6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2210201</w:t>
            </w:r>
          </w:p>
        </w:tc>
        <w:tc>
          <w:tcPr>
            <w:tcW w:w="1100"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59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57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0"/>
                <w:szCs w:val="20"/>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3569"/>
        <w:gridCol w:w="612"/>
        <w:gridCol w:w="1196"/>
        <w:gridCol w:w="3807"/>
        <w:gridCol w:w="610"/>
        <w:gridCol w:w="993"/>
        <w:gridCol w:w="1296"/>
        <w:gridCol w:w="1030"/>
        <w:gridCol w:w="1061"/>
      </w:tblGrid>
      <w:tr>
        <w:tblPrEx>
          <w:tblCellMar>
            <w:top w:w="0" w:type="dxa"/>
            <w:left w:w="108" w:type="dxa"/>
            <w:bottom w:w="0" w:type="dxa"/>
            <w:right w:w="108" w:type="dxa"/>
          </w:tblCellMar>
        </w:tblPrEx>
        <w:trPr>
          <w:trHeight w:val="623"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312" w:hRule="atLeast"/>
        </w:trPr>
        <w:tc>
          <w:tcPr>
            <w:tcW w:w="126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1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2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4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1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3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5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37"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312" w:hRule="atLeast"/>
        </w:trPr>
        <w:tc>
          <w:tcPr>
            <w:tcW w:w="1479" w:type="pct"/>
            <w:gridSpan w:val="2"/>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部门：许昌市社会科学界联合会</w:t>
            </w:r>
          </w:p>
        </w:tc>
        <w:tc>
          <w:tcPr>
            <w:tcW w:w="42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4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1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3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5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37"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22" w:hRule="atLeast"/>
        </w:trPr>
        <w:tc>
          <w:tcPr>
            <w:tcW w:w="190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3096" w:type="pct"/>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blPrEx>
          <w:tblCellMar>
            <w:top w:w="0" w:type="dxa"/>
            <w:left w:w="108" w:type="dxa"/>
            <w:bottom w:w="0" w:type="dxa"/>
            <w:right w:w="108" w:type="dxa"/>
          </w:tblCellMar>
        </w:tblPrEx>
        <w:trPr>
          <w:trHeight w:val="312" w:hRule="atLeast"/>
        </w:trPr>
        <w:tc>
          <w:tcPr>
            <w:tcW w:w="1261"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217"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424"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1345"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217"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335"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45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362"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c>
          <w:tcPr>
            <w:tcW w:w="375"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国有资本经营预算财政拨款</w:t>
            </w:r>
          </w:p>
        </w:tc>
      </w:tr>
      <w:tr>
        <w:tblPrEx>
          <w:tblCellMar>
            <w:top w:w="0" w:type="dxa"/>
            <w:left w:w="108" w:type="dxa"/>
            <w:bottom w:w="0" w:type="dxa"/>
            <w:right w:w="108" w:type="dxa"/>
          </w:tblCellMar>
        </w:tblPrEx>
        <w:trPr>
          <w:trHeight w:val="954" w:hRule="atLeast"/>
        </w:trPr>
        <w:tc>
          <w:tcPr>
            <w:tcW w:w="12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1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24"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345"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1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35"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459"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6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75"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217" w:type="pct"/>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42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217" w:type="pct"/>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33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131.63</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131.63</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三、国有资本经营预算财政拨款</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55.99</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55.99</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c>
          <w:tcPr>
            <w:tcW w:w="1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4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45"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5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6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7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45"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5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6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7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45"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63</w:t>
            </w: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5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6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7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2" w:hRule="atLeast"/>
        </w:trPr>
        <w:tc>
          <w:tcPr>
            <w:tcW w:w="126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c>
          <w:tcPr>
            <w:tcW w:w="1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64</w:t>
            </w:r>
          </w:p>
        </w:tc>
        <w:tc>
          <w:tcPr>
            <w:tcW w:w="33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204.35</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633" w:hRule="atLeast"/>
        </w:trPr>
        <w:tc>
          <w:tcPr>
            <w:tcW w:w="4624" w:type="pct"/>
            <w:gridSpan w:val="8"/>
            <w:tcBorders>
              <w:top w:val="nil"/>
              <w:left w:val="nil"/>
              <w:bottom w:val="nil"/>
              <w:right w:val="nil"/>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注：本表反映部门本年度一般公共预算财政拨款、政府性基金预算财政拨款和国有资本经营预算财政拨款的总收支和年末结转结余情况。本表金额转换为万元时，因四舍五入可能存在尾差。</w:t>
            </w:r>
          </w:p>
        </w:tc>
        <w:tc>
          <w:tcPr>
            <w:tcW w:w="375" w:type="pct"/>
            <w:tcBorders>
              <w:top w:val="nil"/>
              <w:left w:val="nil"/>
              <w:bottom w:val="nil"/>
              <w:right w:val="nil"/>
            </w:tcBorders>
            <w:shd w:val="clear" w:color="auto" w:fill="auto"/>
            <w:noWrap/>
            <w:vAlign w:val="center"/>
          </w:tcPr>
          <w:p>
            <w:pPr>
              <w:jc w:val="left"/>
              <w:rPr>
                <w:rFonts w:ascii="宋体" w:hAnsi="宋体" w:cs="宋体"/>
                <w:color w:val="000000"/>
                <w:sz w:val="20"/>
                <w:szCs w:val="20"/>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8"/>
        <w:tblW w:w="4942" w:type="pct"/>
        <w:tblInd w:w="96" w:type="dxa"/>
        <w:tblLayout w:type="autofit"/>
        <w:tblCellMar>
          <w:top w:w="0" w:type="dxa"/>
          <w:left w:w="108" w:type="dxa"/>
          <w:bottom w:w="0" w:type="dxa"/>
          <w:right w:w="108" w:type="dxa"/>
        </w:tblCellMar>
      </w:tblPr>
      <w:tblGrid>
        <w:gridCol w:w="315"/>
        <w:gridCol w:w="443"/>
        <w:gridCol w:w="469"/>
        <w:gridCol w:w="8"/>
        <w:gridCol w:w="3979"/>
        <w:gridCol w:w="3371"/>
        <w:gridCol w:w="2864"/>
        <w:gridCol w:w="2561"/>
      </w:tblGrid>
      <w:tr>
        <w:tblPrEx>
          <w:tblCellMar>
            <w:top w:w="0" w:type="dxa"/>
            <w:left w:w="108" w:type="dxa"/>
            <w:bottom w:w="0" w:type="dxa"/>
            <w:right w:w="108" w:type="dxa"/>
          </w:tblCellMar>
        </w:tblPrEx>
        <w:trPr>
          <w:trHeight w:val="390" w:hRule="atLeast"/>
        </w:trPr>
        <w:tc>
          <w:tcPr>
            <w:tcW w:w="4995" w:type="pct"/>
            <w:gridSpan w:val="8"/>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8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8"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4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3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89"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5" w:hRule="atLeast"/>
        </w:trPr>
        <w:tc>
          <w:tcPr>
            <w:tcW w:w="1775" w:type="pct"/>
            <w:gridSpan w:val="5"/>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部门：许昌市社会科学界联合会</w:t>
            </w:r>
          </w:p>
        </w:tc>
        <w:tc>
          <w:tcPr>
            <w:tcW w:w="123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89"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77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3220"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2" w:hRule="atLeast"/>
        </w:trPr>
        <w:tc>
          <w:tcPr>
            <w:tcW w:w="327"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科目代码</w:t>
            </w:r>
          </w:p>
        </w:tc>
        <w:tc>
          <w:tcPr>
            <w:tcW w:w="1447" w:type="pct"/>
            <w:gridSpan w:val="2"/>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3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04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94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32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447" w:type="pct"/>
            <w:gridSpan w:val="2"/>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230"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049"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940"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2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447" w:type="pct"/>
            <w:gridSpan w:val="2"/>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230"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049"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940"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775" w:type="pct"/>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1775" w:type="pct"/>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204.35</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204.35</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131.63</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131.63</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128.95</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128.95</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2012901</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128.45</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128.45</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0.50</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0.50</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20199</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其他一般公共服务支出</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2019999</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其他一般公共服务支出</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55.99</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55.99</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31.42</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31.42</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22.59</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22.59</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8.84</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8.84</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抚恤</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2080801</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死亡抚恤</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4.13</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4.13</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4.21</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4.21</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221</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住房保障支出</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22102</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住房改革支出</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3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2210201</w:t>
            </w:r>
          </w:p>
        </w:tc>
        <w:tc>
          <w:tcPr>
            <w:tcW w:w="1447" w:type="pct"/>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12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104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94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4995" w:type="pct"/>
            <w:gridSpan w:val="8"/>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0"/>
                <w:szCs w:val="20"/>
              </w:rPr>
              <w:t>注：本表反映部门本年度一般公共预算财政拨款支出情况。本表金额转换为万元时，因四舍五入可能存在尾差。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203" w:type="dxa"/>
        <w:tblInd w:w="93" w:type="dxa"/>
        <w:tblLayout w:type="fixed"/>
        <w:tblCellMar>
          <w:top w:w="0" w:type="dxa"/>
          <w:left w:w="108" w:type="dxa"/>
          <w:bottom w:w="0" w:type="dxa"/>
          <w:right w:w="108" w:type="dxa"/>
        </w:tblCellMar>
      </w:tblPr>
      <w:tblGrid>
        <w:gridCol w:w="1011"/>
        <w:gridCol w:w="3119"/>
        <w:gridCol w:w="1028"/>
        <w:gridCol w:w="1052"/>
        <w:gridCol w:w="2130"/>
        <w:gridCol w:w="921"/>
        <w:gridCol w:w="954"/>
        <w:gridCol w:w="2591"/>
        <w:gridCol w:w="1397"/>
      </w:tblGrid>
      <w:tr>
        <w:tblPrEx>
          <w:tblCellMar>
            <w:top w:w="0" w:type="dxa"/>
            <w:left w:w="108" w:type="dxa"/>
            <w:bottom w:w="0" w:type="dxa"/>
            <w:right w:w="108" w:type="dxa"/>
          </w:tblCellMar>
        </w:tblPrEx>
        <w:trPr>
          <w:trHeight w:val="390" w:hRule="atLeast"/>
        </w:trPr>
        <w:tc>
          <w:tcPr>
            <w:tcW w:w="14203" w:type="dxa"/>
            <w:gridSpan w:val="9"/>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101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1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2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13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2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5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988" w:type="dxa"/>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0" w:type="dxa"/>
            <w:left w:w="108" w:type="dxa"/>
            <w:bottom w:w="0" w:type="dxa"/>
            <w:right w:w="108" w:type="dxa"/>
          </w:tblCellMar>
        </w:tblPrEx>
        <w:trPr>
          <w:trHeight w:val="255" w:hRule="atLeast"/>
        </w:trPr>
        <w:tc>
          <w:tcPr>
            <w:tcW w:w="4130" w:type="dxa"/>
            <w:gridSpan w:val="2"/>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部门：许昌市社会科学界联合会</w:t>
            </w:r>
          </w:p>
        </w:tc>
        <w:tc>
          <w:tcPr>
            <w:tcW w:w="102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13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2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5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988" w:type="dxa"/>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9045" w:type="dxa"/>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trHeight w:val="312" w:hRule="atLeast"/>
        </w:trPr>
        <w:tc>
          <w:tcPr>
            <w:tcW w:w="101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科目代码</w:t>
            </w:r>
          </w:p>
        </w:tc>
        <w:tc>
          <w:tcPr>
            <w:tcW w:w="3119"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028"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1052"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科目代码</w:t>
            </w:r>
          </w:p>
        </w:tc>
        <w:tc>
          <w:tcPr>
            <w:tcW w:w="213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92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954"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科目代码</w:t>
            </w:r>
          </w:p>
        </w:tc>
        <w:tc>
          <w:tcPr>
            <w:tcW w:w="259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397"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12" w:hRule="atLeast"/>
        </w:trPr>
        <w:tc>
          <w:tcPr>
            <w:tcW w:w="10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119"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02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052"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13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92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954"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59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397"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137.83</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19.37</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40.50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4.73</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53.99</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11.40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机关事业单位基本养老保险缴费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0.80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12.59</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公务员医疗补助缴费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4.81</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0.19</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8.39</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6.17</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47.15</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22.59</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24.57</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0.62</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39909</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经常性赠与</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公务用车运行维护费</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2.00</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39910</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资本性赠与</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7.92</w:t>
            </w:r>
          </w:p>
        </w:tc>
        <w:tc>
          <w:tcPr>
            <w:tcW w:w="954"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2591"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311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954"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591"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3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311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0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052"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21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92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0.01</w:t>
            </w:r>
          </w:p>
        </w:tc>
        <w:tc>
          <w:tcPr>
            <w:tcW w:w="954"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2591"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3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30"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102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184.99</w:t>
            </w:r>
          </w:p>
        </w:tc>
        <w:tc>
          <w:tcPr>
            <w:tcW w:w="7648" w:type="dxa"/>
            <w:gridSpan w:val="5"/>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139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19.37</w:t>
            </w:r>
          </w:p>
        </w:tc>
      </w:tr>
      <w:tr>
        <w:tblPrEx>
          <w:tblCellMar>
            <w:top w:w="0" w:type="dxa"/>
            <w:left w:w="108" w:type="dxa"/>
            <w:bottom w:w="0" w:type="dxa"/>
            <w:right w:w="108" w:type="dxa"/>
          </w:tblCellMar>
        </w:tblPrEx>
        <w:trPr>
          <w:trHeight w:val="308" w:hRule="atLeast"/>
        </w:trPr>
        <w:tc>
          <w:tcPr>
            <w:tcW w:w="14203" w:type="dxa"/>
            <w:gridSpan w:val="9"/>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8"/>
        <w:tblW w:w="14081" w:type="dxa"/>
        <w:tblInd w:w="93" w:type="dxa"/>
        <w:tblLayout w:type="autofit"/>
        <w:tblCellMar>
          <w:top w:w="0" w:type="dxa"/>
          <w:left w:w="108" w:type="dxa"/>
          <w:bottom w:w="0" w:type="dxa"/>
          <w:right w:w="108" w:type="dxa"/>
        </w:tblCellMar>
      </w:tblPr>
      <w:tblGrid>
        <w:gridCol w:w="1322"/>
        <w:gridCol w:w="1753"/>
        <w:gridCol w:w="1692"/>
        <w:gridCol w:w="1692"/>
        <w:gridCol w:w="1692"/>
        <w:gridCol w:w="1694"/>
        <w:gridCol w:w="1571"/>
        <w:gridCol w:w="2665"/>
      </w:tblGrid>
      <w:tr>
        <w:tblPrEx>
          <w:tblCellMar>
            <w:top w:w="0" w:type="dxa"/>
            <w:left w:w="108" w:type="dxa"/>
            <w:bottom w:w="0" w:type="dxa"/>
            <w:right w:w="108" w:type="dxa"/>
          </w:tblCellMar>
        </w:tblPrEx>
        <w:trPr>
          <w:trHeight w:val="390" w:hRule="atLeast"/>
        </w:trPr>
        <w:tc>
          <w:tcPr>
            <w:tcW w:w="14081" w:type="dxa"/>
            <w:gridSpan w:val="8"/>
            <w:tcBorders>
              <w:top w:val="nil"/>
              <w:left w:val="nil"/>
              <w:bottom w:val="nil"/>
              <w:right w:val="nil"/>
            </w:tcBorders>
            <w:shd w:val="clear" w:color="auto" w:fill="FFFFFF"/>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14081" w:type="dxa"/>
            <w:gridSpan w:val="8"/>
            <w:tcBorders>
              <w:top w:val="nil"/>
              <w:left w:val="nil"/>
              <w:bottom w:val="nil"/>
              <w:right w:val="nil"/>
            </w:tcBorders>
            <w:shd w:val="clear" w:color="auto" w:fill="FFFFFF"/>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255" w:hRule="atLeast"/>
        </w:trPr>
        <w:tc>
          <w:tcPr>
            <w:tcW w:w="9809" w:type="dxa"/>
            <w:gridSpan w:val="6"/>
            <w:tcBorders>
              <w:top w:val="nil"/>
              <w:left w:val="nil"/>
              <w:bottom w:val="nil"/>
              <w:right w:val="nil"/>
            </w:tcBorders>
            <w:shd w:val="clear" w:color="auto" w:fill="FFFFFF"/>
            <w:noWrap/>
            <w:vAlign w:val="bottom"/>
          </w:tcPr>
          <w:p>
            <w:pPr>
              <w:rPr>
                <w:rFonts w:ascii="Arial" w:hAnsi="Arial" w:cs="Arial"/>
                <w:color w:val="000000"/>
                <w:sz w:val="20"/>
                <w:szCs w:val="20"/>
              </w:rPr>
            </w:pPr>
            <w:r>
              <w:rPr>
                <w:rFonts w:hint="eastAsia" w:ascii="宋体" w:hAnsi="宋体" w:cs="宋体"/>
                <w:color w:val="000000"/>
                <w:kern w:val="0"/>
                <w:sz w:val="20"/>
                <w:szCs w:val="20"/>
              </w:rPr>
              <w:t>部门：许昌市社会科学界联合会</w:t>
            </w:r>
          </w:p>
        </w:tc>
        <w:tc>
          <w:tcPr>
            <w:tcW w:w="4272" w:type="dxa"/>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68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4890"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274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108" w:type="dxa"/>
            <w:bottom w:w="0" w:type="dxa"/>
            <w:right w:w="108" w:type="dxa"/>
          </w:tblCellMar>
        </w:tblPrEx>
        <w:trPr>
          <w:trHeight w:val="312" w:hRule="atLeast"/>
        </w:trPr>
        <w:tc>
          <w:tcPr>
            <w:tcW w:w="1215"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68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682"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52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274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215"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682"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528"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274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215"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682"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528"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274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0"/>
                <w:szCs w:val="20"/>
              </w:rPr>
              <w:t>注：本表反映部门本年度政府性基金预算财政拨款收入、支出及结转和结余情况。本表金额转换为万元时，因四舍五入可能存在尾差</w:t>
            </w:r>
            <w:r>
              <w:rPr>
                <w:rFonts w:hint="eastAsia" w:ascii="宋体" w:hAnsi="宋体" w:cs="宋体"/>
                <w:color w:val="000000"/>
                <w:kern w:val="0"/>
                <w:sz w:val="22"/>
              </w:rPr>
              <w:t>。</w:t>
            </w:r>
          </w:p>
        </w:tc>
      </w:tr>
    </w:tbl>
    <w:p>
      <w:pPr>
        <w:jc w:val="both"/>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说明：我部门没有政府性基金收入，也没有使用政府性基金安排的支出，故本表无数据</w:t>
      </w:r>
    </w:p>
    <w:tbl>
      <w:tblPr>
        <w:tblStyle w:val="8"/>
        <w:tblW w:w="5000" w:type="pct"/>
        <w:tblInd w:w="0" w:type="dxa"/>
        <w:tblLayout w:type="autofit"/>
        <w:tblCellMar>
          <w:top w:w="0" w:type="dxa"/>
          <w:left w:w="108" w:type="dxa"/>
          <w:bottom w:w="0" w:type="dxa"/>
          <w:right w:w="108" w:type="dxa"/>
        </w:tblCellMar>
      </w:tblPr>
      <w:tblGrid>
        <w:gridCol w:w="518"/>
        <w:gridCol w:w="519"/>
        <w:gridCol w:w="522"/>
        <w:gridCol w:w="2568"/>
        <w:gridCol w:w="3566"/>
        <w:gridCol w:w="3164"/>
        <w:gridCol w:w="3317"/>
      </w:tblGrid>
      <w:tr>
        <w:tblPrEx>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18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0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5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84"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108" w:type="dxa"/>
            <w:bottom w:w="0" w:type="dxa"/>
            <w:right w:w="108" w:type="dxa"/>
          </w:tblCellMar>
        </w:tblPrEx>
        <w:trPr>
          <w:trHeight w:val="255" w:hRule="atLeast"/>
        </w:trPr>
        <w:tc>
          <w:tcPr>
            <w:tcW w:w="1456" w:type="pct"/>
            <w:gridSpan w:val="4"/>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部门：许昌市社会科学界联合会</w:t>
            </w:r>
          </w:p>
        </w:tc>
        <w:tc>
          <w:tcPr>
            <w:tcW w:w="125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84"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45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3543"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2" w:hRule="atLeast"/>
        </w:trPr>
        <w:tc>
          <w:tcPr>
            <w:tcW w:w="550"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科目代码</w:t>
            </w:r>
          </w:p>
        </w:tc>
        <w:tc>
          <w:tcPr>
            <w:tcW w:w="906"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58"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116"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167"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550"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906"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25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11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16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550"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906"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25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11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16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56"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25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11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16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1456"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5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111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116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55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906"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25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1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6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5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906"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25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1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6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5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906"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25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1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6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5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906"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25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1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6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5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906"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25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1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6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5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906"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25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1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16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注：本表反映部门本年度国有资本经营预算财政拨款支出情况。本表金额转换为万元时，因四舍五入可能存在尾差。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说明：我部门没有使用国有资本经营预算安排的支出，故本表无数据。</w:t>
      </w:r>
    </w:p>
    <w:tbl>
      <w:tblPr>
        <w:tblStyle w:val="8"/>
        <w:tblW w:w="13910" w:type="dxa"/>
        <w:tblInd w:w="93" w:type="dxa"/>
        <w:tblLayout w:type="fixed"/>
        <w:tblCellMar>
          <w:top w:w="0" w:type="dxa"/>
          <w:left w:w="108" w:type="dxa"/>
          <w:bottom w:w="0" w:type="dxa"/>
          <w:right w:w="108" w:type="dxa"/>
        </w:tblCellMar>
      </w:tblPr>
      <w:tblGrid>
        <w:gridCol w:w="2697"/>
        <w:gridCol w:w="1369"/>
        <w:gridCol w:w="986"/>
        <w:gridCol w:w="722"/>
        <w:gridCol w:w="1069"/>
        <w:gridCol w:w="900"/>
        <w:gridCol w:w="853"/>
        <w:gridCol w:w="1334"/>
        <w:gridCol w:w="1069"/>
        <w:gridCol w:w="806"/>
        <w:gridCol w:w="1069"/>
        <w:gridCol w:w="1036"/>
      </w:tblGrid>
      <w:tr>
        <w:tblPrEx>
          <w:tblCellMar>
            <w:top w:w="0" w:type="dxa"/>
            <w:left w:w="108" w:type="dxa"/>
            <w:bottom w:w="0" w:type="dxa"/>
            <w:right w:w="108" w:type="dxa"/>
          </w:tblCellMar>
        </w:tblPrEx>
        <w:trPr>
          <w:trHeight w:val="540" w:hRule="atLeast"/>
        </w:trPr>
        <w:tc>
          <w:tcPr>
            <w:tcW w:w="13910" w:type="dxa"/>
            <w:gridSpan w:val="12"/>
            <w:tcBorders>
              <w:top w:val="nil"/>
              <w:left w:val="nil"/>
              <w:bottom w:val="nil"/>
              <w:right w:val="nil"/>
            </w:tcBorders>
            <w:shd w:val="clear" w:color="auto" w:fill="FFFFFF"/>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一般公共预算财政拨款“三公”经费支出决算表</w:t>
            </w:r>
          </w:p>
        </w:tc>
      </w:tr>
      <w:tr>
        <w:tblPrEx>
          <w:tblCellMar>
            <w:top w:w="0" w:type="dxa"/>
            <w:left w:w="108" w:type="dxa"/>
            <w:bottom w:w="0" w:type="dxa"/>
            <w:right w:w="108" w:type="dxa"/>
          </w:tblCellMar>
        </w:tblPrEx>
        <w:trPr>
          <w:trHeight w:val="255" w:hRule="atLeast"/>
        </w:trPr>
        <w:tc>
          <w:tcPr>
            <w:tcW w:w="13910" w:type="dxa"/>
            <w:gridSpan w:val="12"/>
            <w:tcBorders>
              <w:top w:val="nil"/>
              <w:left w:val="nil"/>
              <w:bottom w:val="nil"/>
              <w:right w:val="nil"/>
            </w:tcBorders>
            <w:shd w:val="clear" w:color="auto" w:fill="FFFFFF"/>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公开09表</w:t>
            </w:r>
          </w:p>
        </w:tc>
      </w:tr>
      <w:tr>
        <w:tblPrEx>
          <w:tblCellMar>
            <w:top w:w="0" w:type="dxa"/>
            <w:left w:w="108" w:type="dxa"/>
            <w:bottom w:w="0" w:type="dxa"/>
            <w:right w:w="108" w:type="dxa"/>
          </w:tblCellMar>
        </w:tblPrEx>
        <w:trPr>
          <w:trHeight w:val="255" w:hRule="atLeast"/>
        </w:trPr>
        <w:tc>
          <w:tcPr>
            <w:tcW w:w="10999" w:type="dxa"/>
            <w:gridSpan w:val="9"/>
            <w:tcBorders>
              <w:top w:val="nil"/>
              <w:left w:val="nil"/>
              <w:bottom w:val="nil"/>
              <w:right w:val="nil"/>
            </w:tcBorders>
            <w:shd w:val="clear" w:color="auto" w:fill="FFFFFF"/>
            <w:noWrap/>
            <w:vAlign w:val="bottom"/>
          </w:tcPr>
          <w:p>
            <w:pPr>
              <w:rPr>
                <w:rFonts w:ascii="Arial" w:hAnsi="Arial" w:cs="Arial"/>
                <w:color w:val="000000"/>
                <w:sz w:val="20"/>
                <w:szCs w:val="20"/>
              </w:rPr>
            </w:pPr>
            <w:r>
              <w:rPr>
                <w:rFonts w:hint="eastAsia" w:ascii="宋体" w:hAnsi="宋体" w:cs="宋体"/>
                <w:color w:val="000000"/>
                <w:kern w:val="0"/>
                <w:sz w:val="20"/>
                <w:szCs w:val="20"/>
              </w:rPr>
              <w:t>部门：许昌市社会科学界联合会</w:t>
            </w:r>
          </w:p>
        </w:tc>
        <w:tc>
          <w:tcPr>
            <w:tcW w:w="2911" w:type="dxa"/>
            <w:gridSpan w:val="3"/>
            <w:tcBorders>
              <w:top w:val="nil"/>
              <w:left w:val="nil"/>
              <w:bottom w:val="nil"/>
              <w:right w:val="nil"/>
            </w:tcBorders>
            <w:shd w:val="clear" w:color="auto" w:fill="FFFFFF"/>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774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6167"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08" w:hRule="atLeast"/>
        </w:trPr>
        <w:tc>
          <w:tcPr>
            <w:tcW w:w="2697"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36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2777"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90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85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334"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2944"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03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108" w:type="dxa"/>
            <w:bottom w:w="0" w:type="dxa"/>
            <w:right w:w="108" w:type="dxa"/>
          </w:tblCellMar>
        </w:tblPrEx>
        <w:trPr>
          <w:trHeight w:val="615" w:hRule="atLeast"/>
        </w:trPr>
        <w:tc>
          <w:tcPr>
            <w:tcW w:w="2697"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369"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98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72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06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90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853"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334"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c>
          <w:tcPr>
            <w:tcW w:w="106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80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06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036"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69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36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98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72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06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90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85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33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06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80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06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03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8" w:hRule="atLeast"/>
        </w:trPr>
        <w:tc>
          <w:tcPr>
            <w:tcW w:w="2697" w:type="dxa"/>
            <w:tcBorders>
              <w:top w:val="nil"/>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2.00</w:t>
            </w:r>
          </w:p>
        </w:tc>
        <w:tc>
          <w:tcPr>
            <w:tcW w:w="136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2.00</w:t>
            </w:r>
          </w:p>
        </w:tc>
        <w:tc>
          <w:tcPr>
            <w:tcW w:w="72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06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2.00</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85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2.00</w:t>
            </w:r>
          </w:p>
        </w:tc>
        <w:tc>
          <w:tcPr>
            <w:tcW w:w="133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06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2.00</w:t>
            </w:r>
          </w:p>
        </w:tc>
        <w:tc>
          <w:tcPr>
            <w:tcW w:w="8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106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2.00</w:t>
            </w:r>
          </w:p>
        </w:tc>
        <w:tc>
          <w:tcPr>
            <w:tcW w:w="103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615" w:hRule="atLeast"/>
        </w:trPr>
        <w:tc>
          <w:tcPr>
            <w:tcW w:w="13910" w:type="dxa"/>
            <w:gridSpan w:val="12"/>
            <w:tcBorders>
              <w:top w:val="nil"/>
              <w:left w:val="nil"/>
              <w:bottom w:val="nil"/>
              <w:right w:val="nil"/>
            </w:tcBorders>
            <w:shd w:val="clear" w:color="auto"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0"/>
                <w:szCs w:val="20"/>
              </w:rPr>
              <w:t>注：本表反映部门本年度财政拨款“三公”经费支出预决算情况。其中，预算数为“三公”经费全年预算数，反映按规定程序调整后的预算数；决算数是包括当年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2022年度部门决算情况说明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spacing w:line="590" w:lineRule="exact"/>
        <w:ind w:firstLine="640"/>
        <w:rPr>
          <w:rFonts w:eastAsia="Times New Roman"/>
          <w:sz w:val="32"/>
          <w:szCs w:val="24"/>
        </w:rPr>
      </w:pPr>
      <w:r>
        <w:rPr>
          <w:rFonts w:hint="eastAsia" w:ascii="黑体" w:hAnsi="黑体" w:eastAsia="黑体"/>
          <w:sz w:val="32"/>
          <w:szCs w:val="24"/>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sz w:val="32"/>
          <w:szCs w:val="24"/>
        </w:rPr>
        <w:t>2022年度收、支总计均为204.35万元。与上年度相比，收、支总计各增加48.81万元，增长31.38%。主要原因是</w:t>
      </w:r>
      <w:r>
        <w:rPr>
          <w:rFonts w:hint="eastAsia" w:ascii="仿宋_GB2312" w:hAnsi="仿宋_GB2312" w:eastAsia="仿宋_GB2312" w:cs="仿宋_GB2312"/>
          <w:sz w:val="32"/>
          <w:szCs w:val="32"/>
        </w:rPr>
        <w:t>我单位新增人员以及单位人员晋级晋档，津补贴上调。</w:t>
      </w:r>
    </w:p>
    <w:p>
      <w:pPr>
        <w:spacing w:line="590" w:lineRule="exact"/>
        <w:ind w:firstLine="640"/>
        <w:rPr>
          <w:rFonts w:eastAsia="Times New Roman"/>
          <w:sz w:val="32"/>
          <w:szCs w:val="24"/>
        </w:rPr>
      </w:pPr>
      <w:r>
        <w:rPr>
          <w:rFonts w:hint="eastAsia" w:ascii="黑体" w:hAnsi="黑体" w:eastAsia="黑体"/>
          <w:sz w:val="32"/>
          <w:szCs w:val="24"/>
        </w:rPr>
        <w:t>二、收入决算情况说明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2022年度收入合计204.35万元，其中：财政拨款收入204.35万元，占100.00%；上级补助收入0.00万元，占0.00%；事业收入0.00万元，占0.00%；经营收入0.00万元，占0.00%；附属单位上缴收入0.00万元，占0.00%；其他收入0.00万元，占0.00%。</w:t>
      </w:r>
    </w:p>
    <w:p>
      <w:pPr>
        <w:spacing w:line="590" w:lineRule="exact"/>
        <w:ind w:firstLine="640"/>
        <w:rPr>
          <w:rFonts w:eastAsia="Times New Roman"/>
          <w:sz w:val="32"/>
          <w:szCs w:val="24"/>
        </w:rPr>
      </w:pPr>
      <w:r>
        <w:rPr>
          <w:rFonts w:hint="eastAsia" w:ascii="黑体" w:hAnsi="黑体" w:eastAsia="黑体"/>
          <w:sz w:val="32"/>
          <w:szCs w:val="24"/>
        </w:rPr>
        <w:t>三、支出决算情况说明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2022年度支出合计204.35万元，其中：基本支出204.35万元，占100.00%；项目支出0.00万元，占0.00%；上缴上级支出0.00万元，占0.00%；经营支出0.00万元，占0.00%；对附属单位补助支出0.00万元，占0.00%。</w:t>
      </w:r>
    </w:p>
    <w:p>
      <w:pPr>
        <w:spacing w:line="590" w:lineRule="exact"/>
        <w:ind w:firstLine="640"/>
        <w:rPr>
          <w:rFonts w:eastAsia="Times New Roman"/>
          <w:sz w:val="32"/>
          <w:szCs w:val="24"/>
        </w:rPr>
      </w:pPr>
      <w:r>
        <w:rPr>
          <w:rFonts w:hint="eastAsia" w:ascii="黑体" w:hAnsi="黑体" w:eastAsia="黑体"/>
          <w:sz w:val="32"/>
          <w:szCs w:val="24"/>
        </w:rPr>
        <w:t>四、财政拨款收入支出决算总体情况说明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sz w:val="32"/>
          <w:szCs w:val="24"/>
        </w:rPr>
        <w:t>2022年度财政拨款收、支总计均为204.35万元。与上年度相比，财政拨款收、支总计各增加48.81万元，增长31.38%。主要原因是</w:t>
      </w:r>
      <w:r>
        <w:rPr>
          <w:rFonts w:hint="eastAsia" w:ascii="仿宋_GB2312" w:hAnsi="仿宋_GB2312" w:eastAsia="仿宋_GB2312" w:cs="仿宋_GB2312"/>
          <w:sz w:val="32"/>
          <w:szCs w:val="32"/>
        </w:rPr>
        <w:t>我单位新增人员以及单位人员晋级晋档，津补贴上调。</w:t>
      </w:r>
    </w:p>
    <w:p>
      <w:pPr>
        <w:spacing w:line="590" w:lineRule="exact"/>
        <w:ind w:firstLine="640"/>
        <w:rPr>
          <w:rFonts w:eastAsia="Times New Roman"/>
          <w:sz w:val="32"/>
          <w:szCs w:val="24"/>
        </w:rPr>
      </w:pPr>
      <w:r>
        <w:rPr>
          <w:rFonts w:hint="eastAsia" w:ascii="黑体" w:hAnsi="黑体" w:eastAsia="黑体"/>
          <w:sz w:val="32"/>
          <w:szCs w:val="24"/>
        </w:rPr>
        <w:t>五、一般公共预算财政拨款支出决算情况说明</w:t>
      </w:r>
    </w:p>
    <w:p>
      <w:pPr>
        <w:spacing w:line="590" w:lineRule="exact"/>
        <w:ind w:firstLine="640"/>
        <w:rPr>
          <w:rFonts w:hint="eastAsia" w:ascii="楷体_GB2312" w:hAnsi="楷体_GB2312" w:eastAsia="楷体_GB2312"/>
          <w:b/>
          <w:sz w:val="32"/>
          <w:szCs w:val="24"/>
        </w:rPr>
      </w:pPr>
      <w:r>
        <w:rPr>
          <w:rFonts w:hint="eastAsia" w:ascii="楷体_GB2312" w:hAnsi="楷体_GB2312" w:eastAsia="楷体_GB2312"/>
          <w:b/>
          <w:sz w:val="32"/>
          <w:szCs w:val="24"/>
        </w:rPr>
        <w:t>（一）总体情况。</w:t>
      </w:r>
    </w:p>
    <w:p>
      <w:pPr>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sz w:val="32"/>
          <w:szCs w:val="24"/>
        </w:rPr>
        <w:t>2022年度一般公共预算财政拨款支出204.35万元，占支出合计的100.00%。与上年度相比，一般公共预算财政拨款支出增加48.81万元，增长31.38%。主要原因是</w:t>
      </w:r>
      <w:r>
        <w:rPr>
          <w:rFonts w:hint="eastAsia" w:ascii="仿宋_GB2312" w:hAnsi="仿宋_GB2312" w:eastAsia="仿宋_GB2312" w:cs="仿宋_GB2312"/>
          <w:sz w:val="32"/>
          <w:szCs w:val="32"/>
        </w:rPr>
        <w:t>我单位新增人员以及单位人员晋级晋档，津补贴上调。</w:t>
      </w:r>
    </w:p>
    <w:p>
      <w:pPr>
        <w:widowControl/>
        <w:spacing w:line="590" w:lineRule="exact"/>
        <w:ind w:firstLine="642" w:firstLineChars="200"/>
        <w:rPr>
          <w:rFonts w:eastAsia="Times New Roman"/>
          <w:b/>
          <w:sz w:val="32"/>
          <w:szCs w:val="24"/>
        </w:rPr>
      </w:pPr>
      <w:r>
        <w:rPr>
          <w:rFonts w:hint="eastAsia" w:ascii="楷体_GB2312" w:hAnsi="楷体_GB2312" w:eastAsia="楷体_GB2312"/>
          <w:b/>
          <w:sz w:val="32"/>
          <w:szCs w:val="24"/>
        </w:rPr>
        <w:t>（二）结构情况。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sz w:val="32"/>
          <w:szCs w:val="24"/>
        </w:rPr>
        <w:t>2022年度一般公共预算财政拨款支出204.35万元，主要用于以下方面：一般公共服务（类）支出131.63万元，占64.41%；</w:t>
      </w:r>
      <w:r>
        <w:rPr>
          <w:rFonts w:hint="eastAsia" w:ascii="仿宋_GB2312" w:hAnsi="仿宋_GB2312" w:eastAsia="仿宋_GB2312" w:cs="仿宋_GB2312"/>
          <w:sz w:val="32"/>
          <w:szCs w:val="32"/>
        </w:rPr>
        <w:t>社会保障和就业（类）支出55.99万元，占27.40%；卫生健康（类）支出8.34万元，占4.08%；住房保障（类）支出8.39万元，</w:t>
      </w:r>
      <w:r>
        <w:rPr>
          <w:rFonts w:hint="eastAsia" w:ascii="仿宋_GB2312" w:hAnsi="仿宋_GB2312" w:eastAsia="仿宋_GB2312"/>
          <w:sz w:val="32"/>
          <w:szCs w:val="24"/>
        </w:rPr>
        <w:t>占4.11%</w:t>
      </w:r>
      <w:r>
        <w:rPr>
          <w:rFonts w:hint="eastAsia" w:ascii="仿宋_GB2312" w:hAnsi="仿宋_GB2312" w:eastAsia="仿宋_GB2312" w:cs="仿宋_GB2312"/>
          <w:sz w:val="32"/>
          <w:szCs w:val="32"/>
        </w:rPr>
        <w:t>。</w:t>
      </w:r>
    </w:p>
    <w:p>
      <w:pPr>
        <w:spacing w:line="590" w:lineRule="exact"/>
        <w:ind w:firstLine="642" w:firstLineChars="200"/>
        <w:rPr>
          <w:rFonts w:eastAsia="Times New Roman"/>
          <w:b/>
          <w:sz w:val="32"/>
          <w:szCs w:val="24"/>
        </w:rPr>
      </w:pPr>
      <w:r>
        <w:rPr>
          <w:rFonts w:hint="eastAsia" w:ascii="楷体_GB2312" w:hAnsi="楷体_GB2312" w:eastAsia="楷体_GB2312"/>
          <w:b/>
          <w:sz w:val="32"/>
          <w:szCs w:val="24"/>
        </w:rPr>
        <w:t>（三）具体情况。</w:t>
      </w:r>
    </w:p>
    <w:p>
      <w:pPr>
        <w:spacing w:line="590" w:lineRule="exact"/>
        <w:ind w:firstLine="640"/>
        <w:rPr>
          <w:rFonts w:hint="eastAsia" w:ascii="仿宋_GB2312" w:hAnsi="仿宋_GB2312" w:eastAsia="仿宋_GB2312"/>
          <w:sz w:val="32"/>
          <w:szCs w:val="24"/>
        </w:rPr>
      </w:pPr>
      <w:r>
        <w:rPr>
          <w:rFonts w:hint="eastAsia" w:ascii="仿宋_GB2312" w:hAnsi="仿宋_GB2312" w:eastAsia="仿宋_GB2312"/>
          <w:sz w:val="32"/>
          <w:szCs w:val="24"/>
        </w:rPr>
        <w:t>2022年度一般公共预算财政拨款支出年初预算为143.57万元，支出决算为204.35万元，完成年初预算的142.33%。其中：</w:t>
      </w:r>
    </w:p>
    <w:p>
      <w:p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1．一般公共服务支出（类）群众团体事务（款）行政运行（项）。</w:t>
      </w:r>
      <w:r>
        <w:rPr>
          <w:rFonts w:hint="eastAsia" w:ascii="仿宋_GB2312" w:hAnsi="仿宋_GB2312" w:eastAsia="仿宋_GB2312" w:cs="仿宋_GB2312"/>
          <w:sz w:val="32"/>
          <w:szCs w:val="32"/>
        </w:rPr>
        <w:t>年初预算为99.60万元，支出决算为128.45万元，完成年初预算的128.97%。决算数与年初预算数存在差异的</w:t>
      </w:r>
      <w:r>
        <w:rPr>
          <w:rFonts w:hint="eastAsia" w:ascii="仿宋_GB2312" w:hAnsi="仿宋_GB2312" w:eastAsia="仿宋_GB2312"/>
          <w:sz w:val="32"/>
          <w:szCs w:val="24"/>
        </w:rPr>
        <w:t>主要原因是单位新增人员及单位工资、各项津补贴的调标。</w:t>
      </w:r>
    </w:p>
    <w:p>
      <w:pPr>
        <w:widowControl/>
        <w:spacing w:line="590" w:lineRule="exact"/>
        <w:ind w:firstLine="642"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2．一般公共服务支出（类）群众团体事务（款）工会事务（项）。</w:t>
      </w:r>
      <w:r>
        <w:rPr>
          <w:rFonts w:hint="eastAsia" w:ascii="仿宋_GB2312" w:hAnsi="仿宋_GB2312" w:eastAsia="仿宋_GB2312" w:cs="仿宋_GB2312"/>
          <w:sz w:val="32"/>
          <w:szCs w:val="32"/>
        </w:rPr>
        <w:t>年初预算为0.50万元，支出决算为0.50万元，完成年初预算的100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%。决算数与年初预算数不存在差异。</w:t>
      </w:r>
    </w:p>
    <w:p>
      <w:pPr>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3．一般公共服务支出（类）其他一般公共服务支出（款）其他一般公共服务支出（项）。</w:t>
      </w:r>
      <w:r>
        <w:rPr>
          <w:rFonts w:hint="eastAsia" w:ascii="仿宋_GB2312" w:hAnsi="仿宋_GB2312" w:eastAsia="仿宋_GB2312" w:cs="仿宋_GB2312"/>
          <w:sz w:val="32"/>
          <w:szCs w:val="32"/>
        </w:rPr>
        <w:t>年初预算为0.00万元，支出决算为2.68万元，决算数与年初预算数存在差异的主要原因我单位按规定有序调整经费。</w:t>
      </w:r>
    </w:p>
    <w:p>
      <w:pPr>
        <w:widowControl/>
        <w:spacing w:line="590" w:lineRule="exact"/>
        <w:ind w:firstLine="642"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3．社会保障和就业支出（类）行政事业单位养老支出（款）行政单位离退休（项）。</w:t>
      </w:r>
      <w:r>
        <w:rPr>
          <w:rFonts w:hint="eastAsia" w:ascii="仿宋_GB2312" w:hAnsi="仿宋_GB2312" w:eastAsia="仿宋_GB2312" w:cs="仿宋_GB2312"/>
          <w:sz w:val="32"/>
          <w:szCs w:val="32"/>
        </w:rPr>
        <w:t>年初预算为25.63万元，支出决算为22.59万元，完成年初预算的88.13%。决算数与年初预算数存在差异的主要原因是单位退休人员减少。</w:t>
      </w:r>
    </w:p>
    <w:p>
      <w:pPr>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4．社会保障和就业支出（类）行政事业单位养老支出（款）机关事业单位基本养老保险缴费支出（项）。</w:t>
      </w:r>
      <w:r>
        <w:rPr>
          <w:rFonts w:hint="eastAsia" w:ascii="仿宋_GB2312" w:hAnsi="仿宋_GB2312" w:eastAsia="仿宋_GB2312" w:cs="仿宋_GB2312"/>
          <w:sz w:val="32"/>
          <w:szCs w:val="32"/>
        </w:rPr>
        <w:t>年初预算为6.21万元，支出决算为8.84万元，完成年初预算的142.35%。决算数与年初预算数存在差异的</w:t>
      </w:r>
      <w:r>
        <w:rPr>
          <w:rFonts w:hint="eastAsia" w:ascii="仿宋_GB2312" w:hAnsi="仿宋_GB2312" w:eastAsia="仿宋_GB2312"/>
          <w:sz w:val="32"/>
          <w:szCs w:val="24"/>
        </w:rPr>
        <w:t>主要原因是单位新增人员及单位各项津补贴的调标，</w:t>
      </w:r>
      <w:r>
        <w:rPr>
          <w:rFonts w:hint="eastAsia" w:ascii="仿宋_GB2312" w:hAnsi="仿宋_GB2312" w:eastAsia="仿宋_GB2312" w:cs="仿宋_GB2312"/>
          <w:sz w:val="32"/>
          <w:szCs w:val="32"/>
        </w:rPr>
        <w:t>社保基数调整。</w:t>
      </w:r>
    </w:p>
    <w:p>
      <w:p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5．社会保障和就业支出（类）抚恤（款）死亡抚恤（项）。</w:t>
      </w:r>
      <w:r>
        <w:rPr>
          <w:rFonts w:hint="eastAsia" w:ascii="仿宋_GB2312" w:hAnsi="仿宋_GB2312" w:eastAsia="仿宋_GB2312" w:cs="仿宋_GB2312"/>
          <w:sz w:val="32"/>
          <w:szCs w:val="32"/>
        </w:rPr>
        <w:t>年初预算为0.00万元，支出决算为24.57万元，决算数与年初预算数存在差异的</w:t>
      </w:r>
      <w:r>
        <w:rPr>
          <w:rFonts w:hint="eastAsia" w:ascii="仿宋_GB2312" w:hAnsi="仿宋_GB2312" w:eastAsia="仿宋_GB2312"/>
          <w:sz w:val="32"/>
          <w:szCs w:val="24"/>
        </w:rPr>
        <w:t>主要原因是单位退休人员自然减少。</w:t>
      </w:r>
    </w:p>
    <w:p>
      <w:pPr>
        <w:widowControl/>
        <w:spacing w:line="590" w:lineRule="exact"/>
        <w:ind w:firstLine="642"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6．卫生健康支出（类）行政事业单位医疗（款）行政单位医疗（项）。</w:t>
      </w:r>
      <w:r>
        <w:rPr>
          <w:rFonts w:hint="eastAsia" w:ascii="仿宋_GB2312" w:hAnsi="仿宋_GB2312" w:eastAsia="仿宋_GB2312" w:cs="仿宋_GB2312"/>
          <w:sz w:val="32"/>
          <w:szCs w:val="32"/>
        </w:rPr>
        <w:t>年初预算为3.01万元，支出决算为4.13万元，完成年初预算的137.67%。决算数与年初预算数存在差异的</w:t>
      </w:r>
      <w:r>
        <w:rPr>
          <w:rFonts w:hint="eastAsia" w:ascii="仿宋_GB2312" w:hAnsi="仿宋_GB2312" w:eastAsia="仿宋_GB2312"/>
          <w:sz w:val="32"/>
          <w:szCs w:val="24"/>
        </w:rPr>
        <w:t>主要原因是单位新增人员及单位各项津补贴的调标，</w:t>
      </w:r>
      <w:r>
        <w:rPr>
          <w:rFonts w:hint="eastAsia" w:ascii="仿宋_GB2312" w:hAnsi="仿宋_GB2312" w:eastAsia="仿宋_GB2312" w:cs="仿宋_GB2312"/>
          <w:sz w:val="32"/>
          <w:szCs w:val="32"/>
        </w:rPr>
        <w:t>社保基数调整。</w:t>
      </w:r>
    </w:p>
    <w:p>
      <w:pPr>
        <w:widowControl/>
        <w:spacing w:line="590" w:lineRule="exact"/>
        <w:ind w:firstLine="642"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7．卫生健康支出（类）行政事业单位医疗（款）公务员医疗补助（项）。</w:t>
      </w:r>
      <w:r>
        <w:rPr>
          <w:rFonts w:hint="eastAsia" w:ascii="仿宋_GB2312" w:hAnsi="仿宋_GB2312" w:eastAsia="仿宋_GB2312" w:cs="仿宋_GB2312"/>
          <w:sz w:val="32"/>
          <w:szCs w:val="32"/>
        </w:rPr>
        <w:t>年初预算为2.87万元，支出决算为4.21万元，完成年初预算的146.69%。决算数与年初预算数存在差异的主</w:t>
      </w:r>
      <w:r>
        <w:rPr>
          <w:rFonts w:hint="eastAsia" w:ascii="仿宋_GB2312" w:hAnsi="仿宋_GB2312" w:eastAsia="仿宋_GB2312"/>
          <w:sz w:val="32"/>
          <w:szCs w:val="24"/>
        </w:rPr>
        <w:t>要原因是单位新增人员及单位各项津补贴的调标，</w:t>
      </w:r>
      <w:r>
        <w:rPr>
          <w:rFonts w:hint="eastAsia" w:ascii="仿宋_GB2312" w:hAnsi="仿宋_GB2312" w:eastAsia="仿宋_GB2312" w:cs="仿宋_GB2312"/>
          <w:sz w:val="32"/>
          <w:szCs w:val="32"/>
        </w:rPr>
        <w:t>社保基数调整。</w:t>
      </w:r>
    </w:p>
    <w:p>
      <w:pPr>
        <w:widowControl/>
        <w:spacing w:line="590" w:lineRule="exact"/>
        <w:ind w:firstLine="642"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8．住房保障支出（类）住房改革支出（款）住房公积金（项）。</w:t>
      </w:r>
      <w:r>
        <w:rPr>
          <w:rFonts w:hint="eastAsia" w:ascii="仿宋_GB2312" w:hAnsi="仿宋_GB2312" w:eastAsia="仿宋_GB2312" w:cs="仿宋_GB2312"/>
          <w:sz w:val="32"/>
          <w:szCs w:val="32"/>
        </w:rPr>
        <w:t>年初预算为5.74万元，支出决算为8.39万元，完成年初预算的146.17%。决算数与年初预算数存在差异的</w:t>
      </w:r>
      <w:r>
        <w:rPr>
          <w:rFonts w:hint="eastAsia" w:ascii="仿宋_GB2312" w:hAnsi="仿宋_GB2312" w:eastAsia="仿宋_GB2312"/>
          <w:sz w:val="32"/>
          <w:szCs w:val="24"/>
        </w:rPr>
        <w:t>主要原因是单位新增人员及单位各项津补贴的调标，</w:t>
      </w:r>
      <w:r>
        <w:rPr>
          <w:rFonts w:hint="eastAsia" w:ascii="仿宋_GB2312" w:hAnsi="仿宋_GB2312" w:eastAsia="仿宋_GB2312" w:cs="仿宋_GB2312"/>
          <w:sz w:val="32"/>
          <w:szCs w:val="32"/>
        </w:rPr>
        <w:t>公积金基数调整。</w:t>
      </w:r>
    </w:p>
    <w:p>
      <w:pPr>
        <w:widowControl/>
        <w:spacing w:line="590" w:lineRule="exact"/>
        <w:ind w:firstLine="480" w:firstLineChars="150"/>
        <w:outlineLvl w:val="1"/>
        <w:rPr>
          <w:rFonts w:hint="eastAsia" w:ascii="黑体" w:hAnsi="黑体" w:eastAsia="黑体"/>
          <w:sz w:val="32"/>
          <w:szCs w:val="24"/>
        </w:rPr>
      </w:pPr>
      <w:r>
        <w:rPr>
          <w:rFonts w:hint="eastAsia" w:ascii="黑体" w:hAnsi="黑体" w:eastAsia="黑体"/>
          <w:sz w:val="32"/>
          <w:szCs w:val="24"/>
        </w:rPr>
        <w:t>六、一般公共预算财政拨款基本支出决算情况说明</w:t>
      </w:r>
    </w:p>
    <w:p>
      <w:pPr>
        <w:widowControl/>
        <w:spacing w:line="590" w:lineRule="exact"/>
        <w:ind w:firstLine="480" w:firstLineChars="150"/>
        <w:outlineLvl w:val="1"/>
        <w:rPr>
          <w:rFonts w:ascii="仿宋_GB2312" w:hAnsi="仿宋_GB2312" w:eastAsia="仿宋_GB2312"/>
          <w:sz w:val="32"/>
          <w:szCs w:val="24"/>
        </w:rPr>
      </w:pPr>
      <w:r>
        <w:rPr>
          <w:rFonts w:hint="eastAsia" w:ascii="仿宋_GB2312" w:hAnsi="仿宋_GB2312" w:eastAsia="仿宋_GB2312"/>
          <w:sz w:val="32"/>
          <w:szCs w:val="24"/>
        </w:rPr>
        <w:t>2022年度一般公共预算财政拨款基本支出204.35万元。其中：人员经费184.99万元，主要包括：基本工资、津贴补贴、</w:t>
      </w:r>
      <w:r>
        <w:rPr>
          <w:rFonts w:hint="eastAsia" w:ascii="仿宋_GB2312" w:hAnsi="仿宋_GB2312" w:eastAsia="仿宋_GB2312"/>
          <w:sz w:val="32"/>
          <w:szCs w:val="24"/>
          <w:lang w:eastAsia="zh-CN"/>
        </w:rPr>
        <w:t>奖金</w:t>
      </w:r>
      <w:r>
        <w:rPr>
          <w:rFonts w:hint="eastAsia" w:ascii="仿宋_GB2312" w:hAnsi="仿宋_GB2312" w:eastAsia="仿宋_GB2312"/>
          <w:sz w:val="32"/>
          <w:szCs w:val="24"/>
        </w:rPr>
        <w:t>、</w:t>
      </w:r>
      <w:r>
        <w:rPr>
          <w:rFonts w:hint="eastAsia" w:ascii="仿宋_GB2312" w:hAnsi="仿宋_GB2312" w:eastAsia="仿宋_GB2312" w:cs="仿宋_GB2312"/>
          <w:sz w:val="32"/>
          <w:szCs w:val="32"/>
        </w:rPr>
        <w:t>职工基本医疗保险缴费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公务员医疗补助缴费、</w:t>
      </w:r>
      <w:r>
        <w:rPr>
          <w:rFonts w:hint="eastAsia" w:ascii="仿宋_GB2312" w:hAnsi="仿宋_GB2312" w:eastAsia="仿宋_GB2312"/>
          <w:sz w:val="32"/>
          <w:szCs w:val="24"/>
        </w:rPr>
        <w:t>退休费、住房公积金、</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、抚恤金</w:t>
      </w:r>
      <w:r>
        <w:rPr>
          <w:rFonts w:hint="eastAsia" w:ascii="仿宋_GB2312" w:hAnsi="仿宋_GB2312" w:eastAsia="仿宋_GB2312"/>
          <w:sz w:val="32"/>
          <w:szCs w:val="24"/>
        </w:rPr>
        <w:t>；公用经费19.37万元，主要包括：办公费、印刷费、邮电费、差旅费、工会经费、福利费、公务用车运行维护费、其他交通费用、其他商品和服务支出。</w:t>
      </w:r>
    </w:p>
    <w:p>
      <w:pPr>
        <w:spacing w:line="590" w:lineRule="exact"/>
        <w:ind w:firstLine="640"/>
        <w:rPr>
          <w:rFonts w:eastAsia="Times New Roman"/>
          <w:sz w:val="32"/>
          <w:szCs w:val="24"/>
        </w:rPr>
      </w:pPr>
      <w:r>
        <w:rPr>
          <w:rFonts w:hint="eastAsia" w:ascii="黑体" w:hAnsi="黑体" w:eastAsia="黑体"/>
          <w:sz w:val="32"/>
          <w:szCs w:val="24"/>
        </w:rPr>
        <w:t>七、政府性基金预算财政拨款支出决算情况说明</w:t>
      </w:r>
    </w:p>
    <w:p>
      <w:p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2022年度政府性基金预算财政拨款支出年初预算为0.00万元，支出决算为0.00万元。我部门2022年度没有政府性基金收入，也没有使用政府性基金安排的支出。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八、国有资本</w:t>
      </w:r>
      <w:r>
        <w:rPr>
          <w:rFonts w:ascii="黑体" w:hAnsi="黑体" w:eastAsia="黑体" w:cs="黑体"/>
          <w:sz w:val="32"/>
          <w:szCs w:val="32"/>
        </w:rPr>
        <w:t>经营</w:t>
      </w:r>
      <w:r>
        <w:rPr>
          <w:rFonts w:hint="eastAsia" w:ascii="黑体" w:hAnsi="黑体" w:eastAsia="黑体" w:cs="黑体"/>
          <w:sz w:val="32"/>
          <w:szCs w:val="32"/>
        </w:rPr>
        <w:t>预算财政拨款支出决算情况说明</w:t>
      </w:r>
    </w:p>
    <w:p>
      <w:pPr>
        <w:spacing w:line="59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年度国有资本</w:t>
      </w:r>
      <w:r>
        <w:rPr>
          <w:rFonts w:ascii="仿宋_GB2312" w:hAnsi="仿宋_GB2312" w:eastAsia="仿宋_GB2312" w:cs="仿宋_GB2312"/>
          <w:sz w:val="32"/>
          <w:szCs w:val="32"/>
        </w:rPr>
        <w:t>经营</w:t>
      </w:r>
      <w:r>
        <w:rPr>
          <w:rFonts w:hint="eastAsia" w:ascii="仿宋_GB2312" w:hAnsi="仿宋_GB2312" w:eastAsia="仿宋_GB2312" w:cs="仿宋_GB2312"/>
          <w:sz w:val="32"/>
          <w:szCs w:val="32"/>
        </w:rPr>
        <w:t>预算财政拨款支出年初预算为0.00万元，支出决算为0.00万元。我部门2022年度没有国有资本经营收入，也没有使用国有资本经营安排的支出。</w:t>
      </w:r>
    </w:p>
    <w:p>
      <w:pPr>
        <w:spacing w:line="590" w:lineRule="exact"/>
        <w:ind w:firstLine="640"/>
        <w:rPr>
          <w:rFonts w:eastAsia="Times New Roman"/>
          <w:sz w:val="32"/>
          <w:szCs w:val="24"/>
        </w:rPr>
      </w:pPr>
      <w:r>
        <w:rPr>
          <w:rFonts w:hint="eastAsia" w:ascii="黑体" w:hAnsi="黑体" w:eastAsia="黑体"/>
          <w:sz w:val="32"/>
          <w:szCs w:val="24"/>
        </w:rPr>
        <w:t>九、一般公共预算财政拨款</w:t>
      </w:r>
      <w:r>
        <w:rPr>
          <w:rFonts w:eastAsia="Times New Roman"/>
          <w:sz w:val="32"/>
          <w:szCs w:val="24"/>
        </w:rPr>
        <w:t>“</w:t>
      </w:r>
      <w:r>
        <w:rPr>
          <w:rFonts w:hint="eastAsia" w:ascii="黑体" w:hAnsi="黑体" w:eastAsia="黑体"/>
          <w:sz w:val="32"/>
          <w:szCs w:val="24"/>
        </w:rPr>
        <w:t>三公</w:t>
      </w:r>
      <w:r>
        <w:rPr>
          <w:rFonts w:eastAsia="Times New Roman"/>
          <w:sz w:val="32"/>
          <w:szCs w:val="24"/>
        </w:rPr>
        <w:t>”</w:t>
      </w:r>
      <w:r>
        <w:rPr>
          <w:rFonts w:hint="eastAsia" w:ascii="黑体" w:hAnsi="黑体" w:eastAsia="黑体"/>
          <w:sz w:val="32"/>
          <w:szCs w:val="24"/>
        </w:rPr>
        <w:t>经费支出决算情况说明</w:t>
      </w:r>
    </w:p>
    <w:p>
      <w:pPr>
        <w:spacing w:line="590" w:lineRule="exact"/>
        <w:ind w:firstLine="640"/>
        <w:rPr>
          <w:rFonts w:hint="eastAsia" w:ascii="楷体_GB2312" w:hAnsi="楷体_GB2312" w:eastAsia="楷体_GB2312"/>
          <w:b/>
          <w:sz w:val="32"/>
          <w:szCs w:val="24"/>
        </w:rPr>
      </w:pPr>
      <w:r>
        <w:rPr>
          <w:rFonts w:hint="eastAsia" w:ascii="楷体_GB2312" w:hAnsi="楷体_GB2312" w:eastAsia="楷体_GB2312"/>
          <w:b/>
          <w:sz w:val="32"/>
          <w:szCs w:val="24"/>
        </w:rPr>
        <w:t>（一）</w:t>
      </w:r>
      <w:r>
        <w:rPr>
          <w:rFonts w:eastAsia="Times New Roman"/>
          <w:b/>
          <w:sz w:val="32"/>
          <w:szCs w:val="24"/>
        </w:rPr>
        <w:t>“</w:t>
      </w:r>
      <w:r>
        <w:rPr>
          <w:rFonts w:hint="eastAsia" w:ascii="楷体_GB2312" w:hAnsi="楷体_GB2312" w:eastAsia="楷体_GB2312"/>
          <w:b/>
          <w:sz w:val="32"/>
          <w:szCs w:val="24"/>
        </w:rPr>
        <w:t>三公</w:t>
      </w:r>
      <w:r>
        <w:rPr>
          <w:rFonts w:eastAsia="Times New Roman"/>
          <w:b/>
          <w:sz w:val="32"/>
          <w:szCs w:val="24"/>
        </w:rPr>
        <w:t>”</w:t>
      </w:r>
      <w:r>
        <w:rPr>
          <w:rFonts w:hint="eastAsia" w:ascii="楷体_GB2312" w:hAnsi="楷体_GB2312" w:eastAsia="楷体_GB2312"/>
          <w:b/>
          <w:sz w:val="32"/>
          <w:szCs w:val="24"/>
        </w:rPr>
        <w:t>经费财政拨款支出决算总体情况说明。</w:t>
      </w:r>
    </w:p>
    <w:p>
      <w:pPr>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sz w:val="32"/>
          <w:szCs w:val="24"/>
        </w:rPr>
        <w:t>2022年度</w:t>
      </w:r>
      <w:r>
        <w:rPr>
          <w:rFonts w:eastAsia="Times New Roman"/>
          <w:sz w:val="32"/>
          <w:szCs w:val="24"/>
        </w:rPr>
        <w:t>“</w:t>
      </w:r>
      <w:r>
        <w:rPr>
          <w:rFonts w:hint="eastAsia" w:ascii="仿宋_GB2312" w:hAnsi="仿宋_GB2312" w:eastAsia="仿宋_GB2312"/>
          <w:sz w:val="32"/>
          <w:szCs w:val="24"/>
        </w:rPr>
        <w:t>三公</w:t>
      </w:r>
      <w:r>
        <w:rPr>
          <w:rFonts w:eastAsia="Times New Roman"/>
          <w:sz w:val="32"/>
          <w:szCs w:val="24"/>
        </w:rPr>
        <w:t>”</w:t>
      </w:r>
      <w:r>
        <w:rPr>
          <w:rFonts w:hint="eastAsia" w:ascii="仿宋_GB2312" w:hAnsi="仿宋_GB2312" w:eastAsia="仿宋_GB2312"/>
          <w:sz w:val="32"/>
          <w:szCs w:val="24"/>
        </w:rPr>
        <w:t>经费财政拨款支出预算为2.00万元，支出决算为2.00万元，完成预算的100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rPr>
        <w:t>%。2022年度</w:t>
      </w:r>
      <w:r>
        <w:rPr>
          <w:rFonts w:eastAsia="Times New Roman"/>
          <w:sz w:val="32"/>
          <w:szCs w:val="24"/>
        </w:rPr>
        <w:t>“</w:t>
      </w:r>
      <w:r>
        <w:rPr>
          <w:rFonts w:hint="eastAsia" w:ascii="仿宋_GB2312" w:hAnsi="仿宋_GB2312" w:eastAsia="仿宋_GB2312"/>
          <w:sz w:val="32"/>
          <w:szCs w:val="24"/>
        </w:rPr>
        <w:t>三公</w:t>
      </w:r>
      <w:r>
        <w:rPr>
          <w:rFonts w:eastAsia="Times New Roman"/>
          <w:sz w:val="32"/>
          <w:szCs w:val="24"/>
        </w:rPr>
        <w:t>”</w:t>
      </w:r>
      <w:r>
        <w:rPr>
          <w:rFonts w:hint="eastAsia" w:ascii="仿宋_GB2312" w:hAnsi="仿宋_GB2312" w:eastAsia="仿宋_GB2312"/>
          <w:sz w:val="32"/>
          <w:szCs w:val="24"/>
        </w:rPr>
        <w:t>经费支出决算数与预算数不存在差异</w:t>
      </w:r>
      <w:r>
        <w:rPr>
          <w:rFonts w:hint="eastAsia" w:ascii="仿宋_GB2312" w:hAnsi="仿宋_GB2312" w:eastAsia="仿宋_GB2312" w:cs="仿宋_GB2312"/>
          <w:sz w:val="32"/>
          <w:szCs w:val="32"/>
        </w:rPr>
        <w:t>。</w:t>
      </w:r>
    </w:p>
    <w:p>
      <w:pPr>
        <w:spacing w:line="590" w:lineRule="exact"/>
        <w:ind w:firstLine="640"/>
        <w:rPr>
          <w:rFonts w:hint="eastAsia" w:ascii="楷体_GB2312" w:hAnsi="楷体_GB2312" w:eastAsia="楷体_GB2312"/>
          <w:b/>
          <w:sz w:val="32"/>
          <w:szCs w:val="24"/>
        </w:rPr>
      </w:pPr>
      <w:r>
        <w:rPr>
          <w:rFonts w:hint="eastAsia" w:ascii="楷体_GB2312" w:hAnsi="楷体_GB2312" w:eastAsia="楷体_GB2312"/>
          <w:b/>
          <w:sz w:val="32"/>
          <w:szCs w:val="24"/>
        </w:rPr>
        <w:t>（二）</w:t>
      </w:r>
      <w:r>
        <w:rPr>
          <w:rFonts w:eastAsia="Times New Roman"/>
          <w:b/>
          <w:sz w:val="32"/>
          <w:szCs w:val="24"/>
        </w:rPr>
        <w:t>“</w:t>
      </w:r>
      <w:r>
        <w:rPr>
          <w:rFonts w:hint="eastAsia" w:ascii="楷体_GB2312" w:hAnsi="楷体_GB2312" w:eastAsia="楷体_GB2312"/>
          <w:b/>
          <w:sz w:val="32"/>
          <w:szCs w:val="24"/>
        </w:rPr>
        <w:t>三公</w:t>
      </w:r>
      <w:r>
        <w:rPr>
          <w:rFonts w:eastAsia="Times New Roman"/>
          <w:b/>
          <w:sz w:val="32"/>
          <w:szCs w:val="24"/>
        </w:rPr>
        <w:t>”</w:t>
      </w:r>
      <w:r>
        <w:rPr>
          <w:rFonts w:hint="eastAsia" w:ascii="楷体_GB2312" w:hAnsi="楷体_GB2312" w:eastAsia="楷体_GB2312"/>
          <w:b/>
          <w:sz w:val="32"/>
          <w:szCs w:val="24"/>
        </w:rPr>
        <w:t>经费财政拨款支出决算具体情况说明。</w:t>
      </w:r>
    </w:p>
    <w:p>
      <w:pPr>
        <w:spacing w:line="590" w:lineRule="exact"/>
        <w:ind w:firstLine="640"/>
        <w:rPr>
          <w:rFonts w:eastAsia="Times New Roman"/>
          <w:kern w:val="0"/>
          <w:sz w:val="18"/>
          <w:szCs w:val="24"/>
        </w:rPr>
      </w:pPr>
      <w:r>
        <w:rPr>
          <w:rFonts w:hint="eastAsia" w:ascii="仿宋_GB2312" w:hAnsi="仿宋_GB2312" w:eastAsia="仿宋_GB2312"/>
          <w:sz w:val="32"/>
          <w:szCs w:val="24"/>
        </w:rPr>
        <w:t>2022年度</w:t>
      </w:r>
      <w:r>
        <w:rPr>
          <w:rFonts w:eastAsia="Times New Roman"/>
          <w:sz w:val="32"/>
          <w:szCs w:val="24"/>
        </w:rPr>
        <w:t>“</w:t>
      </w:r>
      <w:r>
        <w:rPr>
          <w:rFonts w:hint="eastAsia" w:ascii="仿宋_GB2312" w:hAnsi="仿宋_GB2312" w:eastAsia="仿宋_GB2312"/>
          <w:sz w:val="32"/>
          <w:szCs w:val="24"/>
        </w:rPr>
        <w:t>三公</w:t>
      </w:r>
      <w:r>
        <w:rPr>
          <w:rFonts w:eastAsia="Times New Roman"/>
          <w:sz w:val="32"/>
          <w:szCs w:val="24"/>
        </w:rPr>
        <w:t>”</w:t>
      </w:r>
      <w:r>
        <w:rPr>
          <w:rFonts w:hint="eastAsia" w:ascii="仿宋_GB2312" w:hAnsi="仿宋_GB2312" w:eastAsia="仿宋_GB2312"/>
          <w:sz w:val="32"/>
          <w:szCs w:val="24"/>
        </w:rPr>
        <w:t>经费财政拨款支出决算中，因公出国（境）费支出决算0.00万元，完成预算的0.00%，占0.00%；公务用车购置及运行费支出决算2.00万元，完成预算的100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rPr>
        <w:t>%，占100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rPr>
        <w:t>%；公务接待费支出决算0.00万元，完成预算的0.00%，占0.00%；具体情况如下：</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b/>
          <w:sz w:val="32"/>
          <w:szCs w:val="24"/>
        </w:rPr>
        <w:t>因公出国（境）费</w:t>
      </w:r>
      <w:r>
        <w:rPr>
          <w:rFonts w:hint="eastAsia" w:ascii="仿宋_GB2312" w:hAnsi="仿宋_GB2312" w:eastAsia="仿宋_GB2312"/>
          <w:sz w:val="32"/>
          <w:szCs w:val="24"/>
        </w:rPr>
        <w:t>预算为0.00万元，支出决算为0.00万元。决算数与预算数不存在差异</w:t>
      </w:r>
      <w:r>
        <w:rPr>
          <w:rFonts w:hint="eastAsia" w:ascii="仿宋_GB2312" w:hAnsi="仿宋_GB2312" w:eastAsia="仿宋_GB2312" w:cs="仿宋_GB2312"/>
          <w:sz w:val="32"/>
          <w:szCs w:val="32"/>
        </w:rPr>
        <w:t>。全年因公出国（境）组团0个，累计0人次。</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b/>
          <w:sz w:val="32"/>
          <w:szCs w:val="24"/>
        </w:rPr>
        <w:t>2．公务用车购置及运行费</w:t>
      </w:r>
      <w:r>
        <w:rPr>
          <w:rFonts w:hint="eastAsia" w:ascii="仿宋_GB2312" w:hAnsi="仿宋_GB2312" w:eastAsia="仿宋_GB2312"/>
          <w:sz w:val="32"/>
          <w:szCs w:val="24"/>
        </w:rPr>
        <w:t>预算为2.00万元，支出决算为2.00万元，完成预算的100.00%，决算数与年初预算数不存在差异。</w:t>
      </w:r>
      <w:r>
        <w:rPr>
          <w:rFonts w:hint="eastAsia" w:ascii="仿宋_GB2312" w:hAnsi="仿宋_GB2312" w:eastAsia="仿宋_GB2312" w:cs="仿宋_GB2312"/>
          <w:sz w:val="32"/>
          <w:szCs w:val="32"/>
        </w:rPr>
        <w:t>其中：</w:t>
      </w:r>
    </w:p>
    <w:p>
      <w:pPr>
        <w:spacing w:line="590" w:lineRule="exact"/>
        <w:ind w:firstLine="640"/>
        <w:rPr>
          <w:rFonts w:ascii="仿宋_GB2312" w:hAnsi="仿宋_GB2312" w:eastAsia="仿宋_GB2312"/>
          <w:sz w:val="32"/>
          <w:szCs w:val="24"/>
        </w:rPr>
      </w:pPr>
      <w:r>
        <w:rPr>
          <w:rFonts w:hint="eastAsia" w:ascii="仿宋_GB2312" w:hAnsi="仿宋_GB2312" w:eastAsia="仿宋_GB2312"/>
          <w:b/>
          <w:sz w:val="32"/>
          <w:szCs w:val="24"/>
        </w:rPr>
        <w:t>公务用车购置支出</w:t>
      </w:r>
      <w:r>
        <w:rPr>
          <w:rFonts w:hint="eastAsia" w:ascii="仿宋_GB2312" w:hAnsi="仿宋_GB2312" w:eastAsia="仿宋_GB2312"/>
          <w:sz w:val="32"/>
          <w:szCs w:val="24"/>
        </w:rPr>
        <w:t>0.00万元，购置车辆0台。</w:t>
      </w:r>
    </w:p>
    <w:p>
      <w:pPr>
        <w:widowControl/>
        <w:spacing w:line="590" w:lineRule="exact"/>
        <w:ind w:firstLine="642" w:firstLineChars="200"/>
        <w:rPr>
          <w:rFonts w:eastAsia="Times New Roman"/>
          <w:kern w:val="0"/>
          <w:sz w:val="18"/>
          <w:szCs w:val="24"/>
          <w:lang w:val="zh-CN"/>
        </w:rPr>
      </w:pPr>
      <w:r>
        <w:rPr>
          <w:rFonts w:hint="eastAsia" w:ascii="仿宋_GB2312" w:hAnsi="仿宋_GB2312" w:eastAsia="仿宋_GB2312"/>
          <w:b/>
          <w:sz w:val="32"/>
          <w:szCs w:val="24"/>
        </w:rPr>
        <w:t>公务用车运行支出</w:t>
      </w:r>
      <w:r>
        <w:rPr>
          <w:rFonts w:hint="eastAsia" w:ascii="仿宋_GB2312" w:hAnsi="仿宋_GB2312" w:eastAsia="仿宋_GB2312"/>
          <w:sz w:val="32"/>
          <w:szCs w:val="24"/>
        </w:rPr>
        <w:t>2.00万元。</w:t>
      </w:r>
      <w:r>
        <w:rPr>
          <w:rFonts w:hint="eastAsia" w:ascii="仿宋_GB2312" w:hAnsi="仿宋_GB2312" w:eastAsia="仿宋_GB2312" w:cs="仿宋_GB2312"/>
          <w:sz w:val="32"/>
          <w:szCs w:val="32"/>
        </w:rPr>
        <w:t>主要用于公车修理，路桥费和保险费油耗支出。</w:t>
      </w:r>
      <w:r>
        <w:rPr>
          <w:rFonts w:hint="eastAsia" w:ascii="仿宋_GB2312" w:hAnsi="仿宋_GB2312" w:eastAsia="仿宋_GB2312"/>
          <w:sz w:val="32"/>
          <w:szCs w:val="24"/>
        </w:rPr>
        <w:t>2022年期末，</w:t>
      </w:r>
      <w:r>
        <w:rPr>
          <w:rFonts w:hint="eastAsia" w:ascii="仿宋_GB2312" w:hAnsi="仿宋_GB2312" w:eastAsia="仿宋_GB2312"/>
          <w:sz w:val="32"/>
          <w:szCs w:val="24"/>
          <w:lang w:eastAsia="zh-CN"/>
        </w:rPr>
        <w:t>部门</w:t>
      </w:r>
      <w:r>
        <w:rPr>
          <w:rFonts w:hint="eastAsia" w:ascii="仿宋_GB2312" w:hAnsi="仿宋_GB2312" w:eastAsia="仿宋_GB2312"/>
          <w:sz w:val="32"/>
          <w:szCs w:val="24"/>
        </w:rPr>
        <w:t>开支财政拨款的公务用车保有量为1</w:t>
      </w:r>
      <w:r>
        <w:rPr>
          <w:rFonts w:hint="eastAsia" w:ascii="仿宋_GB2312" w:hAnsi="仿宋_GB2312" w:eastAsia="仿宋_GB2312"/>
          <w:sz w:val="32"/>
          <w:szCs w:val="24"/>
          <w:lang w:eastAsia="zh-CN"/>
        </w:rPr>
        <w:t>辆</w:t>
      </w:r>
      <w:r>
        <w:rPr>
          <w:rFonts w:hint="eastAsia" w:ascii="仿宋_GB2312" w:hAnsi="仿宋_GB2312" w:eastAsia="仿宋_GB2312"/>
          <w:sz w:val="32"/>
          <w:szCs w:val="24"/>
        </w:rPr>
        <w:t>。</w:t>
      </w:r>
    </w:p>
    <w:p>
      <w:pPr>
        <w:spacing w:line="590" w:lineRule="exact"/>
        <w:ind w:firstLine="640"/>
        <w:rPr>
          <w:rFonts w:eastAsia="Times New Roman"/>
          <w:sz w:val="32"/>
          <w:szCs w:val="24"/>
        </w:rPr>
      </w:pPr>
      <w:r>
        <w:rPr>
          <w:rFonts w:hint="eastAsia" w:ascii="仿宋_GB2312" w:hAnsi="仿宋_GB2312" w:eastAsia="仿宋_GB2312"/>
          <w:b/>
          <w:sz w:val="32"/>
          <w:szCs w:val="24"/>
        </w:rPr>
        <w:t>3.公务接待费</w:t>
      </w:r>
      <w:r>
        <w:rPr>
          <w:rFonts w:hint="eastAsia" w:ascii="仿宋_GB2312" w:hAnsi="仿宋_GB2312" w:eastAsia="仿宋_GB2312"/>
          <w:sz w:val="32"/>
          <w:szCs w:val="24"/>
        </w:rPr>
        <w:t>预算为0.00万元，支出决算为0.00万元。决算数与年初预算数不存在差异。其中：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0.00万元。2022年共接待国（境）外来访团组0个、来访外宾0人次（不包括陪同人员）。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0.00万元。2022年共接待国内来访团组0个、来宾0人次（不包括陪同人员）。</w:t>
      </w:r>
    </w:p>
    <w:p>
      <w:pPr>
        <w:spacing w:line="590" w:lineRule="exact"/>
        <w:ind w:firstLine="640"/>
        <w:rPr>
          <w:rFonts w:eastAsia="Times New Roman"/>
          <w:sz w:val="32"/>
          <w:szCs w:val="24"/>
        </w:rPr>
      </w:pPr>
      <w:r>
        <w:rPr>
          <w:rFonts w:hint="eastAsia" w:ascii="黑体" w:hAnsi="黑体" w:eastAsia="黑体"/>
          <w:sz w:val="32"/>
          <w:szCs w:val="24"/>
        </w:rPr>
        <w:t>十、机关运行经费支出情况说明</w:t>
      </w:r>
    </w:p>
    <w:p>
      <w:pPr>
        <w:spacing w:line="590" w:lineRule="exact"/>
        <w:ind w:firstLine="640"/>
        <w:rPr>
          <w:rFonts w:ascii="仿宋_GB2312" w:hAnsi="仿宋_GB2312" w:eastAsia="仿宋_GB2312"/>
          <w:sz w:val="32"/>
          <w:szCs w:val="24"/>
        </w:rPr>
      </w:pPr>
      <w:r>
        <w:rPr>
          <w:rFonts w:hint="eastAsia" w:ascii="仿宋_GB2312" w:hAnsi="仿宋_GB2312" w:eastAsia="仿宋_GB2312"/>
          <w:sz w:val="32"/>
          <w:szCs w:val="24"/>
        </w:rPr>
        <w:t>2022年度机关运行经费年初预算为20.10万元，支出决算为19.37万元，完成年初预算的96.37%。</w:t>
      </w:r>
    </w:p>
    <w:p>
      <w:pPr>
        <w:spacing w:line="590" w:lineRule="exact"/>
        <w:ind w:firstLine="640"/>
        <w:rPr>
          <w:rFonts w:eastAsia="Times New Roman"/>
          <w:sz w:val="32"/>
          <w:szCs w:val="24"/>
        </w:rPr>
      </w:pPr>
      <w:r>
        <w:rPr>
          <w:rFonts w:hint="eastAsia" w:ascii="黑体" w:hAnsi="黑体" w:eastAsia="黑体"/>
          <w:sz w:val="32"/>
          <w:szCs w:val="24"/>
        </w:rPr>
        <w:t>十一、政府采购支出情况说明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2022年度政府采购支出总额</w:t>
      </w:r>
      <w:r>
        <w:rPr>
          <w:rFonts w:hint="eastAsia" w:ascii="仿宋_GB2312" w:hAnsi="仿宋_GB2312" w:eastAsia="仿宋_GB2312" w:cs="仿宋_GB2312"/>
          <w:color w:val="000000"/>
          <w:sz w:val="32"/>
          <w:szCs w:val="32"/>
        </w:rPr>
        <w:t>0.00</w:t>
      </w:r>
      <w:r>
        <w:rPr>
          <w:rFonts w:hint="eastAsia" w:ascii="仿宋_GB2312" w:hAnsi="仿宋_GB2312" w:eastAsia="仿宋_GB2312"/>
          <w:sz w:val="32"/>
          <w:szCs w:val="24"/>
        </w:rPr>
        <w:t>万元，其中：政府采购货物支出</w:t>
      </w:r>
      <w:r>
        <w:rPr>
          <w:rFonts w:hint="eastAsia" w:ascii="仿宋_GB2312" w:hAnsi="仿宋_GB2312" w:eastAsia="仿宋_GB2312" w:cs="仿宋_GB2312"/>
          <w:color w:val="000000"/>
          <w:sz w:val="32"/>
          <w:szCs w:val="32"/>
        </w:rPr>
        <w:t>0.00</w:t>
      </w:r>
      <w:r>
        <w:rPr>
          <w:rFonts w:hint="eastAsia" w:ascii="仿宋_GB2312" w:hAnsi="仿宋_GB2312" w:eastAsia="仿宋_GB2312"/>
          <w:sz w:val="32"/>
          <w:szCs w:val="24"/>
        </w:rPr>
        <w:t>万元、政府采购工程支出</w:t>
      </w:r>
      <w:r>
        <w:rPr>
          <w:rFonts w:hint="eastAsia" w:ascii="仿宋_GB2312" w:hAnsi="仿宋_GB2312" w:eastAsia="仿宋_GB2312" w:cs="仿宋_GB2312"/>
          <w:color w:val="000000"/>
          <w:sz w:val="32"/>
          <w:szCs w:val="32"/>
        </w:rPr>
        <w:t>0.00</w:t>
      </w:r>
      <w:r>
        <w:rPr>
          <w:rFonts w:hint="eastAsia" w:ascii="仿宋_GB2312" w:hAnsi="仿宋_GB2312" w:eastAsia="仿宋_GB2312"/>
          <w:sz w:val="32"/>
          <w:szCs w:val="24"/>
        </w:rPr>
        <w:t>万元、政府采购服务支出</w:t>
      </w:r>
      <w:r>
        <w:rPr>
          <w:rFonts w:hint="eastAsia" w:ascii="仿宋_GB2312" w:hAnsi="仿宋_GB2312" w:eastAsia="仿宋_GB2312" w:cs="仿宋_GB2312"/>
          <w:color w:val="000000"/>
          <w:sz w:val="32"/>
          <w:szCs w:val="32"/>
        </w:rPr>
        <w:t>0.0</w:t>
      </w:r>
      <w:r>
        <w:rPr>
          <w:rFonts w:hint="eastAsia" w:ascii="仿宋_GB2312" w:hAnsi="仿宋_GB2312" w:eastAsia="仿宋_GB2312"/>
          <w:sz w:val="32"/>
          <w:szCs w:val="24"/>
        </w:rPr>
        <w:t>0万元。授予中小企业合同金额</w:t>
      </w:r>
      <w:r>
        <w:rPr>
          <w:rFonts w:hint="eastAsia" w:ascii="仿宋_GB2312" w:hAnsi="仿宋_GB2312" w:eastAsia="仿宋_GB2312" w:cs="仿宋_GB2312"/>
          <w:color w:val="000000"/>
          <w:sz w:val="32"/>
          <w:szCs w:val="32"/>
        </w:rPr>
        <w:t>0.00</w:t>
      </w:r>
      <w:r>
        <w:rPr>
          <w:rFonts w:hint="eastAsia" w:ascii="仿宋_GB2312" w:hAnsi="仿宋_GB2312" w:eastAsia="仿宋_GB2312"/>
          <w:sz w:val="32"/>
          <w:szCs w:val="24"/>
        </w:rPr>
        <w:t>万元,其中：授予小微企业合同金额</w:t>
      </w:r>
      <w:r>
        <w:rPr>
          <w:rFonts w:hint="eastAsia" w:ascii="仿宋_GB2312" w:hAnsi="仿宋_GB2312" w:eastAsia="仿宋_GB2312" w:cs="仿宋_GB2312"/>
          <w:color w:val="000000"/>
          <w:sz w:val="32"/>
          <w:szCs w:val="32"/>
        </w:rPr>
        <w:t>0.00</w:t>
      </w:r>
      <w:r>
        <w:rPr>
          <w:rFonts w:hint="eastAsia" w:ascii="仿宋_GB2312" w:hAnsi="仿宋_GB2312" w:eastAsia="仿宋_GB2312"/>
          <w:sz w:val="32"/>
          <w:szCs w:val="24"/>
        </w:rPr>
        <w:t>万元。</w:t>
      </w:r>
    </w:p>
    <w:p>
      <w:pPr>
        <w:spacing w:line="590" w:lineRule="exact"/>
        <w:ind w:firstLine="640"/>
        <w:rPr>
          <w:rFonts w:eastAsia="Times New Roman"/>
          <w:sz w:val="32"/>
          <w:szCs w:val="24"/>
        </w:rPr>
      </w:pPr>
      <w:r>
        <w:rPr>
          <w:rFonts w:hint="eastAsia" w:ascii="黑体" w:hAnsi="黑体" w:eastAsia="黑体"/>
          <w:sz w:val="32"/>
          <w:szCs w:val="24"/>
        </w:rPr>
        <w:t>十二、国有资产占用情况说明</w:t>
      </w:r>
    </w:p>
    <w:p>
      <w:pPr>
        <w:spacing w:line="590" w:lineRule="exact"/>
        <w:ind w:firstLine="640"/>
        <w:rPr>
          <w:rFonts w:ascii="仿宋_GB2312" w:hAnsi="仿宋_GB2312" w:eastAsia="仿宋_GB2312" w:cs="仿宋_GB2312"/>
          <w:sz w:val="32"/>
          <w:szCs w:val="32"/>
        </w:rPr>
      </w:pPr>
      <w:r>
        <w:rPr>
          <w:rFonts w:hint="eastAsia" w:ascii="仿宋_GB2312" w:hAnsi="仿宋_GB2312" w:eastAsia="仿宋_GB2312"/>
          <w:sz w:val="32"/>
          <w:szCs w:val="24"/>
        </w:rPr>
        <w:t>2022年期末，我单位共有车辆1辆，其中：省级领导干部用车0辆、主要领导干部用车0辆、机要通信用车1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十三、预算绩效情况说明</w:t>
      </w:r>
    </w:p>
    <w:p>
      <w:pPr>
        <w:widowControl/>
        <w:spacing w:line="590" w:lineRule="exact"/>
        <w:ind w:firstLine="642" w:firstLineChars="200"/>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我部门按照《中共许昌市委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许昌市人民政府关于全面实施预算绩效管理的实施意见》（许发〔2021〕13号）文件要求，对本部门整体支出和项目支出开展全过程预算绩效管理。</w:t>
      </w:r>
      <w:r>
        <w:rPr>
          <w:rFonts w:hint="eastAsia" w:ascii="仿宋_GB2312" w:hAnsi="仿宋_GB2312" w:eastAsia="仿宋_GB2312" w:cs="仿宋_GB2312"/>
          <w:color w:val="000000"/>
          <w:sz w:val="32"/>
          <w:szCs w:val="32"/>
        </w:rPr>
        <w:t>2022年纳入预算绩效管理的支出总额204.35万元，其中：基本支出204.35万元，项目支出0.00万元，支出项目0个。</w:t>
      </w:r>
    </w:p>
    <w:p>
      <w:pPr>
        <w:widowControl/>
        <w:spacing w:line="590" w:lineRule="exact"/>
        <w:ind w:firstLine="642" w:firstLineChars="200"/>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我部门对本部门整体绩效目标和项目支出绩效目标进行了自评。一是部门整体绩效自评情况：2022年我部门整体绩效评价结果满意，因为我部门2022年举办的社科普及周活动得到了省社科联的高度评价；在规划课题的评审与结项过程中市委宣传全程监督与参与，做到了公开、公正、规范，受到高校老师的高度评价，真正起到到了普及与纽带的作用；我部门改革论坛的编辑出版成为市委市政府的智库。二是项目绩效自评情况。我部门共有0个项目批复了绩效目标，项目金额0.00万元。</w:t>
      </w:r>
    </w:p>
    <w:p>
      <w:pPr>
        <w:widowControl/>
        <w:spacing w:line="360" w:lineRule="auto"/>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基于项目预期目标的实现程度，对2022年度项目支出绩效进行自评，</w:t>
      </w:r>
      <w:r>
        <w:rPr>
          <w:rFonts w:hint="eastAsia" w:ascii="仿宋_GB2312" w:hAnsi="仿宋_GB2312" w:eastAsia="仿宋_GB2312" w:cs="仿宋_GB2312"/>
          <w:color w:val="auto"/>
          <w:sz w:val="32"/>
          <w:szCs w:val="32"/>
          <w:highlight w:val="none"/>
        </w:rPr>
        <w:t>绩效自评平均得分为</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t>其中：0个项目评价等级为“优”、0个项目评价等级为“良”、0个项目评价等级为“中”、0个项目评价等级为“差”。</w:t>
      </w:r>
      <w:bookmarkStart w:id="0" w:name="_GoBack"/>
      <w:bookmarkEnd w:id="0"/>
    </w:p>
    <w:p>
      <w:pPr>
        <w:pStyle w:val="3"/>
        <w:ind w:firstLine="640" w:firstLineChars="200"/>
        <w:rPr>
          <w:rFonts w:ascii="仿宋_GB2312" w:hAnsi="仿宋_GB2312" w:eastAsia="仿宋_GB2312" w:cs="仿宋_GB2312"/>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ascii="仿宋_GB2312" w:hAnsi="仿宋_GB2312" w:eastAsia="仿宋_GB2312" w:cs="仿宋_GB2312"/>
          <w:sz w:val="32"/>
          <w:szCs w:val="32"/>
        </w:rPr>
        <w:t>年初结转和结余：指</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以前年度尚未完成、结转到本年仍按原规定用途继续使用的资金，或项目已完成等产生的结余资金。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w:t>
      </w:r>
      <w:r>
        <w:rPr>
          <w:rFonts w:ascii="仿宋_GB2312" w:hAnsi="仿宋_GB2312" w:eastAsia="仿宋_GB2312" w:cs="仿宋_GB2312"/>
          <w:sz w:val="32"/>
          <w:szCs w:val="32"/>
        </w:rPr>
        <w:t>、经营支出：指事业</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在专业业务活动及其辅助活动之外开展非独立核算经营活动发生的支出。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w:t>
      </w:r>
      <w:r>
        <w:rPr>
          <w:rFonts w:ascii="仿宋_GB2312" w:hAnsi="仿宋_GB2312" w:eastAsia="仿宋_GB2312" w:cs="仿宋_GB2312"/>
          <w:sz w:val="32"/>
          <w:szCs w:val="32"/>
        </w:rPr>
        <w:t>结余分配：指事业</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按照会计制度规定缴纳的所得税、提取的专用结余以及转入非财政拨款结余的金额等。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十六、年末结转和</w:t>
      </w:r>
      <w:r>
        <w:rPr>
          <w:rFonts w:ascii="仿宋_GB2312" w:hAnsi="仿宋_GB2312" w:eastAsia="仿宋_GB2312" w:cs="仿宋_GB2312"/>
          <w:sz w:val="32"/>
          <w:szCs w:val="32"/>
        </w:rPr>
        <w:t>结余</w:t>
      </w:r>
      <w:r>
        <w:rPr>
          <w:rFonts w:hint="eastAsia" w:ascii="仿宋_GB2312" w:hAnsi="仿宋_GB2312" w:eastAsia="仿宋_GB2312" w:cs="仿宋_GB2312"/>
          <w:sz w:val="32"/>
          <w:szCs w:val="32"/>
        </w:rPr>
        <w:t>：指单位</w:t>
      </w:r>
      <w:r>
        <w:rPr>
          <w:rFonts w:ascii="仿宋_GB2312" w:hAnsi="仿宋_GB2312" w:eastAsia="仿宋_GB2312" w:cs="仿宋_GB2312"/>
          <w:sz w:val="32"/>
          <w:szCs w:val="32"/>
        </w:rPr>
        <w:t>按有关规定结转到下年或以后年度</w:t>
      </w:r>
      <w:r>
        <w:rPr>
          <w:rFonts w:hint="eastAsia" w:ascii="仿宋_GB2312" w:hAnsi="仿宋_GB2312" w:eastAsia="仿宋_GB2312" w:cs="仿宋_GB2312"/>
          <w:sz w:val="32"/>
          <w:szCs w:val="32"/>
        </w:rPr>
        <w:t>继续</w:t>
      </w:r>
      <w:r>
        <w:rPr>
          <w:rFonts w:ascii="仿宋_GB2312" w:hAnsi="仿宋_GB2312" w:eastAsia="仿宋_GB2312" w:cs="仿宋_GB2312"/>
          <w:sz w:val="32"/>
          <w:szCs w:val="32"/>
        </w:rPr>
        <w:t>使用的资金，或项目已完成等产生的结余资金。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七、“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八、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宋体"/>
    <w:panose1 w:val="00000000000000000000"/>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kNLMwBAACn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03Nl5w5YenBzz9/nH/9Of/+zq6T&#10;PH3AiqoeAtXF4YMfaGnmOFIwsR5asOlLfBjlSdzTRVw1RCbTpdVytSopJSk3O4RfPF4PgPGj8pYl&#10;o+ZAr5dFFcc7jGPpXJK6OX+rjckvaNx/AcIcIyqvwHQ7MRknTlYcdsNEb+ebE7HraQ1q7mjrOTOf&#10;HKmcNmY2YDZ2s3EIoPddXqnUHcP7Q6SR8qSpwwhLDJND75e5TruWFuRfP1c9/l+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QuQ0szAEAAKcDAAAOAAAAAAAAAAEAIAAAAB4BAABkcnMvZTJv&#10;RG9jLnhtbFBLBQYAAAAABgAGAFkBAABc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v:textbox>
        </v:shape>
      </w:pict>
    </w:r>
    <w:r>
      <w:pict>
        <v:shape id="文本框 1027"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GPHLc8BAACq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tixX&#10;b5JCfcCKCh8Clcbhzg+peoojBRPxoQWbvkSJUZ70PV/1VUNkMl1ar9brklKScrNDOMXj9QAY3ypv&#10;WTJqDvSAWVdxeo9xLJ1LUjfn77UxFBeVcX8FCHOMqLwF0+3EZJw4WXHYDxONvW/OxK6nTai5o8Xn&#10;zLxzJHRamtmA2djPxjGAPnR5q1J3DLfHSCPlSVOHEZYYJoeeMHOd1i3tyJ9+rnr8x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cY8ctzwEAAKoDAAAOAAAAAAAAAAEAIAAAAB4BAABkcnMv&#10;ZTJvRG9jLnhtbFBLBQYAAAAABgAGAFkBAABfBQ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4g6s0BAACnAwAADgAAAGRycy9lMm9Eb2MueG1srVPNjtMwEL4j8Q6W&#10;7zTZI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15xZYejBzz9/nH/9Of/+zt4m&#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A4g6s0BAACnAwAADgAAAAAAAAABACAAAAAeAQAAZHJzL2Uy&#10;b0RvYy54bWxQSwUGAAAAAAYABgBZAQAAXQ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05F89E"/>
    <w:multiLevelType w:val="singleLevel"/>
    <w:tmpl w:val="4405F89E"/>
    <w:lvl w:ilvl="0" w:tentative="0">
      <w:start w:val="1"/>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evenAndOddHeaders w:val="true"/>
  <w:drawingGridHorizontalSpacing w:val="105"/>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GE4NjY4NzhhZGQ3MzM5MjkyZTM3NDY0YjA5MGQ5YWYifQ=="/>
  </w:docVars>
  <w:rsids>
    <w:rsidRoot w:val="00172A27"/>
    <w:rsid w:val="000036C7"/>
    <w:rsid w:val="00012A5C"/>
    <w:rsid w:val="000134FF"/>
    <w:rsid w:val="000270E8"/>
    <w:rsid w:val="000335B5"/>
    <w:rsid w:val="0004182D"/>
    <w:rsid w:val="00054253"/>
    <w:rsid w:val="00057AFD"/>
    <w:rsid w:val="00065F66"/>
    <w:rsid w:val="00076410"/>
    <w:rsid w:val="00080242"/>
    <w:rsid w:val="00081835"/>
    <w:rsid w:val="00085D2D"/>
    <w:rsid w:val="000904B3"/>
    <w:rsid w:val="000933EE"/>
    <w:rsid w:val="000B6484"/>
    <w:rsid w:val="000C073B"/>
    <w:rsid w:val="000C1142"/>
    <w:rsid w:val="000C5995"/>
    <w:rsid w:val="000D556D"/>
    <w:rsid w:val="000E527B"/>
    <w:rsid w:val="001003F8"/>
    <w:rsid w:val="0011350D"/>
    <w:rsid w:val="00134277"/>
    <w:rsid w:val="0014251F"/>
    <w:rsid w:val="00144159"/>
    <w:rsid w:val="001718A8"/>
    <w:rsid w:val="00171AFF"/>
    <w:rsid w:val="00172A27"/>
    <w:rsid w:val="00180DF1"/>
    <w:rsid w:val="00182842"/>
    <w:rsid w:val="00184D53"/>
    <w:rsid w:val="001905F2"/>
    <w:rsid w:val="00197592"/>
    <w:rsid w:val="001B006C"/>
    <w:rsid w:val="001B62A1"/>
    <w:rsid w:val="001C32F0"/>
    <w:rsid w:val="001D61B1"/>
    <w:rsid w:val="001E7563"/>
    <w:rsid w:val="001F5040"/>
    <w:rsid w:val="002006EB"/>
    <w:rsid w:val="00214AE1"/>
    <w:rsid w:val="002329B4"/>
    <w:rsid w:val="00251B40"/>
    <w:rsid w:val="00252041"/>
    <w:rsid w:val="00260D70"/>
    <w:rsid w:val="00260E70"/>
    <w:rsid w:val="002617E7"/>
    <w:rsid w:val="00262C9F"/>
    <w:rsid w:val="00281114"/>
    <w:rsid w:val="00282C7F"/>
    <w:rsid w:val="00287811"/>
    <w:rsid w:val="00292B4B"/>
    <w:rsid w:val="002A1467"/>
    <w:rsid w:val="002A6352"/>
    <w:rsid w:val="002B3538"/>
    <w:rsid w:val="002B3F94"/>
    <w:rsid w:val="002C171D"/>
    <w:rsid w:val="002D4052"/>
    <w:rsid w:val="002E6A86"/>
    <w:rsid w:val="00304D04"/>
    <w:rsid w:val="00305B88"/>
    <w:rsid w:val="00310961"/>
    <w:rsid w:val="00313F0D"/>
    <w:rsid w:val="00315FEB"/>
    <w:rsid w:val="00337288"/>
    <w:rsid w:val="0038116E"/>
    <w:rsid w:val="003B4220"/>
    <w:rsid w:val="003C7DC6"/>
    <w:rsid w:val="003D4C31"/>
    <w:rsid w:val="003D6B96"/>
    <w:rsid w:val="00403929"/>
    <w:rsid w:val="0041177C"/>
    <w:rsid w:val="00413EF9"/>
    <w:rsid w:val="0041489C"/>
    <w:rsid w:val="00421C61"/>
    <w:rsid w:val="0042585F"/>
    <w:rsid w:val="004331BF"/>
    <w:rsid w:val="0043547E"/>
    <w:rsid w:val="00445CAC"/>
    <w:rsid w:val="004522D3"/>
    <w:rsid w:val="00467A57"/>
    <w:rsid w:val="00471789"/>
    <w:rsid w:val="00472E19"/>
    <w:rsid w:val="00487869"/>
    <w:rsid w:val="0049123E"/>
    <w:rsid w:val="00495AFD"/>
    <w:rsid w:val="004D5275"/>
    <w:rsid w:val="004E121E"/>
    <w:rsid w:val="004E2A8F"/>
    <w:rsid w:val="004F24D9"/>
    <w:rsid w:val="004F63DB"/>
    <w:rsid w:val="00500F06"/>
    <w:rsid w:val="00505190"/>
    <w:rsid w:val="00507364"/>
    <w:rsid w:val="00515C95"/>
    <w:rsid w:val="005438AA"/>
    <w:rsid w:val="00546F7C"/>
    <w:rsid w:val="00557C66"/>
    <w:rsid w:val="00587E9D"/>
    <w:rsid w:val="00592C2A"/>
    <w:rsid w:val="00595591"/>
    <w:rsid w:val="005A0C2F"/>
    <w:rsid w:val="005A2509"/>
    <w:rsid w:val="005B1AE2"/>
    <w:rsid w:val="005E3397"/>
    <w:rsid w:val="005E4A53"/>
    <w:rsid w:val="005E53C9"/>
    <w:rsid w:val="005E6E34"/>
    <w:rsid w:val="00607D67"/>
    <w:rsid w:val="006139D4"/>
    <w:rsid w:val="00617290"/>
    <w:rsid w:val="006228C4"/>
    <w:rsid w:val="00622F91"/>
    <w:rsid w:val="00623B6E"/>
    <w:rsid w:val="00635E26"/>
    <w:rsid w:val="00636C37"/>
    <w:rsid w:val="00650B90"/>
    <w:rsid w:val="006512DD"/>
    <w:rsid w:val="00656BEF"/>
    <w:rsid w:val="00656D75"/>
    <w:rsid w:val="00657E86"/>
    <w:rsid w:val="00673EF7"/>
    <w:rsid w:val="006841E9"/>
    <w:rsid w:val="0069449E"/>
    <w:rsid w:val="006A41B5"/>
    <w:rsid w:val="006C07F0"/>
    <w:rsid w:val="006C644A"/>
    <w:rsid w:val="006C7D84"/>
    <w:rsid w:val="006E3CE2"/>
    <w:rsid w:val="007031F6"/>
    <w:rsid w:val="007148E8"/>
    <w:rsid w:val="00721FAC"/>
    <w:rsid w:val="00733DAA"/>
    <w:rsid w:val="00742BA0"/>
    <w:rsid w:val="00746F2F"/>
    <w:rsid w:val="00753545"/>
    <w:rsid w:val="0075400B"/>
    <w:rsid w:val="00764156"/>
    <w:rsid w:val="007651BB"/>
    <w:rsid w:val="00767BEE"/>
    <w:rsid w:val="007706D7"/>
    <w:rsid w:val="00780A5C"/>
    <w:rsid w:val="007879ED"/>
    <w:rsid w:val="007920B0"/>
    <w:rsid w:val="007A48A3"/>
    <w:rsid w:val="007A7001"/>
    <w:rsid w:val="007C029F"/>
    <w:rsid w:val="007C7F49"/>
    <w:rsid w:val="007D2A21"/>
    <w:rsid w:val="007D6970"/>
    <w:rsid w:val="007F5671"/>
    <w:rsid w:val="00804456"/>
    <w:rsid w:val="00827AC1"/>
    <w:rsid w:val="00840580"/>
    <w:rsid w:val="00843461"/>
    <w:rsid w:val="008651E7"/>
    <w:rsid w:val="00872946"/>
    <w:rsid w:val="0088023A"/>
    <w:rsid w:val="00883C19"/>
    <w:rsid w:val="008858FB"/>
    <w:rsid w:val="00894B41"/>
    <w:rsid w:val="00896380"/>
    <w:rsid w:val="008B5427"/>
    <w:rsid w:val="008C7CD0"/>
    <w:rsid w:val="008D7716"/>
    <w:rsid w:val="008F5711"/>
    <w:rsid w:val="00903F6B"/>
    <w:rsid w:val="00914005"/>
    <w:rsid w:val="009173F9"/>
    <w:rsid w:val="009308CB"/>
    <w:rsid w:val="009434B3"/>
    <w:rsid w:val="00950270"/>
    <w:rsid w:val="00960ADE"/>
    <w:rsid w:val="00962F58"/>
    <w:rsid w:val="00963191"/>
    <w:rsid w:val="009645ED"/>
    <w:rsid w:val="0096629D"/>
    <w:rsid w:val="00975A04"/>
    <w:rsid w:val="00987DD1"/>
    <w:rsid w:val="00987E71"/>
    <w:rsid w:val="009A2478"/>
    <w:rsid w:val="009A679D"/>
    <w:rsid w:val="009B6D86"/>
    <w:rsid w:val="009C2A17"/>
    <w:rsid w:val="009C68B3"/>
    <w:rsid w:val="009C7E59"/>
    <w:rsid w:val="009E1618"/>
    <w:rsid w:val="009E52A3"/>
    <w:rsid w:val="009F0FBB"/>
    <w:rsid w:val="009F546E"/>
    <w:rsid w:val="009F576F"/>
    <w:rsid w:val="00A079F0"/>
    <w:rsid w:val="00A40212"/>
    <w:rsid w:val="00A42F43"/>
    <w:rsid w:val="00A44FF3"/>
    <w:rsid w:val="00A51982"/>
    <w:rsid w:val="00A57BF7"/>
    <w:rsid w:val="00A71DC1"/>
    <w:rsid w:val="00A74FDE"/>
    <w:rsid w:val="00A83D8A"/>
    <w:rsid w:val="00A904FA"/>
    <w:rsid w:val="00A93E7D"/>
    <w:rsid w:val="00A95C7F"/>
    <w:rsid w:val="00AA260E"/>
    <w:rsid w:val="00AA44CB"/>
    <w:rsid w:val="00AA67CD"/>
    <w:rsid w:val="00AC5BB1"/>
    <w:rsid w:val="00AD6761"/>
    <w:rsid w:val="00AD6AB6"/>
    <w:rsid w:val="00AE2FEA"/>
    <w:rsid w:val="00AE600E"/>
    <w:rsid w:val="00AF39B9"/>
    <w:rsid w:val="00AF566A"/>
    <w:rsid w:val="00B0083B"/>
    <w:rsid w:val="00B040BC"/>
    <w:rsid w:val="00B10C81"/>
    <w:rsid w:val="00B209B8"/>
    <w:rsid w:val="00B20BBC"/>
    <w:rsid w:val="00B22C27"/>
    <w:rsid w:val="00B249F3"/>
    <w:rsid w:val="00B45D55"/>
    <w:rsid w:val="00B5511F"/>
    <w:rsid w:val="00B649BE"/>
    <w:rsid w:val="00B653A5"/>
    <w:rsid w:val="00B710DD"/>
    <w:rsid w:val="00BA1AB8"/>
    <w:rsid w:val="00BC7A47"/>
    <w:rsid w:val="00BE0890"/>
    <w:rsid w:val="00BE5A85"/>
    <w:rsid w:val="00BF3A9B"/>
    <w:rsid w:val="00BF4E6A"/>
    <w:rsid w:val="00BF5718"/>
    <w:rsid w:val="00C0082E"/>
    <w:rsid w:val="00C00E23"/>
    <w:rsid w:val="00C13474"/>
    <w:rsid w:val="00C3106E"/>
    <w:rsid w:val="00C33530"/>
    <w:rsid w:val="00C462C9"/>
    <w:rsid w:val="00C60609"/>
    <w:rsid w:val="00C64571"/>
    <w:rsid w:val="00C95CC1"/>
    <w:rsid w:val="00CA3F44"/>
    <w:rsid w:val="00CA598C"/>
    <w:rsid w:val="00CB03ED"/>
    <w:rsid w:val="00CC0E4B"/>
    <w:rsid w:val="00CC7D4F"/>
    <w:rsid w:val="00CD4196"/>
    <w:rsid w:val="00CD62F2"/>
    <w:rsid w:val="00CE212D"/>
    <w:rsid w:val="00CE4B38"/>
    <w:rsid w:val="00CF0AB9"/>
    <w:rsid w:val="00CF7BFD"/>
    <w:rsid w:val="00D03FBB"/>
    <w:rsid w:val="00D1292C"/>
    <w:rsid w:val="00D1321A"/>
    <w:rsid w:val="00D15EF0"/>
    <w:rsid w:val="00D22FB1"/>
    <w:rsid w:val="00D27367"/>
    <w:rsid w:val="00D30ADF"/>
    <w:rsid w:val="00D33CF8"/>
    <w:rsid w:val="00D33FBA"/>
    <w:rsid w:val="00D50638"/>
    <w:rsid w:val="00D6315E"/>
    <w:rsid w:val="00D652C2"/>
    <w:rsid w:val="00D74EE2"/>
    <w:rsid w:val="00D83E19"/>
    <w:rsid w:val="00D86CAD"/>
    <w:rsid w:val="00D97F9F"/>
    <w:rsid w:val="00DA00C9"/>
    <w:rsid w:val="00DA14AD"/>
    <w:rsid w:val="00DB200E"/>
    <w:rsid w:val="00DB65F5"/>
    <w:rsid w:val="00E01C3E"/>
    <w:rsid w:val="00E13099"/>
    <w:rsid w:val="00E23F86"/>
    <w:rsid w:val="00E4339F"/>
    <w:rsid w:val="00E60B05"/>
    <w:rsid w:val="00E61F64"/>
    <w:rsid w:val="00E629EA"/>
    <w:rsid w:val="00E632F6"/>
    <w:rsid w:val="00E6777C"/>
    <w:rsid w:val="00EA7523"/>
    <w:rsid w:val="00EB05A3"/>
    <w:rsid w:val="00EB7D4B"/>
    <w:rsid w:val="00EC0685"/>
    <w:rsid w:val="00ED38B7"/>
    <w:rsid w:val="00ED3A98"/>
    <w:rsid w:val="00ED4A31"/>
    <w:rsid w:val="00EE051D"/>
    <w:rsid w:val="00F0131A"/>
    <w:rsid w:val="00F04C49"/>
    <w:rsid w:val="00F14C17"/>
    <w:rsid w:val="00F17041"/>
    <w:rsid w:val="00F218CF"/>
    <w:rsid w:val="00F31B36"/>
    <w:rsid w:val="00F44937"/>
    <w:rsid w:val="00F463CE"/>
    <w:rsid w:val="00F55664"/>
    <w:rsid w:val="00F61A47"/>
    <w:rsid w:val="00F72AFC"/>
    <w:rsid w:val="00F84422"/>
    <w:rsid w:val="00F95455"/>
    <w:rsid w:val="00F96D81"/>
    <w:rsid w:val="00FA574D"/>
    <w:rsid w:val="00FC2588"/>
    <w:rsid w:val="00FC4944"/>
    <w:rsid w:val="00FE7AD9"/>
    <w:rsid w:val="00FF0E51"/>
    <w:rsid w:val="01322275"/>
    <w:rsid w:val="01DC6F05"/>
    <w:rsid w:val="02A3489A"/>
    <w:rsid w:val="02CA138D"/>
    <w:rsid w:val="033646FC"/>
    <w:rsid w:val="03C75F80"/>
    <w:rsid w:val="0478364D"/>
    <w:rsid w:val="053D4C0D"/>
    <w:rsid w:val="0557532E"/>
    <w:rsid w:val="07013F3A"/>
    <w:rsid w:val="0731181E"/>
    <w:rsid w:val="0799329C"/>
    <w:rsid w:val="08397436"/>
    <w:rsid w:val="086F16A7"/>
    <w:rsid w:val="0A0F7225"/>
    <w:rsid w:val="0A2B7D82"/>
    <w:rsid w:val="0A5D2A6C"/>
    <w:rsid w:val="0ADC40E9"/>
    <w:rsid w:val="0AE607F4"/>
    <w:rsid w:val="0B386127"/>
    <w:rsid w:val="0B451598"/>
    <w:rsid w:val="0BEC73F4"/>
    <w:rsid w:val="0C392698"/>
    <w:rsid w:val="10BD36F6"/>
    <w:rsid w:val="10F960DA"/>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D477581"/>
    <w:rsid w:val="1E443B4B"/>
    <w:rsid w:val="1E994F4A"/>
    <w:rsid w:val="1EAF0224"/>
    <w:rsid w:val="1F2230A4"/>
    <w:rsid w:val="1FD01FCB"/>
    <w:rsid w:val="20210932"/>
    <w:rsid w:val="202448E0"/>
    <w:rsid w:val="20D746F2"/>
    <w:rsid w:val="20F614FE"/>
    <w:rsid w:val="21302EEA"/>
    <w:rsid w:val="22376FB5"/>
    <w:rsid w:val="23E152D7"/>
    <w:rsid w:val="23EE2489"/>
    <w:rsid w:val="254E0712"/>
    <w:rsid w:val="255D43C8"/>
    <w:rsid w:val="26714EF8"/>
    <w:rsid w:val="26876BDD"/>
    <w:rsid w:val="2714632A"/>
    <w:rsid w:val="27541E73"/>
    <w:rsid w:val="27B0539E"/>
    <w:rsid w:val="29365CF8"/>
    <w:rsid w:val="299469B3"/>
    <w:rsid w:val="2A805789"/>
    <w:rsid w:val="2ADC0D75"/>
    <w:rsid w:val="2B4A0E52"/>
    <w:rsid w:val="2C975890"/>
    <w:rsid w:val="2CDF0DE9"/>
    <w:rsid w:val="2DEF21BB"/>
    <w:rsid w:val="2E4A2F05"/>
    <w:rsid w:val="2ECC1061"/>
    <w:rsid w:val="2F3F8838"/>
    <w:rsid w:val="2FA476AD"/>
    <w:rsid w:val="303F7540"/>
    <w:rsid w:val="31DD00BF"/>
    <w:rsid w:val="3293174C"/>
    <w:rsid w:val="32BB38D4"/>
    <w:rsid w:val="32C9376D"/>
    <w:rsid w:val="33780472"/>
    <w:rsid w:val="33AF0905"/>
    <w:rsid w:val="34C8362A"/>
    <w:rsid w:val="355932F4"/>
    <w:rsid w:val="35611882"/>
    <w:rsid w:val="360B60B0"/>
    <w:rsid w:val="36746FC3"/>
    <w:rsid w:val="368763AE"/>
    <w:rsid w:val="38B702EB"/>
    <w:rsid w:val="395D59E7"/>
    <w:rsid w:val="39A93932"/>
    <w:rsid w:val="3A915562"/>
    <w:rsid w:val="3B8D4765"/>
    <w:rsid w:val="3C000DBA"/>
    <w:rsid w:val="3C1E6EA8"/>
    <w:rsid w:val="3D434048"/>
    <w:rsid w:val="3DC045D3"/>
    <w:rsid w:val="3E504FFB"/>
    <w:rsid w:val="3E615CD0"/>
    <w:rsid w:val="3E9C47F6"/>
    <w:rsid w:val="3F8B0112"/>
    <w:rsid w:val="3FAB3095"/>
    <w:rsid w:val="3FD8C5E4"/>
    <w:rsid w:val="3FE45947"/>
    <w:rsid w:val="41242965"/>
    <w:rsid w:val="435042F7"/>
    <w:rsid w:val="435671EA"/>
    <w:rsid w:val="440809E9"/>
    <w:rsid w:val="442407A6"/>
    <w:rsid w:val="44805EA1"/>
    <w:rsid w:val="45710696"/>
    <w:rsid w:val="46142B1B"/>
    <w:rsid w:val="47DDEF8B"/>
    <w:rsid w:val="47E60DD0"/>
    <w:rsid w:val="48735039"/>
    <w:rsid w:val="492C684B"/>
    <w:rsid w:val="49500594"/>
    <w:rsid w:val="499C63AF"/>
    <w:rsid w:val="49E7604E"/>
    <w:rsid w:val="4BF67CDD"/>
    <w:rsid w:val="4D173441"/>
    <w:rsid w:val="4D603DD6"/>
    <w:rsid w:val="4EBF010F"/>
    <w:rsid w:val="4F471EB0"/>
    <w:rsid w:val="4F59DCC8"/>
    <w:rsid w:val="505D0E9A"/>
    <w:rsid w:val="51331326"/>
    <w:rsid w:val="51740A7F"/>
    <w:rsid w:val="51A5541E"/>
    <w:rsid w:val="51C96242"/>
    <w:rsid w:val="53906AE1"/>
    <w:rsid w:val="53EA6BB8"/>
    <w:rsid w:val="54F46F60"/>
    <w:rsid w:val="55A37BEA"/>
    <w:rsid w:val="56362CD2"/>
    <w:rsid w:val="5784687B"/>
    <w:rsid w:val="57846959"/>
    <w:rsid w:val="578E6A87"/>
    <w:rsid w:val="5AC2203A"/>
    <w:rsid w:val="5B1F6E0F"/>
    <w:rsid w:val="5BDE35BE"/>
    <w:rsid w:val="5CBB3334"/>
    <w:rsid w:val="5D115FAF"/>
    <w:rsid w:val="5F9DAF6F"/>
    <w:rsid w:val="62811722"/>
    <w:rsid w:val="62E75A72"/>
    <w:rsid w:val="64571880"/>
    <w:rsid w:val="649125B6"/>
    <w:rsid w:val="652F4C1A"/>
    <w:rsid w:val="666D37F1"/>
    <w:rsid w:val="66B7E5E2"/>
    <w:rsid w:val="67087D8F"/>
    <w:rsid w:val="671F687E"/>
    <w:rsid w:val="67F415F8"/>
    <w:rsid w:val="682640D1"/>
    <w:rsid w:val="684B73E5"/>
    <w:rsid w:val="6A047A2A"/>
    <w:rsid w:val="6A93D769"/>
    <w:rsid w:val="6EFB7548"/>
    <w:rsid w:val="6F3831C3"/>
    <w:rsid w:val="6F4F69AC"/>
    <w:rsid w:val="6F8B71C1"/>
    <w:rsid w:val="70753482"/>
    <w:rsid w:val="707B522A"/>
    <w:rsid w:val="72A71CC2"/>
    <w:rsid w:val="72A7517B"/>
    <w:rsid w:val="73194D05"/>
    <w:rsid w:val="73A83B0E"/>
    <w:rsid w:val="744D3EF9"/>
    <w:rsid w:val="74794411"/>
    <w:rsid w:val="75867C40"/>
    <w:rsid w:val="75B10B26"/>
    <w:rsid w:val="76432199"/>
    <w:rsid w:val="76F44829"/>
    <w:rsid w:val="77A267C0"/>
    <w:rsid w:val="78882278"/>
    <w:rsid w:val="78B118A6"/>
    <w:rsid w:val="79135044"/>
    <w:rsid w:val="7A7D0F99"/>
    <w:rsid w:val="7C667162"/>
    <w:rsid w:val="7E4A0E7C"/>
    <w:rsid w:val="7EF60AA7"/>
    <w:rsid w:val="7EFD449D"/>
    <w:rsid w:val="7F9D8388"/>
    <w:rsid w:val="9F5F3E6A"/>
    <w:rsid w:val="B67F0B91"/>
    <w:rsid w:val="B9F5C229"/>
    <w:rsid w:val="B9FFD90D"/>
    <w:rsid w:val="BBFFA64A"/>
    <w:rsid w:val="BC5FD937"/>
    <w:rsid w:val="BCDF456B"/>
    <w:rsid w:val="CFEF7AF4"/>
    <w:rsid w:val="D97F9917"/>
    <w:rsid w:val="DB7EDC5F"/>
    <w:rsid w:val="DBFB91FD"/>
    <w:rsid w:val="DDBF8C8F"/>
    <w:rsid w:val="DEFFE75A"/>
    <w:rsid w:val="E7EFCF5D"/>
    <w:rsid w:val="EFDBE884"/>
    <w:rsid w:val="F37E7F9B"/>
    <w:rsid w:val="F6AF52C3"/>
    <w:rsid w:val="F7DF7521"/>
    <w:rsid w:val="FB37F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annotation text"/>
    <w:basedOn w:val="1"/>
    <w:link w:val="13"/>
    <w:qFormat/>
    <w:uiPriority w:val="0"/>
    <w:pPr>
      <w:jc w:val="left"/>
    </w:pPr>
    <w:rPr>
      <w:rFonts w:ascii="Calibri" w:hAnsi="Calibri"/>
    </w:rPr>
  </w:style>
  <w:style w:type="paragraph" w:styleId="4">
    <w:name w:val="Balloon Text"/>
    <w:basedOn w:val="1"/>
    <w:link w:val="14"/>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99"/>
    <w:pPr>
      <w:snapToGrid w:val="0"/>
      <w:jc w:val="left"/>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customStyle="1" w:styleId="13">
    <w:name w:val="批注文字 Char"/>
    <w:basedOn w:val="10"/>
    <w:link w:val="3"/>
    <w:qFormat/>
    <w:uiPriority w:val="0"/>
    <w:rPr>
      <w:rFonts w:ascii="Calibri" w:hAnsi="Calibri"/>
      <w:kern w:val="2"/>
      <w:sz w:val="21"/>
      <w:szCs w:val="22"/>
    </w:rPr>
  </w:style>
  <w:style w:type="character" w:customStyle="1" w:styleId="14">
    <w:name w:val="批注框文本 Char"/>
    <w:link w:val="4"/>
    <w:semiHidden/>
    <w:qFormat/>
    <w:uiPriority w:val="99"/>
    <w:rPr>
      <w:kern w:val="2"/>
      <w:sz w:val="18"/>
      <w:szCs w:val="18"/>
    </w:rPr>
  </w:style>
  <w:style w:type="character" w:customStyle="1" w:styleId="15">
    <w:name w:val="页脚 Char"/>
    <w:link w:val="5"/>
    <w:qFormat/>
    <w:uiPriority w:val="99"/>
    <w:rPr>
      <w:kern w:val="2"/>
      <w:sz w:val="18"/>
      <w:szCs w:val="18"/>
    </w:rPr>
  </w:style>
  <w:style w:type="character" w:customStyle="1" w:styleId="16">
    <w:name w:val="页眉 Char"/>
    <w:link w:val="6"/>
    <w:qFormat/>
    <w:uiPriority w:val="99"/>
    <w:rPr>
      <w:kern w:val="2"/>
      <w:sz w:val="18"/>
      <w:szCs w:val="18"/>
    </w:rPr>
  </w:style>
  <w:style w:type="character" w:customStyle="1" w:styleId="17">
    <w:name w:val="font01"/>
    <w:qFormat/>
    <w:uiPriority w:val="0"/>
    <w:rPr>
      <w:rFonts w:hint="eastAsia" w:ascii="宋体" w:hAnsi="宋体" w:eastAsia="宋体" w:cs="宋体"/>
      <w:color w:val="000000"/>
      <w:sz w:val="22"/>
      <w:szCs w:val="22"/>
      <w:u w:val="none"/>
    </w:rPr>
  </w:style>
  <w:style w:type="character" w:customStyle="1" w:styleId="18">
    <w:name w:val="font21"/>
    <w:qFormat/>
    <w:uiPriority w:val="0"/>
    <w:rPr>
      <w:rFonts w:hint="eastAsia" w:ascii="宋体" w:hAnsi="宋体" w:eastAsia="宋体" w:cs="宋体"/>
      <w:color w:val="000000"/>
      <w:sz w:val="22"/>
      <w:szCs w:val="22"/>
      <w:u w:val="none"/>
    </w:rPr>
  </w:style>
  <w:style w:type="character" w:customStyle="1" w:styleId="19">
    <w:name w:val="font51"/>
    <w:qFormat/>
    <w:uiPriority w:val="0"/>
    <w:rPr>
      <w:rFonts w:hint="eastAsia" w:ascii="宋体" w:hAnsi="宋体" w:eastAsia="宋体" w:cs="宋体"/>
      <w:color w:val="000000"/>
      <w:sz w:val="24"/>
      <w:szCs w:val="24"/>
      <w:u w:val="none"/>
    </w:rPr>
  </w:style>
  <w:style w:type="character" w:customStyle="1" w:styleId="20">
    <w:name w:val="font11"/>
    <w:qFormat/>
    <w:uiPriority w:val="0"/>
    <w:rPr>
      <w:rFonts w:hint="eastAsia" w:ascii="宋体" w:hAnsi="宋体" w:eastAsia="宋体" w:cs="宋体"/>
      <w:color w:val="000000"/>
      <w:sz w:val="20"/>
      <w:szCs w:val="20"/>
      <w:u w:val="none"/>
    </w:rPr>
  </w:style>
  <w:style w:type="character" w:customStyle="1" w:styleId="21">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35</Pages>
  <Words>2158</Words>
  <Characters>12307</Characters>
  <Lines>102</Lines>
  <Paragraphs>28</Paragraphs>
  <TotalTime>0</TotalTime>
  <ScaleCrop>false</ScaleCrop>
  <LinksUpToDate>false</LinksUpToDate>
  <CharactersWithSpaces>14437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huanghe</cp:lastModifiedBy>
  <cp:lastPrinted>2018-07-26T02:50:00Z</cp:lastPrinted>
  <dcterms:modified xsi:type="dcterms:W3CDTF">2023-09-25T11:26:09Z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24C92B76E2DC45A3843EDBB17AA68184_13</vt:lpwstr>
  </property>
</Properties>
</file>