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22</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许昌市法学会单位决算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pPr>
      <w:r>
        <w:rPr>
          <w:rFonts w:hint="eastAsia" w:ascii="黑体" w:hAnsi="黑体" w:eastAsia="黑体" w:cs="黑体"/>
          <w:sz w:val="32"/>
          <w:szCs w:val="32"/>
        </w:rPr>
        <w:t>二〇二三年十月</w:t>
      </w:r>
    </w:p>
    <w:p>
      <w:pPr>
        <w:jc w:val="center"/>
        <w:rPr>
          <w:rFonts w:ascii="黑体" w:hAnsi="黑体" w:eastAsia="黑体" w:cs="黑体"/>
          <w:sz w:val="32"/>
          <w:szCs w:val="32"/>
        </w:rPr>
      </w:pPr>
    </w:p>
    <w:p>
      <w:pPr>
        <w:jc w:val="center"/>
        <w:sectPr>
          <w:pgSz w:w="11906" w:h="16838"/>
          <w:pgMar w:top="1440" w:right="1531" w:bottom="1440" w:left="1587" w:header="850" w:footer="992" w:gutter="0"/>
          <w:pgNumType w:fmt="numberInDash"/>
          <w:cols w:space="720" w:num="1"/>
          <w:docGrid w:type="lines" w:linePitch="317" w:charSpace="0"/>
        </w:sect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许昌市法学会概况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w:t>
      </w:r>
      <w:r>
        <w:rPr>
          <w:rFonts w:ascii="黑体" w:hAnsi="黑体" w:eastAsia="黑体" w:cs="黑体"/>
          <w:sz w:val="32"/>
          <w:szCs w:val="32"/>
        </w:rPr>
        <w:t>2</w:t>
      </w:r>
      <w:r>
        <w:rPr>
          <w:rFonts w:hint="eastAsia" w:ascii="黑体" w:hAnsi="黑体" w:eastAsia="黑体" w:cs="黑体"/>
          <w:sz w:val="32"/>
          <w:szCs w:val="32"/>
        </w:rPr>
        <w:t>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七、政府性基金预算财政拨款收入支出决算表</w:t>
      </w:r>
    </w:p>
    <w:p>
      <w:pPr>
        <w:ind w:firstLine="640" w:firstLineChars="200"/>
        <w:jc w:val="left"/>
        <w:rPr>
          <w:rFonts w:ascii="宋体" w:hAnsi="宋体" w:cs="黑体"/>
          <w:sz w:val="32"/>
          <w:szCs w:val="32"/>
        </w:rPr>
      </w:pPr>
      <w:r>
        <w:rPr>
          <w:rFonts w:hint="eastAsia" w:ascii="宋体" w:hAnsi="宋体" w:cs="黑体"/>
          <w:sz w:val="32"/>
          <w:szCs w:val="32"/>
        </w:rPr>
        <w:t>八、国有</w:t>
      </w:r>
      <w:r>
        <w:rPr>
          <w:rFonts w:ascii="宋体" w:hAnsi="宋体" w:cs="黑体"/>
          <w:sz w:val="32"/>
          <w:szCs w:val="32"/>
        </w:rPr>
        <w:t>资本经营预算财政拨款</w:t>
      </w:r>
      <w:r>
        <w:rPr>
          <w:rFonts w:hint="eastAsia" w:ascii="宋体" w:hAnsi="宋体" w:cs="黑体"/>
          <w:sz w:val="32"/>
          <w:szCs w:val="32"/>
        </w:rPr>
        <w:t>支出决算表</w:t>
      </w:r>
    </w:p>
    <w:p>
      <w:pPr>
        <w:ind w:firstLine="640" w:firstLineChars="200"/>
        <w:jc w:val="left"/>
        <w:rPr>
          <w:rFonts w:ascii="宋体" w:hAnsi="宋体" w:cs="黑体"/>
          <w:sz w:val="32"/>
          <w:szCs w:val="32"/>
        </w:rPr>
      </w:pPr>
      <w:r>
        <w:rPr>
          <w:rFonts w:hint="eastAsia" w:ascii="宋体" w:hAnsi="宋体" w:cs="黑体"/>
          <w:sz w:val="32"/>
          <w:szCs w:val="32"/>
        </w:rPr>
        <w:t>九、财政拨款“三公”经费支出决算表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2022</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八、国有资本</w:t>
      </w:r>
      <w:r>
        <w:rPr>
          <w:rFonts w:ascii="宋体" w:hAnsi="宋体" w:cs="宋体"/>
          <w:sz w:val="32"/>
          <w:szCs w:val="32"/>
        </w:rPr>
        <w:t>经营</w:t>
      </w:r>
      <w:r>
        <w:rPr>
          <w:rFonts w:hint="eastAsia" w:ascii="宋体" w:hAnsi="宋体" w:cs="宋体"/>
          <w:sz w:val="32"/>
          <w:szCs w:val="32"/>
        </w:rPr>
        <w:t>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十三、预算绩效情况说明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center"/>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r>
        <w:rPr>
          <w:rFonts w:hint="eastAsia" w:ascii="黑体" w:hAnsi="黑体" w:eastAsia="黑体" w:cs="黑体"/>
          <w:sz w:val="48"/>
          <w:szCs w:val="48"/>
        </w:rPr>
        <w:t>第一部分  许昌市法学会概况</w:t>
      </w: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ind w:firstLine="420" w:firstLineChars="200"/>
        <w:jc w:val="left"/>
        <w:outlineLvl w:val="1"/>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bCs/>
          <w:sz w:val="32"/>
          <w:szCs w:val="32"/>
        </w:rPr>
        <w:t>单位职责</w:t>
      </w:r>
    </w:p>
    <w:p>
      <w:pPr>
        <w:adjustRightInd w:val="0"/>
        <w:snapToGrid w:val="0"/>
        <w:spacing w:line="600" w:lineRule="exact"/>
        <w:ind w:firstLine="640" w:firstLineChars="200"/>
        <w:textAlignment w:val="center"/>
        <w:rPr>
          <w:rFonts w:ascii="仿宋_GB2312" w:hAnsi="宋体" w:eastAsia="仿宋_GB2312" w:cs="宋体"/>
          <w:kern w:val="0"/>
          <w:sz w:val="32"/>
          <w:szCs w:val="32"/>
        </w:rPr>
      </w:pPr>
      <w:r>
        <w:rPr>
          <w:rFonts w:hint="eastAsia" w:ascii="仿宋_GB2312" w:hAnsi="仿宋_GB2312" w:eastAsia="仿宋_GB2312" w:cs="仿宋_GB2312"/>
          <w:sz w:val="32"/>
          <w:szCs w:val="32"/>
        </w:rPr>
        <w:t>组织推动法学研究，传播法学信息，开展法学交流，接受委托参与地方法规、规章的起草、修改和咨询、论证工作</w:t>
      </w:r>
      <w:r>
        <w:rPr>
          <w:rFonts w:hint="eastAsia" w:ascii="仿宋_GB2312" w:hAnsi="宋体" w:eastAsia="仿宋_GB2312" w:cs="宋体"/>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600" w:lineRule="exact"/>
        <w:ind w:firstLine="640" w:firstLineChars="200"/>
        <w:textAlignment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许昌市法学会内设</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lang w:val="en-US" w:eastAsia="zh-CN"/>
        </w:rPr>
        <w:t>1个，包括：办公室</w:t>
      </w:r>
      <w:r>
        <w:rPr>
          <w:rFonts w:hint="eastAsia" w:ascii="仿宋_GB2312" w:hAnsi="仿宋_GB2312" w:eastAsia="仿宋_GB2312" w:cs="仿宋_GB2312"/>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rPr>
        <w:t>许昌市法学</w:t>
      </w:r>
      <w:r>
        <w:rPr>
          <w:rFonts w:hint="eastAsia" w:ascii="仿宋_GB2312" w:hAnsi="仿宋_GB2312" w:eastAsia="仿宋_GB2312" w:cs="仿宋_GB2312"/>
          <w:kern w:val="0"/>
          <w:sz w:val="32"/>
          <w:szCs w:val="32"/>
        </w:rPr>
        <w:t>会单位决算包括：本级决算（1个）。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纳入本单位2022年度单位决算编制范围的单位共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ind w:firstLine="640" w:firstLineChars="200"/>
        <w:jc w:val="left"/>
        <w:rPr>
          <w:rFonts w:ascii="黑体" w:hAnsi="宋体" w:eastAsia="黑体" w:cs="宋体"/>
          <w:kern w:val="0"/>
          <w:sz w:val="28"/>
          <w:szCs w:val="28"/>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许昌市法学会</w:t>
      </w:r>
      <w:r>
        <w:rPr>
          <w:rFonts w:hint="eastAsia" w:ascii="仿宋_GB2312" w:hAnsi="仿宋_GB2312" w:eastAsia="仿宋_GB2312" w:cs="仿宋_GB2312"/>
          <w:kern w:val="0"/>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numPr>
          <w:ilvl w:val="0"/>
          <w:numId w:val="2"/>
        </w:numPr>
        <w:jc w:val="center"/>
        <w:outlineLvl w:val="0"/>
        <w:rPr>
          <w:rFonts w:ascii="黑体" w:hAnsi="黑体" w:eastAsia="黑体" w:cs="黑体"/>
          <w:sz w:val="48"/>
          <w:szCs w:val="48"/>
        </w:rPr>
      </w:pPr>
      <w:r>
        <w:rPr>
          <w:rFonts w:hint="eastAsia" w:ascii="黑体" w:hAnsi="黑体" w:eastAsia="黑体" w:cs="黑体"/>
          <w:sz w:val="48"/>
          <w:szCs w:val="48"/>
        </w:rPr>
        <w:t xml:space="preserve"> 202</w:t>
      </w:r>
      <w:r>
        <w:rPr>
          <w:rFonts w:ascii="黑体" w:hAnsi="黑体" w:eastAsia="黑体" w:cs="黑体"/>
          <w:sz w:val="48"/>
          <w:szCs w:val="48"/>
        </w:rPr>
        <w:t>2</w:t>
      </w:r>
      <w:r>
        <w:rPr>
          <w:rFonts w:hint="eastAsia" w:ascii="黑体" w:hAnsi="黑体" w:eastAsia="黑体" w:cs="黑体"/>
          <w:sz w:val="48"/>
          <w:szCs w:val="48"/>
        </w:rPr>
        <w:t>年度单位决算表</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widowControl/>
        <w:jc w:val="left"/>
        <w:sectPr>
          <w:pgSz w:w="11906" w:h="16838"/>
          <w:pgMar w:top="1440" w:right="1800" w:bottom="1440" w:left="1800" w:header="720" w:footer="720" w:gutter="0"/>
          <w:pgNumType w:fmt="numberInDash"/>
          <w:cols w:space="720" w:num="1"/>
          <w:docGrid w:type="lines" w:linePitch="312" w:charSpace="0"/>
        </w:sectPr>
      </w:pPr>
    </w:p>
    <w:tbl>
      <w:tblPr>
        <w:tblStyle w:val="8"/>
        <w:tblW w:w="139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7"/>
        <w:gridCol w:w="833"/>
        <w:gridCol w:w="973"/>
        <w:gridCol w:w="4467"/>
        <w:gridCol w:w="833"/>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80"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97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3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80"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97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3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5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397"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7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46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09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33"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46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33"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9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446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46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97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09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97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446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09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2"/>
        <w:gridCol w:w="4280"/>
        <w:gridCol w:w="1190"/>
        <w:gridCol w:w="1190"/>
        <w:gridCol w:w="1047"/>
        <w:gridCol w:w="1047"/>
        <w:gridCol w:w="1047"/>
        <w:gridCol w:w="1047"/>
        <w:gridCol w:w="1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8"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12"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11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12"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11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9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19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4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04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04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04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9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428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5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5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5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12"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9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9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4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4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4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4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95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12"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9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119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工会事务</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2013150</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事业运行</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事业单位医疗</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公务员医疗补助</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42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住房公积金</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1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9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38"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highlight w:val="none"/>
                <w:u w:val="none"/>
                <w:lang w:val="en-US" w:eastAsia="zh-CN"/>
              </w:rPr>
              <w:t>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本年度各项</w:t>
            </w:r>
            <w:r>
              <w:rPr>
                <w:rFonts w:hint="eastAsia" w:ascii="宋体" w:hAnsi="宋体" w:cs="宋体"/>
                <w:i w:val="0"/>
                <w:color w:val="000000"/>
                <w:kern w:val="0"/>
                <w:sz w:val="22"/>
                <w:szCs w:val="22"/>
                <w:highlight w:val="none"/>
                <w:u w:val="none"/>
                <w:lang w:val="en-US" w:eastAsia="zh-CN"/>
              </w:rPr>
              <w:t>收入</w:t>
            </w:r>
            <w:r>
              <w:rPr>
                <w:rFonts w:hint="eastAsia" w:ascii="宋体" w:hAnsi="宋体" w:eastAsia="宋体" w:cs="宋体"/>
                <w:i w:val="0"/>
                <w:color w:val="000000"/>
                <w:kern w:val="0"/>
                <w:sz w:val="22"/>
                <w:szCs w:val="22"/>
                <w:highlight w:val="none"/>
                <w:u w:val="none"/>
                <w:lang w:val="en-US" w:eastAsia="zh-CN"/>
              </w:rPr>
              <w:t>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736"/>
        <w:gridCol w:w="1605"/>
        <w:gridCol w:w="1605"/>
        <w:gridCol w:w="1530"/>
        <w:gridCol w:w="1530"/>
        <w:gridCol w:w="1530"/>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8"/>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6" w:type="dxa"/>
            <w:gridSpan w:val="2"/>
            <w:tcBorders>
              <w:top w:val="nil"/>
              <w:left w:val="nil"/>
              <w:bottom w:val="nil"/>
              <w:right w:val="nil"/>
            </w:tcBorders>
            <w:shd w:val="clear" w:color="auto" w:fill="FFFFFF"/>
            <w:vAlign w:val="bottom"/>
          </w:tcPr>
          <w:p>
            <w:pPr>
              <w:jc w:val="left"/>
              <w:rPr>
                <w:rFonts w:hint="eastAsia" w:ascii="Arial" w:hAnsi="Arial" w:cs="Arial"/>
                <w:i w:val="0"/>
                <w:iCs w:val="0"/>
                <w:color w:val="000000"/>
                <w:sz w:val="20"/>
                <w:szCs w:val="20"/>
                <w:u w:val="none"/>
              </w:rPr>
            </w:pPr>
          </w:p>
        </w:tc>
        <w:tc>
          <w:tcPr>
            <w:tcW w:w="16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67"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6" w:type="dxa"/>
            <w:gridSpan w:val="2"/>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16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67"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0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60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3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53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53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43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73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73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73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0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0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3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3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3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3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160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153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工会事务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2013150</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事业运行</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公务员医疗补助</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7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住房公积金</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4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注：本表反映</w:t>
            </w:r>
            <w:r>
              <w:rPr>
                <w:rFonts w:hint="eastAsia" w:ascii="宋体" w:hAnsi="宋体" w:cs="宋体"/>
                <w:color w:val="000000"/>
                <w:kern w:val="0"/>
                <w:sz w:val="22"/>
                <w:szCs w:val="22"/>
                <w:highlight w:val="none"/>
                <w:lang w:eastAsia="zh-CN"/>
              </w:rPr>
              <w:t>单位</w:t>
            </w:r>
            <w:r>
              <w:rPr>
                <w:rFonts w:hint="eastAsia" w:ascii="宋体" w:hAnsi="宋体" w:cs="宋体"/>
                <w:color w:val="000000"/>
                <w:kern w:val="0"/>
                <w:sz w:val="22"/>
                <w:szCs w:val="22"/>
                <w:highlight w:val="none"/>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2"/>
        <w:gridCol w:w="581"/>
        <w:gridCol w:w="1313"/>
        <w:gridCol w:w="3779"/>
        <w:gridCol w:w="581"/>
        <w:gridCol w:w="816"/>
        <w:gridCol w:w="1210"/>
        <w:gridCol w:w="1239"/>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36" w:type="dxa"/>
            <w:gridSpan w:val="3"/>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37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36"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37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3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527"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42"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1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77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8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23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90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42"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8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1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77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8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81"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1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77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81"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02"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3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377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8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8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77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8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3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377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8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81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12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37.12</w:t>
            </w:r>
          </w:p>
        </w:tc>
        <w:tc>
          <w:tcPr>
            <w:tcW w:w="12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0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9"/>
            <w:tcBorders>
              <w:top w:val="nil"/>
              <w:left w:val="nil"/>
              <w:bottom w:val="nil"/>
              <w:right w:val="nil"/>
            </w:tcBorders>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highlight w:val="none"/>
                <w:u w:val="none"/>
                <w:lang w:val="en-US" w:eastAsia="zh-CN"/>
              </w:rPr>
              <w:t xml:space="preserve"> 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本年度一般公共预算财政拨款和政府性基金预算财政拨款的总收支和年末结转结余情况。本表金额转换为万元时，因四舍五入可能存在尾差。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7"/>
        <w:gridCol w:w="3856"/>
        <w:gridCol w:w="2318"/>
        <w:gridCol w:w="2539"/>
        <w:gridCol w:w="3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93"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23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45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93"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23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45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77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85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31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53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391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3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1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1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3"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3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5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391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3"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31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253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37.12</w:t>
            </w:r>
          </w:p>
        </w:tc>
        <w:tc>
          <w:tcPr>
            <w:tcW w:w="391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29.52</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工会事务</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2013150</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事业运行</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28.83</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事业单位医疗</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公务员医疗补助</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8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住房公积金</w:t>
            </w:r>
          </w:p>
        </w:tc>
        <w:tc>
          <w:tcPr>
            <w:tcW w:w="23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25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391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highlight w:val="none"/>
                <w:u w:val="none"/>
                <w:lang w:val="en-US" w:eastAsia="zh-CN"/>
              </w:rPr>
              <w:t xml:space="preserve"> 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本年度一般公共预算财政拨款支出情况。本表金额转换为万元时，因四舍五入可能存在尾差。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
        <w:gridCol w:w="2587"/>
        <w:gridCol w:w="775"/>
        <w:gridCol w:w="838"/>
        <w:gridCol w:w="2112"/>
        <w:gridCol w:w="800"/>
        <w:gridCol w:w="935"/>
        <w:gridCol w:w="3578"/>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5"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00"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7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00"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7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8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258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7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3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2112"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0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3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357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37"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8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7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28.59</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8.52</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债务利息及费用支出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基本工资</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办公费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5.31</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国内债务付息</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津贴补贴</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印刷费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0.46</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国外债务付息</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奖金</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7.97</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咨询费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资本性支出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伙食补助费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手续费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房屋建筑物购建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绩效工资</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办公设备购置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机关事业单位基本养老保险缴费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2.63</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专用设备购置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职业年金缴费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邮电费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0.72</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基础设施建设</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职工基本医疗保险缴费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取暖费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大型修缮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公务员医疗补助缴费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物业管理费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信息网络及软件购置更新</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其他社会保障缴费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差旅费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物资储备</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住房公积金</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2.39</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因公出国（境）费用</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土地补偿</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医疗费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维修（护）费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安置补助</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其他工资福利支出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0.33</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租赁费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地上附着物和青苗补偿</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会议费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拆迁补偿</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离休费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培训费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公务用车购置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退休费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其他交通工具购置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退职（役）费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专用材料费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文物和陈列品购置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抚恤金</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被装购置费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无</w:t>
            </w:r>
            <w:r>
              <w:rPr>
                <w:rFonts w:hint="eastAsia" w:ascii="宋体" w:hAnsi="宋体" w:eastAsia="宋体" w:cs="宋体"/>
                <w:i w:val="0"/>
                <w:iCs w:val="0"/>
                <w:color w:val="000000"/>
                <w:kern w:val="0"/>
                <w:sz w:val="22"/>
                <w:szCs w:val="22"/>
                <w:u w:val="none"/>
                <w:lang w:val="en-US" w:eastAsia="zh-CN"/>
              </w:rPr>
              <w:t>形资产购置</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生活补助</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专用燃料费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其他资本性支出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救济费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劳务费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0.16</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医疗费补助</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委托业务费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国家赔偿费用支出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助学金</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工会经费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对民间非营利组织和群众性自治组织补贴</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奖励金</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福利费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0.24</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经常性赠与</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个人农业生产补贴</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公务用车运行维护费</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39910</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资本性赠与</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代缴社会保险费</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其他交通费用</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57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587"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其他对个人和家庭的补助</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税金及附加费用</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578"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5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2587"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7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3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112"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其他商品和服务支出</w:t>
            </w:r>
          </w:p>
        </w:tc>
        <w:tc>
          <w:tcPr>
            <w:tcW w:w="80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93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578"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5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0"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77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28.59</w:t>
            </w:r>
          </w:p>
        </w:tc>
        <w:tc>
          <w:tcPr>
            <w:tcW w:w="8263" w:type="dxa"/>
            <w:gridSpan w:val="5"/>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5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5"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highlight w:val="none"/>
                <w:u w:val="none"/>
                <w:lang w:val="en-US" w:eastAsia="zh-CN"/>
              </w:rPr>
              <w:t xml:space="preserve"> 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
        <w:gridCol w:w="1186"/>
        <w:gridCol w:w="807"/>
        <w:gridCol w:w="807"/>
        <w:gridCol w:w="1365"/>
        <w:gridCol w:w="1755"/>
        <w:gridCol w:w="2751"/>
        <w:gridCol w:w="4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5"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16"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8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2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16"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8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2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0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587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450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118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6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7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75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450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75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50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75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50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0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80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6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275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450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7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275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450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5"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highlight w:val="none"/>
                <w:u w:val="none"/>
                <w:lang w:val="en-US" w:eastAsia="zh-CN"/>
              </w:rPr>
              <w:t xml:space="preserve"> 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本年度政府性基金预算财政拨款收入、支出及结转和结余情况。本表金额转换为万元时，因四舍五入可能存在尾差。</w:t>
            </w:r>
          </w:p>
        </w:tc>
      </w:tr>
    </w:tbl>
    <w:p>
      <w:pPr>
        <w:widowControl/>
        <w:jc w:val="left"/>
        <w:textAlignment w:val="cente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000000"/>
          <w:sz w:val="28"/>
          <w:szCs w:val="28"/>
        </w:rPr>
        <w:t>说明：我单位没有政府性基金收入，也没有使用政府性基金安排的支出，故本表无数据。</w:t>
      </w:r>
    </w:p>
    <w:tbl>
      <w:tblPr>
        <w:tblStyle w:val="8"/>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4"/>
        <w:gridCol w:w="1304"/>
        <w:gridCol w:w="1939"/>
        <w:gridCol w:w="3700"/>
        <w:gridCol w:w="5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08" w:type="dxa"/>
            <w:gridSpan w:val="2"/>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19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61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08" w:type="dxa"/>
            <w:gridSpan w:val="2"/>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193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616"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55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科目代码</w:t>
            </w:r>
          </w:p>
        </w:tc>
        <w:tc>
          <w:tcPr>
            <w:tcW w:w="130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93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370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59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7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9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7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9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8"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9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70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59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8"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9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37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59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9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kern w:val="0"/>
                <w:sz w:val="22"/>
                <w:szCs w:val="22"/>
                <w:highlight w:val="none"/>
                <w:lang w:val="en-US" w:eastAsia="zh-CN"/>
              </w:rPr>
              <w:t>注：本表反映</w:t>
            </w:r>
            <w:r>
              <w:rPr>
                <w:rFonts w:hint="eastAsia" w:ascii="宋体" w:hAnsi="宋体" w:cs="宋体"/>
                <w:color w:val="000000"/>
                <w:kern w:val="0"/>
                <w:sz w:val="22"/>
                <w:szCs w:val="22"/>
                <w:highlight w:val="none"/>
                <w:lang w:val="en-US" w:eastAsia="zh-CN"/>
              </w:rPr>
              <w:t>单位</w:t>
            </w:r>
            <w:r>
              <w:rPr>
                <w:rFonts w:hint="eastAsia" w:ascii="宋体" w:hAnsi="宋体" w:eastAsia="宋体" w:cs="宋体"/>
                <w:color w:val="000000"/>
                <w:kern w:val="0"/>
                <w:sz w:val="22"/>
                <w:szCs w:val="22"/>
                <w:highlight w:val="none"/>
                <w:lang w:val="en-US" w:eastAsia="zh-CN"/>
              </w:rPr>
              <w:t>本年度国有资本经营预算财政拨款支出情况。本表金额转换为万元时，因四舍五入可能存在尾差。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没有使用国有资本经营预算安排的支出，故本表无数据。</w:t>
      </w:r>
    </w:p>
    <w:tbl>
      <w:tblPr>
        <w:tblStyle w:val="8"/>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55"/>
        <w:gridCol w:w="1155"/>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63"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65" w:type="dxa"/>
            <w:gridSpan w:val="3"/>
            <w:tcBorders>
              <w:top w:val="nil"/>
              <w:left w:val="nil"/>
              <w:bottom w:val="nil"/>
              <w:right w:val="nil"/>
            </w:tcBorders>
            <w:vAlign w:val="bottom"/>
          </w:tcPr>
          <w:p>
            <w:pPr>
              <w:jc w:val="left"/>
              <w:rPr>
                <w:rFonts w:hint="eastAsia"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6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65"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单位：许昌市法学会</w:t>
            </w: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6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7033"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6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公务用车购置及运行维护费</w:t>
            </w:r>
          </w:p>
        </w:tc>
        <w:tc>
          <w:tcPr>
            <w:tcW w:w="11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6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公务用车购置及运行维护费</w:t>
            </w:r>
          </w:p>
        </w:tc>
        <w:tc>
          <w:tcPr>
            <w:tcW w:w="125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55"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公务用车运行维护费</w:t>
            </w:r>
          </w:p>
        </w:tc>
        <w:tc>
          <w:tcPr>
            <w:tcW w:w="11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公务用车运行维护费</w:t>
            </w:r>
          </w:p>
        </w:tc>
        <w:tc>
          <w:tcPr>
            <w:tcW w:w="125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5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5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63"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highlight w:val="none"/>
                <w:u w:val="none"/>
                <w:lang w:val="en-US" w:eastAsia="zh-CN"/>
              </w:rPr>
              <w:t xml:space="preserve"> 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没有预算安排的三公经费，也没有预算安排的三公支出，故本表无数据</w:t>
      </w:r>
    </w:p>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p>
      <w:pPr>
        <w:tabs>
          <w:tab w:val="left" w:pos="5665"/>
        </w:tabs>
        <w:rPr>
          <w:rFonts w:ascii="仿宋_GB2312" w:hAnsi="仿宋_GB2312" w:eastAsia="仿宋_GB2312" w:cs="仿宋_GB2312"/>
          <w:sz w:val="32"/>
          <w:szCs w:val="32"/>
        </w:rPr>
      </w:pPr>
    </w:p>
    <w:p>
      <w:pPr>
        <w:tabs>
          <w:tab w:val="left" w:pos="5665"/>
        </w:tabs>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w:t>
      </w:r>
      <w:r>
        <w:rPr>
          <w:rFonts w:ascii="黑体" w:hAnsi="黑体" w:eastAsia="黑体" w:cs="黑体"/>
          <w:sz w:val="48"/>
          <w:szCs w:val="48"/>
        </w:rPr>
        <w:t>2</w:t>
      </w:r>
      <w:r>
        <w:rPr>
          <w:rFonts w:hint="eastAsia" w:ascii="黑体" w:hAnsi="黑体" w:eastAsia="黑体" w:cs="黑体"/>
          <w:sz w:val="48"/>
          <w:szCs w:val="48"/>
        </w:rPr>
        <w:t>年度</w:t>
      </w:r>
      <w:r>
        <w:rPr>
          <w:rFonts w:hint="eastAsia" w:ascii="黑体" w:hAnsi="黑体" w:eastAsia="黑体" w:cs="黑体"/>
          <w:sz w:val="48"/>
          <w:szCs w:val="48"/>
          <w:highlight w:val="none"/>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pPr>
    </w:p>
    <w:p>
      <w:pPr>
        <w:widowControl/>
        <w:jc w:val="left"/>
        <w:rPr>
          <w:rFonts w:ascii="黑体" w:hAnsi="黑体" w:eastAsia="黑体" w:cs="黑体"/>
          <w:sz w:val="48"/>
          <w:szCs w:val="48"/>
        </w:rPr>
      </w:pPr>
    </w:p>
    <w:p>
      <w:pPr>
        <w:widowControl/>
        <w:jc w:val="left"/>
        <w:rPr>
          <w:rFonts w:ascii="黑体" w:hAnsi="黑体" w:eastAsia="黑体" w:cs="黑体"/>
          <w:sz w:val="48"/>
          <w:szCs w:val="48"/>
        </w:rPr>
      </w:pPr>
    </w:p>
    <w:p>
      <w:pPr>
        <w:widowControl/>
        <w:jc w:val="left"/>
        <w:rPr>
          <w:rFonts w:ascii="黑体" w:hAnsi="黑体" w:eastAsia="黑体" w:cs="黑体"/>
          <w:sz w:val="48"/>
          <w:szCs w:val="48"/>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收、支总计上下年增减量、增减幅度无法计算，主要原因是我单位为新独立单位，上年无数据，无法进行上下年度对比计算。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spacing w:beforeLines="0" w:line="590" w:lineRule="exact"/>
        <w:ind w:firstLine="640"/>
        <w:rPr>
          <w:rFonts w:hint="default" w:ascii="Times New Roman" w:hAnsi="Times New Roman" w:eastAsia="Times New Roman"/>
          <w:kern w:val="0"/>
          <w:sz w:val="18"/>
          <w:szCs w:val="24"/>
          <w:lang w:val="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万元，其中：</w:t>
      </w:r>
      <w:r>
        <w:rPr>
          <w:rFonts w:hint="eastAsia" w:ascii="仿宋_GB2312" w:hAnsi="仿宋_GB2312" w:eastAsia="仿宋_GB2312"/>
          <w:sz w:val="32"/>
          <w:szCs w:val="24"/>
          <w:lang w:val="en-US"/>
        </w:rPr>
        <w:t>基本支出</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100</w:t>
      </w:r>
      <w:r>
        <w:rPr>
          <w:rFonts w:hint="eastAsia" w:ascii="仿宋_GB2312" w:hAnsi="仿宋_GB2312" w:eastAsia="仿宋_GB2312"/>
          <w:sz w:val="32"/>
          <w:szCs w:val="24"/>
          <w:lang w:val="en-US"/>
        </w:rPr>
        <w:t>%；项目支出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%；上缴上级支出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%；经营支出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%；对附属单位补助支出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beforeLines="0" w:line="590" w:lineRule="exact"/>
        <w:ind w:firstLine="64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财政拨款收、支总计上下年增减量、增减幅度无法计算，主要原因是我单位为新独立单位，上年无数据，无法进行上下年度对比计算。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我单位为新独立单位，一般公共预算财政拨款支出上下年增减量、增减幅度无法计算，主要原因是我单位为新独立单位，上年无数据，无法进行上下年度对比计算。</w:t>
      </w:r>
    </w:p>
    <w:p>
      <w:pPr>
        <w:widowControl/>
        <w:spacing w:line="59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37.12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29.52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79.52</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2.49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6.71</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2.72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；住房保障</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2.39万</w:t>
      </w:r>
      <w:r>
        <w:rPr>
          <w:rFonts w:hint="eastAsia" w:ascii="仿宋_GB2312" w:hAnsi="仿宋_GB2312" w:eastAsia="仿宋_GB2312" w:cs="仿宋_GB2312"/>
          <w:sz w:val="32"/>
          <w:szCs w:val="32"/>
          <w:highlight w:val="none"/>
        </w:rPr>
        <w:t>元，占</w:t>
      </w:r>
      <w:r>
        <w:rPr>
          <w:rFonts w:hint="eastAsia" w:ascii="仿宋_GB2312" w:hAnsi="仿宋_GB2312" w:eastAsia="仿宋_GB2312" w:cs="仿宋_GB2312"/>
          <w:sz w:val="32"/>
          <w:szCs w:val="32"/>
          <w:highlight w:val="none"/>
          <w:lang w:val="en-US" w:eastAsia="zh-CN"/>
        </w:rPr>
        <w:t>6.44</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highlight w:val="none"/>
        </w:rPr>
        <w:t>41.92</w:t>
      </w:r>
      <w:r>
        <w:rPr>
          <w:rFonts w:hint="eastAsia" w:ascii="仿宋_GB2312" w:hAnsi="仿宋_GB2312" w:eastAsia="仿宋_GB2312" w:cs="仿宋_GB2312"/>
          <w:sz w:val="32"/>
          <w:szCs w:val="32"/>
        </w:rPr>
        <w:t>万元，支出决算为37.12万元，完成年初预算的</w:t>
      </w:r>
      <w:r>
        <w:rPr>
          <w:rFonts w:hint="eastAsia" w:ascii="仿宋_GB2312" w:hAnsi="仿宋_GB2312" w:eastAsia="仿宋_GB2312" w:cs="仿宋_GB2312"/>
          <w:sz w:val="32"/>
          <w:szCs w:val="32"/>
          <w:lang w:val="en-US" w:eastAsia="zh-CN"/>
        </w:rPr>
        <w:t>88.55</w:t>
      </w:r>
      <w:r>
        <w:rPr>
          <w:rFonts w:hint="eastAsia" w:ascii="仿宋_GB2312" w:hAnsi="仿宋_GB2312" w:eastAsia="仿宋_GB2312" w:cs="仿宋_GB2312"/>
          <w:sz w:val="32"/>
          <w:szCs w:val="32"/>
        </w:rPr>
        <w:t>%。其中：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sz w:val="32"/>
          <w:szCs w:val="32"/>
        </w:rPr>
        <w:t>年初预算为0.2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color w:val="auto"/>
          <w:sz w:val="32"/>
          <w:szCs w:val="32"/>
          <w:highlight w:val="none"/>
          <w:lang w:val="en-US" w:eastAsia="zh-CN"/>
        </w:rPr>
        <w:t>一般公共服务支出（类）党委办公厅（室）及相关机构事务（款） 事业运行（项）。</w:t>
      </w:r>
      <w:r>
        <w:rPr>
          <w:rFonts w:hint="eastAsia" w:ascii="仿宋_GB2312" w:hAnsi="仿宋_GB2312" w:eastAsia="仿宋_GB2312" w:cs="仿宋_GB2312"/>
          <w:sz w:val="32"/>
          <w:szCs w:val="32"/>
        </w:rPr>
        <w:t>年初预算为35.18万元，支出决算为28.83万元，完成年初预算的</w:t>
      </w:r>
      <w:r>
        <w:rPr>
          <w:rFonts w:hint="eastAsia" w:ascii="仿宋_GB2312" w:hAnsi="仿宋_GB2312" w:eastAsia="仿宋_GB2312" w:cs="仿宋_GB2312"/>
          <w:sz w:val="32"/>
          <w:szCs w:val="32"/>
          <w:lang w:val="en-US" w:eastAsia="zh-CN"/>
        </w:rPr>
        <w:t>81.95</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sz w:val="32"/>
          <w:szCs w:val="32"/>
          <w:highlight w:val="none"/>
          <w:lang w:eastAsia="zh-CN"/>
        </w:rPr>
        <w:t>经过预算调整有些科目资金调整用于其他科目。</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3．一般公共服务支出（类）其他一般公共服务支出（款）其他一般公共服务支出（项）。</w:t>
      </w:r>
      <w:r>
        <w:rPr>
          <w:rFonts w:hint="eastAsia" w:ascii="仿宋_GB2312" w:hAnsi="仿宋_GB2312" w:eastAsia="仿宋_GB2312" w:cs="仿宋_GB2312"/>
          <w:color w:val="auto"/>
          <w:sz w:val="32"/>
          <w:szCs w:val="32"/>
          <w:highlight w:val="none"/>
          <w:lang w:val="en-US" w:eastAsia="zh-CN"/>
        </w:rPr>
        <w:t>年初预算为0万元，支出决算为0.48万元。决算数与年初预算数存在差异的主要原因是补发以前年度人员经费。</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年初预算为2.49万元，支出决算为2.49万元，完成年初预算的100%。决算数与年初预算数不存在差异。</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年初预算为1.39万元，支出决算为1.39万元，完成年初预算的100%。决算数与年初预算数不存在差异。</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年初预算为0万元，支出决算为1.33万元 ，决算数与年初预算数存在差异的主要原因是年中相应调剂安排财政拨款预算。</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0" w:name="_GoBack"/>
      <w:bookmarkEnd w:id="0"/>
      <w:r>
        <w:rPr>
          <w:rFonts w:hint="eastAsia" w:ascii="仿宋_GB2312" w:hAnsi="仿宋_GB2312" w:eastAsia="仿宋_GB2312" w:cs="仿宋_GB2312"/>
          <w:b/>
          <w:bCs/>
          <w:color w:val="auto"/>
          <w:sz w:val="32"/>
          <w:szCs w:val="32"/>
          <w:highlight w:val="none"/>
          <w:lang w:val="en-US" w:eastAsia="zh-CN"/>
        </w:rPr>
        <w:t>7．住房保障支出（类）住房改革支出（款）住房公积金（项）。</w:t>
      </w:r>
      <w:r>
        <w:rPr>
          <w:rFonts w:hint="eastAsia" w:ascii="仿宋_GB2312" w:hAnsi="仿宋_GB2312" w:eastAsia="仿宋_GB2312" w:cs="仿宋_GB2312"/>
          <w:color w:val="auto"/>
          <w:sz w:val="32"/>
          <w:szCs w:val="32"/>
          <w:highlight w:val="none"/>
          <w:lang w:val="en-US" w:eastAsia="zh-CN"/>
        </w:rPr>
        <w:t>年初预算为2.67万元，支出决算为2.39万元，完成年初预算的89.51%。决算数与年初预算数存在差异的主要原因是公积金基数调整，导致实际缴纳费用减少。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37.12</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28.59</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其他工资福利支出；公用经费</w:t>
      </w:r>
      <w:r>
        <w:rPr>
          <w:rFonts w:hint="eastAsia" w:ascii="仿宋_GB2312" w:hAnsi="仿宋_GB2312" w:eastAsia="仿宋_GB2312" w:cs="仿宋_GB2312"/>
          <w:sz w:val="32"/>
          <w:szCs w:val="32"/>
          <w:lang w:val="en-US" w:eastAsia="zh-CN"/>
        </w:rPr>
        <w:t>8.53</w:t>
      </w:r>
      <w:r>
        <w:rPr>
          <w:rFonts w:hint="eastAsia" w:ascii="仿宋_GB2312" w:hAnsi="仿宋_GB2312" w:eastAsia="仿宋_GB2312" w:cs="仿宋_GB2312"/>
          <w:sz w:val="32"/>
          <w:szCs w:val="32"/>
        </w:rPr>
        <w:t>万元，主要包括：办公费、印刷费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邮电费、物业管理费、劳务费、工会经费、福利费。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年度政府性基金预算财政拨款支出年初预算为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2022年度没有</w:t>
      </w:r>
      <w:r>
        <w:rPr>
          <w:rFonts w:hint="eastAsia" w:ascii="仿宋_GB2312" w:hAnsi="仿宋_GB2312" w:eastAsia="仿宋_GB2312" w:cs="仿宋_GB2312"/>
          <w:sz w:val="32"/>
          <w:szCs w:val="32"/>
          <w:highlight w:val="none"/>
        </w:rPr>
        <w:t>政府性基金预算财政拨款</w:t>
      </w:r>
      <w:r>
        <w:rPr>
          <w:rFonts w:hint="eastAsia" w:ascii="仿宋_GB2312" w:hAnsi="仿宋_GB2312" w:eastAsia="仿宋_GB2312" w:cs="仿宋_GB2312"/>
          <w:sz w:val="32"/>
          <w:szCs w:val="32"/>
          <w:highlight w:val="none"/>
          <w:lang w:eastAsia="zh-CN"/>
        </w:rPr>
        <w:t>收入、支出、结转和结余。</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八、国有资本</w:t>
      </w:r>
      <w:r>
        <w:rPr>
          <w:rFonts w:ascii="黑体" w:hAnsi="黑体" w:eastAsia="黑体" w:cs="黑体"/>
          <w:sz w:val="32"/>
          <w:szCs w:val="32"/>
        </w:rPr>
        <w:t>经营</w:t>
      </w:r>
      <w:r>
        <w:rPr>
          <w:rFonts w:hint="eastAsia" w:ascii="黑体" w:hAnsi="黑体" w:eastAsia="黑体" w:cs="黑体"/>
          <w:sz w:val="32"/>
          <w:szCs w:val="32"/>
        </w:rPr>
        <w:t>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预算财政拨款支出年初预算为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2022年度没有</w:t>
      </w:r>
      <w:r>
        <w:rPr>
          <w:rFonts w:hint="eastAsia" w:ascii="仿宋_GB2312" w:hAnsi="仿宋_GB2312" w:eastAsia="仿宋_GB2312" w:cs="仿宋_GB2312"/>
          <w:sz w:val="32"/>
          <w:szCs w:val="32"/>
          <w:highlight w:val="none"/>
        </w:rPr>
        <w:t>国有资本</w:t>
      </w:r>
      <w:r>
        <w:rPr>
          <w:rFonts w:ascii="仿宋_GB2312" w:hAnsi="仿宋_GB2312" w:eastAsia="仿宋_GB2312" w:cs="仿宋_GB2312"/>
          <w:sz w:val="32"/>
          <w:szCs w:val="32"/>
          <w:highlight w:val="none"/>
        </w:rPr>
        <w:t>经营</w:t>
      </w:r>
      <w:r>
        <w:rPr>
          <w:rFonts w:hint="eastAsia" w:ascii="仿宋_GB2312" w:hAnsi="仿宋_GB2312" w:eastAsia="仿宋_GB2312" w:cs="仿宋_GB2312"/>
          <w:sz w:val="32"/>
          <w:szCs w:val="32"/>
          <w:highlight w:val="none"/>
        </w:rPr>
        <w:t>预算财政拨款</w:t>
      </w:r>
      <w:r>
        <w:rPr>
          <w:rFonts w:hint="eastAsia" w:ascii="仿宋_GB2312" w:hAnsi="仿宋_GB2312" w:eastAsia="仿宋_GB2312" w:cs="仿宋_GB2312"/>
          <w:sz w:val="32"/>
          <w:szCs w:val="32"/>
          <w:highlight w:val="none"/>
          <w:lang w:eastAsia="zh-CN"/>
        </w:rPr>
        <w:t>收入、支出、结转和结余。</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存在差异。全年因公出国（境）组团</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w:t>
      </w:r>
      <w:r>
        <w:rPr>
          <w:rFonts w:ascii="仿宋_GB2312" w:hAnsi="仿宋_GB2312" w:eastAsia="仿宋_GB2312" w:cs="仿宋_GB2312"/>
          <w:sz w:val="32"/>
          <w:szCs w:val="32"/>
        </w:rPr>
        <w:t>企业合同金额</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0万元（含）以上</w:t>
      </w:r>
      <w:r>
        <w:rPr>
          <w:rFonts w:hint="eastAsia" w:ascii="仿宋_GB2312" w:hAnsi="仿宋_GB2312" w:eastAsia="仿宋_GB2312" w:cs="仿宋_GB2312"/>
          <w:sz w:val="32"/>
          <w:szCs w:val="32"/>
          <w:highlight w:val="none"/>
          <w:lang w:val="en-US" w:eastAsia="zh-CN"/>
        </w:rPr>
        <w:t>通用</w:t>
      </w:r>
      <w:r>
        <w:rPr>
          <w:rFonts w:hint="eastAsia" w:ascii="仿宋_GB2312" w:hAnsi="仿宋_GB2312" w:eastAsia="仿宋_GB2312" w:cs="仿宋_GB2312"/>
          <w:sz w:val="32"/>
          <w:szCs w:val="32"/>
          <w:highlight w:val="none"/>
        </w:rPr>
        <w:t>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价值100万元（含）以上</w:t>
      </w:r>
      <w:r>
        <w:rPr>
          <w:rFonts w:hint="eastAsia" w:ascii="仿宋_GB2312" w:hAnsi="仿宋_GB2312" w:eastAsia="仿宋_GB2312" w:cs="仿宋_GB2312"/>
          <w:sz w:val="32"/>
          <w:szCs w:val="32"/>
          <w:highlight w:val="none"/>
          <w:lang w:val="en-US" w:eastAsia="zh-CN"/>
        </w:rPr>
        <w:t>专用</w:t>
      </w:r>
      <w:r>
        <w:rPr>
          <w:rFonts w:hint="eastAsia" w:ascii="仿宋_GB2312" w:hAnsi="仿宋_GB2312" w:eastAsia="仿宋_GB2312" w:cs="仿宋_GB2312"/>
          <w:sz w:val="32"/>
          <w:szCs w:val="32"/>
          <w:highlight w:val="none"/>
        </w:rPr>
        <w:t>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320" w:firstLineChars="100"/>
        <w:outlineLvl w:val="1"/>
        <w:rPr>
          <w:rFonts w:ascii="黑体" w:hAnsi="黑体" w:eastAsia="黑体" w:cs="黑体"/>
          <w:sz w:val="32"/>
          <w:szCs w:val="32"/>
        </w:rPr>
      </w:pPr>
      <w:r>
        <w:rPr>
          <w:rFonts w:hint="eastAsia" w:ascii="黑体" w:hAnsi="黑体" w:eastAsia="黑体" w:cs="黑体"/>
          <w:sz w:val="32"/>
          <w:szCs w:val="32"/>
        </w:rPr>
        <w:t>十三、预算绩效情况说明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eastAsia="zh-CN"/>
        </w:rPr>
        <w:t>首先，我单位设立完善的整体及项目绩效目标，并积极制订相关的制度、组织相关培训，保证绩效管理工作顺利进行。绩效管理中期严格进行绩效监控工作，监督控制绩效管理工作合理合规的开展，年度终了积极开展绩效自评工作，对全年绩效监控工作做出合理中肯的评价，根据自评结果、预算执行情况、目标完成情况，总结存在的问题及原因，为进一步完善今后的绩效管理工作。</w:t>
      </w:r>
      <w:r>
        <w:rPr>
          <w:rFonts w:hint="eastAsia" w:ascii="仿宋_GB2312" w:hAnsi="仿宋_GB2312" w:eastAsia="仿宋_GB2312" w:cs="仿宋_GB2312"/>
          <w:color w:val="auto"/>
          <w:sz w:val="32"/>
          <w:szCs w:val="32"/>
          <w:highlight w:val="none"/>
          <w:lang w:val="en-US" w:eastAsia="zh-CN"/>
        </w:rPr>
        <w:t>2022年我</w:t>
      </w:r>
      <w:r>
        <w:rPr>
          <w:rFonts w:hint="eastAsia" w:ascii="仿宋_GB2312" w:hAnsi="仿宋_GB2312" w:eastAsia="仿宋_GB2312"/>
          <w:kern w:val="2"/>
          <w:sz w:val="32"/>
          <w:lang w:val="en-US"/>
        </w:rPr>
        <w:t>单位</w:t>
      </w:r>
      <w:r>
        <w:rPr>
          <w:rFonts w:hint="eastAsia" w:ascii="仿宋_GB2312" w:hAnsi="仿宋_GB2312" w:eastAsia="仿宋_GB2312" w:cs="仿宋_GB2312"/>
          <w:color w:val="auto"/>
          <w:sz w:val="32"/>
          <w:szCs w:val="32"/>
          <w:highlight w:val="none"/>
          <w:lang w:val="en-US" w:eastAsia="zh-CN"/>
        </w:rPr>
        <w:t>纳入预算绩效管理的支出总额为37.12万元，其中：基本支出37.12万元；支出项目0个，支出金额0万元。开展项目绩效自评项目0个，自评金额0万元；纳入重点绩效评价0个，评价金额0万元。</w:t>
      </w:r>
    </w:p>
    <w:p>
      <w:pPr>
        <w:widowControl/>
        <w:spacing w:line="590" w:lineRule="exact"/>
        <w:ind w:firstLine="643" w:firstLineChars="200"/>
        <w:outlineLvl w:val="2"/>
        <w:rPr>
          <w:rFonts w:ascii="楷体_GB2312" w:hAnsi="楷体_GB2312" w:eastAsia="楷体_GB2312" w:cs="楷体_GB2312"/>
          <w:b/>
          <w:bCs/>
          <w:sz w:val="32"/>
          <w:szCs w:val="32"/>
        </w:rPr>
      </w:pP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本单位整体绩效目标和项目支出绩效目标进行了自评。一是单位整体绩效自评情况我单位本着清晰明确可量化、可实现的原则，切实结合我单位工作实际，使单位整体绩效评价指标具有较强的针对性，充分体现出我单位的工作的性质、工作内容和特点。根据绩效评价结果来看，绩效指标设定较为科学、合理，体现了针对性和可实现性。我单位严格按照单位预算和有关财务规定，合理列收（支）项目，重大和特殊事项做好事前市场调整。依据调查结论制定工作方案和支出金额，阻绝浪费和不合理支出。二是项目绩效自评情况。我单位共有0个项目批复了绩效目标，项目金额0万元</w:t>
      </w:r>
      <w:r>
        <w:rPr>
          <w:rFonts w:hint="eastAsia" w:ascii="仿宋_GB2312" w:hAnsi="仿宋_GB2312" w:eastAsia="仿宋_GB2312" w:cs="仿宋_GB2312"/>
          <w:sz w:val="32"/>
          <w:szCs w:val="32"/>
          <w:highlight w:val="none"/>
          <w:lang w:val="en-US" w:eastAsia="zh-CN"/>
        </w:rPr>
        <w:t>。</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基于项目预期目标的实现程度，对2022年度项目支出绩效进行自评，绩效自评平均得分为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个项目评价等级为“良”、</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个项目评价等级为“差”。</w:t>
      </w:r>
    </w:p>
    <w:p>
      <w:pPr>
        <w:pStyle w:val="7"/>
        <w:rPr>
          <w:rFonts w:hint="eastAsia"/>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sz w:val="32"/>
          <w:szCs w:val="32"/>
        </w:rPr>
        <w:t>年初结转和结余：指</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以前年度尚未完成、结转到本年仍按原规定用途继续使用的资金，或项目已完成等产生的结余资金。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、经营支出：指事业</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在专业业务活动及其辅助活动之外开展非独立核算经营活动发生的支出。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w:t>
      </w:r>
      <w:r>
        <w:rPr>
          <w:rFonts w:ascii="仿宋_GB2312" w:hAnsi="仿宋_GB2312" w:eastAsia="仿宋_GB2312" w:cs="仿宋_GB2312"/>
          <w:sz w:val="32"/>
          <w:szCs w:val="32"/>
        </w:rPr>
        <w:t>结余分配：指事业</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按照会计制度规定缴纳的所得税、提取的专用结余以及转入非财政拨款结余的金额等。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十六、年末结转和</w:t>
      </w:r>
      <w:r>
        <w:rPr>
          <w:rFonts w:ascii="仿宋_GB2312" w:hAnsi="仿宋_GB2312" w:eastAsia="仿宋_GB2312" w:cs="仿宋_GB2312"/>
          <w:sz w:val="32"/>
          <w:szCs w:val="32"/>
        </w:rPr>
        <w:t>结余</w:t>
      </w:r>
      <w:r>
        <w:rPr>
          <w:rFonts w:hint="eastAsia" w:ascii="仿宋_GB2312" w:hAnsi="仿宋_GB2312" w:eastAsia="仿宋_GB2312" w:cs="仿宋_GB2312"/>
          <w:sz w:val="32"/>
          <w:szCs w:val="32"/>
        </w:rPr>
        <w:t>：指单位</w:t>
      </w:r>
      <w:r>
        <w:rPr>
          <w:rFonts w:ascii="仿宋_GB2312" w:hAnsi="仿宋_GB2312" w:eastAsia="仿宋_GB2312" w:cs="仿宋_GB2312"/>
          <w:sz w:val="32"/>
          <w:szCs w:val="32"/>
        </w:rPr>
        <w:t>按有关规定结转到下年或以后年度</w:t>
      </w:r>
      <w:r>
        <w:rPr>
          <w:rFonts w:hint="eastAsia" w:ascii="仿宋_GB2312" w:hAnsi="仿宋_GB2312" w:eastAsia="仿宋_GB2312" w:cs="仿宋_GB2312"/>
          <w:sz w:val="32"/>
          <w:szCs w:val="32"/>
        </w:rPr>
        <w:t>继续</w:t>
      </w:r>
      <w:r>
        <w:rPr>
          <w:rFonts w:ascii="仿宋_GB2312" w:hAnsi="仿宋_GB2312" w:eastAsia="仿宋_GB2312" w:cs="仿宋_GB2312"/>
          <w:sz w:val="32"/>
          <w:szCs w:val="32"/>
        </w:rPr>
        <w:t>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3" w:firstLineChars="200"/>
        <w:jc w:val="left"/>
        <w:rPr>
          <w:rFonts w:ascii="仿宋_GB2312" w:hAnsi="仿宋_GB2312" w:eastAsia="仿宋_GB2312" w:cs="仿宋_GB2312"/>
          <w:b/>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w:pict>
        <v:shape id="文本框 6" o:spid="_x0000_s204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v:textbox>
        </v:shape>
      </w:pict>
    </w:r>
    <w:r>
      <w:rPr>
        <w:rFonts w:ascii="Times New Roman" w:hAnsi="Times New Roman" w:eastAsia="宋体" w:cs="Times New Roman"/>
        <w:kern w:val="2"/>
        <w:sz w:val="18"/>
        <w:szCs w:val="18"/>
        <w:lang w:val="en-US" w:eastAsia="zh-CN" w:bidi="ar-SA"/>
      </w:rPr>
      <w:pict>
        <v:shape id="文本框 1027" o:spid="_x0000_s2050"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w:pict>
        <v:shape id="文本框 7" o:spid="_x0000_s2051"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2"/>
      <w:numFmt w:val="chineseCounting"/>
      <w:suff w:val="space"/>
      <w:lvlText w:val="第%1部分"/>
      <w:lvlJc w:val="left"/>
      <w:rPr>
        <w:rFonts w:hint="eastAsia"/>
      </w:rPr>
    </w:lvl>
  </w:abstractNum>
  <w:abstractNum w:abstractNumId="1">
    <w:nsid w:val="00000009"/>
    <w:multiLevelType w:val="singleLevel"/>
    <w:tmpl w:val="0000000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M3ODFkYzBkMmMyMjNiMDI0MmU5MjY5ZWYzMGM4NjkifQ=="/>
  </w:docVars>
  <w:rsids>
    <w:rsidRoot w:val="00000000"/>
    <w:rsid w:val="00B329B4"/>
    <w:rsid w:val="237B69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toc 3"/>
    <w:basedOn w:val="1"/>
    <w:next w:val="1"/>
    <w:unhideWhenUsed/>
    <w:qFormat/>
    <w:uiPriority w:val="39"/>
    <w:pPr>
      <w:ind w:left="840" w:leftChars="400"/>
    </w:pPr>
  </w:style>
  <w:style w:type="paragraph" w:styleId="4">
    <w:name w:val="Balloon Text"/>
    <w:basedOn w:val="1"/>
    <w:link w:val="12"/>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qFormat/>
    <w:uiPriority w:val="0"/>
    <w:pPr>
      <w:ind w:firstLine="420" w:firstLineChars="100"/>
    </w:p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customStyle="1" w:styleId="12">
    <w:name w:val="批注框文本 Char Char"/>
    <w:link w:val="4"/>
    <w:uiPriority w:val="0"/>
    <w:rPr>
      <w:kern w:val="2"/>
      <w:sz w:val="18"/>
      <w:szCs w:val="18"/>
    </w:rPr>
  </w:style>
  <w:style w:type="character" w:customStyle="1" w:styleId="13">
    <w:name w:val="页脚 Char Char"/>
    <w:link w:val="5"/>
    <w:uiPriority w:val="0"/>
    <w:rPr>
      <w:kern w:val="2"/>
      <w:sz w:val="18"/>
      <w:szCs w:val="18"/>
    </w:rPr>
  </w:style>
  <w:style w:type="character" w:customStyle="1" w:styleId="14">
    <w:name w:val="页眉 Char Char"/>
    <w:link w:val="6"/>
    <w:uiPriority w:val="0"/>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 w:type="character" w:customStyle="1" w:styleId="20">
    <w:name w:val="font31"/>
    <w:basedOn w:val="9"/>
    <w:qFormat/>
    <w:uiPriority w:val="0"/>
    <w:rPr>
      <w:rFonts w:hint="eastAsia" w:ascii="黑体" w:hAnsi="宋体" w:eastAsia="黑体" w:cs="黑体"/>
      <w:color w:val="000000"/>
      <w:sz w:val="20"/>
      <w:szCs w:val="20"/>
      <w:u w:val="none"/>
    </w:rPr>
  </w:style>
  <w:style w:type="character" w:customStyle="1" w:styleId="21">
    <w:name w:val="font61"/>
    <w:basedOn w:val="9"/>
    <w:qFormat/>
    <w:uiPriority w:val="0"/>
    <w:rPr>
      <w:rFonts w:hint="eastAsia" w:ascii="黑体" w:hAnsi="宋体" w:eastAsia="黑体" w:cs="黑体"/>
      <w:color w:val="000000"/>
      <w:sz w:val="20"/>
      <w:szCs w:val="20"/>
      <w:u w:val="none"/>
    </w:rPr>
  </w:style>
  <w:style w:type="character" w:customStyle="1" w:styleId="22">
    <w:name w:val="font81"/>
    <w:basedOn w:val="9"/>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1617</Words>
  <Characters>9219</Characters>
  <Lines>76</Lines>
  <Paragraphs>21</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2023-09-08T09:05:00Z</dcterms:created>
  <dc:creator>管理者</dc:creator>
  <cp:lastModifiedBy>Administrator</cp:lastModifiedBy>
  <cp:lastPrinted>2023-07-28T10:40:00Z</cp:lastPrinted>
  <dcterms:modified xsi:type="dcterms:W3CDTF">2023-10-09T08:38:07Z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706F530306D944DFB1C9D93CCFDB7FD3_13</vt:lpwstr>
  </property>
</Properties>
</file>