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w:t>
      </w:r>
      <w:r>
        <w:rPr>
          <w:rFonts w:hint="eastAsia" w:ascii="黑体" w:hAnsi="黑体" w:eastAsia="黑体" w:cs="黑体"/>
          <w:sz w:val="52"/>
          <w:szCs w:val="52"/>
          <w:highlight w:val="none"/>
          <w:lang w:val="en-US" w:eastAsia="zh-CN"/>
        </w:rPr>
        <w:t>2</w:t>
      </w:r>
      <w:r>
        <w:rPr>
          <w:rFonts w:hint="eastAsia" w:ascii="黑体" w:hAnsi="黑体" w:eastAsia="黑体" w:cs="黑体"/>
          <w:sz w:val="52"/>
          <w:szCs w:val="52"/>
          <w:highlight w:val="none"/>
        </w:rPr>
        <w:t>年度</w:t>
      </w:r>
    </w:p>
    <w:p>
      <w:pPr>
        <w:jc w:val="center"/>
        <w:rPr>
          <w:rFonts w:hint="eastAsia" w:ascii="黑体" w:hAnsi="黑体" w:eastAsia="黑体" w:cs="黑体"/>
          <w:color w:val="auto"/>
          <w:sz w:val="52"/>
          <w:szCs w:val="52"/>
          <w:highlight w:val="none"/>
          <w:lang w:eastAsia="zh-CN"/>
        </w:rPr>
      </w:pPr>
      <w:r>
        <w:rPr>
          <w:rFonts w:hint="eastAsia" w:ascii="黑体" w:hAnsi="黑体" w:eastAsia="黑体" w:cs="黑体"/>
          <w:color w:val="auto"/>
          <w:sz w:val="52"/>
          <w:szCs w:val="52"/>
          <w:highlight w:val="none"/>
          <w:lang w:eastAsia="zh-CN"/>
        </w:rPr>
        <w:t>许昌市建筑工程标准定额管理站</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both"/>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二〇二</w:t>
      </w:r>
      <w:r>
        <w:rPr>
          <w:rFonts w:hint="eastAsia" w:ascii="黑体" w:hAnsi="黑体" w:eastAsia="黑体" w:cs="黑体"/>
          <w:sz w:val="32"/>
          <w:szCs w:val="32"/>
          <w:highlight w:val="none"/>
          <w:lang w:eastAsia="zh-CN"/>
        </w:rPr>
        <w:t>三</w:t>
      </w:r>
      <w:r>
        <w:rPr>
          <w:rFonts w:hint="eastAsia" w:ascii="黑体" w:hAnsi="黑体" w:eastAsia="黑体" w:cs="黑体"/>
          <w:sz w:val="32"/>
          <w:szCs w:val="32"/>
          <w:highlight w:val="none"/>
        </w:rPr>
        <w:t>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both"/>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color w:val="auto"/>
          <w:sz w:val="32"/>
          <w:szCs w:val="32"/>
          <w:highlight w:val="none"/>
          <w:lang w:eastAsia="zh-CN"/>
        </w:rPr>
        <w:t>许昌市建筑工程标准定额管理站</w:t>
      </w:r>
      <w:r>
        <w:rPr>
          <w:rFonts w:hint="eastAsia" w:ascii="黑体" w:hAnsi="黑体" w:eastAsia="黑体" w:cs="黑体"/>
          <w:sz w:val="32"/>
          <w:szCs w:val="32"/>
          <w:highlight w:val="none"/>
        </w:rPr>
        <w:t>概况</w:t>
      </w:r>
    </w:p>
    <w:p>
      <w:pPr>
        <w:numPr>
          <w:ilvl w:val="0"/>
          <w:numId w:val="1"/>
        </w:numPr>
        <w:ind w:left="-10" w:leftChars="0" w:firstLine="640" w:firstLineChars="0"/>
        <w:jc w:val="left"/>
        <w:rPr>
          <w:rFonts w:ascii="宋体" w:hAnsi="宋体" w:cs="宋体"/>
          <w:sz w:val="32"/>
          <w:szCs w:val="32"/>
          <w:highlight w:val="none"/>
        </w:rPr>
      </w:pPr>
      <w:r>
        <w:rPr>
          <w:rFonts w:hint="eastAsia" w:ascii="宋体" w:hAnsi="宋体" w:cs="宋体"/>
          <w:sz w:val="32"/>
          <w:szCs w:val="32"/>
          <w:highlight w:val="none"/>
          <w:lang w:val="en-US" w:eastAsia="zh-CN"/>
        </w:rPr>
        <w:t>单位</w:t>
      </w:r>
      <w:r>
        <w:rPr>
          <w:rFonts w:hint="eastAsia" w:ascii="宋体" w:hAnsi="宋体" w:cs="宋体"/>
          <w:sz w:val="32"/>
          <w:szCs w:val="32"/>
          <w:highlight w:val="none"/>
        </w:rPr>
        <w:t>职责</w:t>
      </w:r>
    </w:p>
    <w:p>
      <w:pPr>
        <w:numPr>
          <w:ilvl w:val="0"/>
          <w:numId w:val="1"/>
        </w:numPr>
        <w:ind w:left="-10" w:leftChars="0" w:firstLine="640" w:firstLineChars="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w:t>
      </w:r>
      <w:r>
        <w:rPr>
          <w:rFonts w:hint="eastAsia" w:ascii="黑体" w:hAnsi="黑体" w:eastAsia="黑体" w:cs="黑体"/>
          <w:sz w:val="32"/>
          <w:szCs w:val="32"/>
          <w:highlight w:val="none"/>
          <w:lang w:val="en-US" w:eastAsia="zh-CN"/>
        </w:rPr>
        <w:t>2</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四、财政拨款收入支出决算总表</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五、一般公共预算财政拨款支出决算表</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六、一般公共预算财政拨款基本支出决算明细表</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七、政府性基金预算财政拨款收入支出决算表</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八、国有资本经营预算财政拨款支出决算表</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九、财政拨款“三公”经费支出决算表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w:t>
      </w:r>
      <w:r>
        <w:rPr>
          <w:rFonts w:hint="eastAsia" w:ascii="黑体" w:hAnsi="黑体" w:eastAsia="黑体" w:cs="黑体"/>
          <w:sz w:val="32"/>
          <w:szCs w:val="32"/>
          <w:highlight w:val="none"/>
          <w:lang w:val="en-US" w:eastAsia="zh-CN"/>
        </w:rPr>
        <w:t>2</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keepNext w:val="0"/>
        <w:keepLines w:val="0"/>
        <w:widowControl w:val="0"/>
        <w:suppressLineNumbers w:val="0"/>
        <w:spacing w:before="0" w:beforeAutospacing="0" w:after="0" w:afterAutospacing="0"/>
        <w:ind w:left="0" w:right="0" w:firstLine="640" w:firstLineChars="200"/>
        <w:jc w:val="left"/>
        <w:rPr>
          <w:rFonts w:hint="eastAsia" w:ascii="宋体" w:hAnsi="宋体" w:eastAsia="宋体" w:cs="宋体"/>
          <w:kern w:val="2"/>
          <w:sz w:val="32"/>
          <w:szCs w:val="32"/>
        </w:rPr>
      </w:pPr>
      <w:r>
        <w:rPr>
          <w:rFonts w:hint="eastAsia" w:ascii="宋体" w:hAnsi="宋体" w:eastAsia="宋体" w:cs="宋体"/>
          <w:kern w:val="2"/>
          <w:sz w:val="32"/>
          <w:szCs w:val="32"/>
          <w:lang w:val="en-US" w:eastAsia="zh-CN" w:bidi="ar"/>
        </w:rPr>
        <w:t>七、政府性基金预算财政拨款支出决算情况说明</w:t>
      </w:r>
    </w:p>
    <w:p>
      <w:pPr>
        <w:keepNext w:val="0"/>
        <w:keepLines w:val="0"/>
        <w:widowControl w:val="0"/>
        <w:suppressLineNumbers w:val="0"/>
        <w:spacing w:before="0" w:beforeAutospacing="0" w:after="0" w:afterAutospacing="0"/>
        <w:ind w:left="0" w:right="0" w:firstLine="640" w:firstLineChars="200"/>
        <w:jc w:val="left"/>
        <w:rPr>
          <w:rFonts w:hint="eastAsia" w:ascii="宋体" w:hAnsi="宋体" w:eastAsia="宋体" w:cs="宋体"/>
          <w:kern w:val="2"/>
          <w:sz w:val="32"/>
          <w:szCs w:val="32"/>
        </w:rPr>
      </w:pPr>
      <w:r>
        <w:rPr>
          <w:rFonts w:hint="eastAsia" w:ascii="宋体" w:hAnsi="宋体" w:eastAsia="宋体" w:cs="宋体"/>
          <w:kern w:val="2"/>
          <w:sz w:val="32"/>
          <w:szCs w:val="32"/>
          <w:lang w:val="en-US" w:eastAsia="zh-CN" w:bidi="ar"/>
        </w:rPr>
        <w:t>八、国有资本经营预算财政拨款支出决算情况说明</w:t>
      </w:r>
    </w:p>
    <w:p>
      <w:pPr>
        <w:keepNext w:val="0"/>
        <w:keepLines w:val="0"/>
        <w:widowControl w:val="0"/>
        <w:suppressLineNumbers w:val="0"/>
        <w:spacing w:before="0" w:beforeAutospacing="0" w:after="0" w:afterAutospacing="0"/>
        <w:ind w:left="0" w:right="0" w:firstLine="640" w:firstLineChars="200"/>
        <w:jc w:val="left"/>
        <w:rPr>
          <w:rFonts w:hint="eastAsia" w:ascii="宋体" w:hAnsi="宋体" w:eastAsia="宋体" w:cs="宋体"/>
          <w:kern w:val="2"/>
          <w:sz w:val="32"/>
          <w:szCs w:val="32"/>
        </w:rPr>
      </w:pPr>
      <w:r>
        <w:rPr>
          <w:rFonts w:hint="eastAsia" w:ascii="宋体" w:hAnsi="宋体" w:eastAsia="宋体" w:cs="宋体"/>
          <w:kern w:val="2"/>
          <w:sz w:val="32"/>
          <w:szCs w:val="32"/>
          <w:lang w:val="en-US" w:eastAsia="zh-CN" w:bidi="ar"/>
        </w:rPr>
        <w:t>九、财政拨款“三公”经费支出决算情况说明</w:t>
      </w:r>
    </w:p>
    <w:p>
      <w:pPr>
        <w:keepNext w:val="0"/>
        <w:keepLines w:val="0"/>
        <w:widowControl w:val="0"/>
        <w:suppressLineNumbers w:val="0"/>
        <w:spacing w:before="0" w:beforeAutospacing="0" w:after="0" w:afterAutospacing="0"/>
        <w:ind w:left="0" w:right="0" w:firstLine="640" w:firstLineChars="200"/>
        <w:jc w:val="left"/>
        <w:rPr>
          <w:rFonts w:hint="eastAsia" w:ascii="宋体" w:hAnsi="宋体" w:eastAsia="宋体" w:cs="宋体"/>
          <w:kern w:val="2"/>
          <w:sz w:val="32"/>
          <w:szCs w:val="32"/>
        </w:rPr>
      </w:pPr>
      <w:r>
        <w:rPr>
          <w:rFonts w:hint="eastAsia" w:ascii="宋体" w:hAnsi="宋体" w:eastAsia="宋体" w:cs="宋体"/>
          <w:kern w:val="2"/>
          <w:sz w:val="32"/>
          <w:szCs w:val="32"/>
          <w:lang w:val="en-US" w:eastAsia="zh-CN" w:bidi="ar"/>
        </w:rPr>
        <w:t>十、机关运行经费支出情况说明</w:t>
      </w:r>
    </w:p>
    <w:p>
      <w:pPr>
        <w:keepNext w:val="0"/>
        <w:keepLines w:val="0"/>
        <w:widowControl w:val="0"/>
        <w:suppressLineNumbers w:val="0"/>
        <w:spacing w:before="0" w:beforeAutospacing="0" w:after="0" w:afterAutospacing="0"/>
        <w:ind w:left="0" w:right="0" w:firstLine="640" w:firstLineChars="200"/>
        <w:jc w:val="left"/>
        <w:rPr>
          <w:rFonts w:hint="eastAsia" w:ascii="宋体" w:hAnsi="宋体" w:eastAsia="宋体" w:cs="宋体"/>
          <w:kern w:val="2"/>
          <w:sz w:val="32"/>
          <w:szCs w:val="32"/>
        </w:rPr>
      </w:pPr>
      <w:r>
        <w:rPr>
          <w:rFonts w:hint="eastAsia" w:ascii="宋体" w:hAnsi="宋体" w:eastAsia="宋体" w:cs="宋体"/>
          <w:kern w:val="2"/>
          <w:sz w:val="32"/>
          <w:szCs w:val="32"/>
          <w:lang w:val="en-US" w:eastAsia="zh-CN" w:bidi="ar"/>
        </w:rPr>
        <w:t>十一、政府采购支出情况说明</w:t>
      </w:r>
    </w:p>
    <w:p>
      <w:pPr>
        <w:keepNext w:val="0"/>
        <w:keepLines w:val="0"/>
        <w:widowControl w:val="0"/>
        <w:suppressLineNumbers w:val="0"/>
        <w:spacing w:before="0" w:beforeAutospacing="0" w:after="0" w:afterAutospacing="0"/>
        <w:ind w:left="0" w:right="0" w:firstLine="640" w:firstLineChars="200"/>
        <w:jc w:val="left"/>
        <w:rPr>
          <w:rFonts w:hint="eastAsia" w:ascii="宋体" w:hAnsi="宋体" w:eastAsia="宋体" w:cs="宋体"/>
          <w:kern w:val="2"/>
          <w:sz w:val="32"/>
          <w:szCs w:val="32"/>
        </w:rPr>
      </w:pPr>
      <w:r>
        <w:rPr>
          <w:rFonts w:hint="eastAsia" w:ascii="宋体" w:hAnsi="宋体" w:eastAsia="宋体" w:cs="宋体"/>
          <w:kern w:val="2"/>
          <w:sz w:val="32"/>
          <w:szCs w:val="32"/>
          <w:lang w:val="en-US" w:eastAsia="zh-CN" w:bidi="ar"/>
        </w:rPr>
        <w:t>十二、国有资产占用情况说明</w:t>
      </w:r>
    </w:p>
    <w:p>
      <w:pPr>
        <w:keepNext w:val="0"/>
        <w:keepLines w:val="0"/>
        <w:widowControl w:val="0"/>
        <w:suppressLineNumbers w:val="0"/>
        <w:spacing w:before="0" w:beforeAutospacing="0" w:after="0" w:afterAutospacing="0"/>
        <w:ind w:left="0" w:right="0" w:firstLine="640" w:firstLineChars="200"/>
        <w:jc w:val="left"/>
        <w:rPr>
          <w:rFonts w:hint="eastAsia" w:ascii="宋体" w:hAnsi="宋体" w:eastAsia="宋体" w:cs="宋体"/>
          <w:kern w:val="2"/>
          <w:sz w:val="32"/>
          <w:szCs w:val="32"/>
        </w:rPr>
      </w:pPr>
      <w:r>
        <w:rPr>
          <w:rFonts w:hint="eastAsia" w:ascii="宋体" w:hAnsi="宋体" w:eastAsia="宋体" w:cs="宋体"/>
          <w:kern w:val="2"/>
          <w:sz w:val="32"/>
          <w:szCs w:val="32"/>
          <w:lang w:val="en-US" w:eastAsia="zh-CN" w:bidi="ar"/>
        </w:rPr>
        <w:t>十三、预算绩效情况说明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color w:val="auto"/>
          <w:sz w:val="48"/>
          <w:szCs w:val="48"/>
          <w:highlight w:val="none"/>
          <w:lang w:eastAsia="zh-CN"/>
        </w:rPr>
        <w:t>许昌市建筑工程标准定额管理站单位</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widowControl/>
        <w:ind w:firstLine="627"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val="0"/>
          <w:bCs w:val="0"/>
          <w:sz w:val="32"/>
          <w:szCs w:val="32"/>
        </w:rPr>
        <w:t>（一）</w:t>
      </w:r>
      <w:r>
        <w:rPr>
          <w:rFonts w:hint="eastAsia" w:ascii="仿宋_GB2312" w:hAnsi="仿宋_GB2312" w:eastAsia="仿宋_GB2312" w:cs="仿宋_GB2312"/>
          <w:kern w:val="0"/>
          <w:sz w:val="32"/>
          <w:szCs w:val="32"/>
        </w:rPr>
        <w:t>负责贯彻执行国家、省有关工程建设标准规范、技术经济定额的各项政策和法规。</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val="0"/>
          <w:bCs/>
          <w:kern w:val="0"/>
          <w:sz w:val="32"/>
          <w:szCs w:val="32"/>
        </w:rPr>
        <w:t>（二）</w:t>
      </w:r>
      <w:r>
        <w:rPr>
          <w:rFonts w:hint="eastAsia" w:ascii="仿宋_GB2312" w:hAnsi="仿宋_GB2312" w:eastAsia="仿宋_GB2312" w:cs="仿宋_GB2312"/>
          <w:kern w:val="0"/>
          <w:sz w:val="32"/>
          <w:szCs w:val="32"/>
        </w:rPr>
        <w:t>负责制定本市工程造价管理制度和与上级政策、法规相应的实施办法；负责工程招标拦标价预算的备查和竣工决算备案工作；负责对全市建设工程标准定额和工程造价政策、法规的解释、管理和建设工程造价纠纷的调解、仲裁和鉴定。</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val="0"/>
          <w:bCs/>
          <w:kern w:val="0"/>
          <w:sz w:val="32"/>
          <w:szCs w:val="32"/>
        </w:rPr>
        <w:t>（三）负</w:t>
      </w:r>
      <w:r>
        <w:rPr>
          <w:rFonts w:hint="eastAsia" w:ascii="仿宋_GB2312" w:hAnsi="仿宋_GB2312" w:eastAsia="仿宋_GB2312" w:cs="仿宋_GB2312"/>
          <w:kern w:val="0"/>
          <w:sz w:val="32"/>
          <w:szCs w:val="32"/>
        </w:rPr>
        <w:t>责建设工程造价咨询单位的资质管理,制订管理制度和管理办法。</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val="0"/>
          <w:bCs/>
          <w:kern w:val="0"/>
          <w:sz w:val="32"/>
          <w:szCs w:val="32"/>
        </w:rPr>
        <w:t>（四）</w:t>
      </w:r>
      <w:r>
        <w:rPr>
          <w:rFonts w:hint="eastAsia" w:ascii="仿宋_GB2312" w:hAnsi="仿宋_GB2312" w:eastAsia="仿宋_GB2312" w:cs="仿宋_GB2312"/>
          <w:kern w:val="0"/>
          <w:sz w:val="32"/>
          <w:szCs w:val="32"/>
        </w:rPr>
        <w:t>负责工程建设标准的组织实施及对强制性标准的实施进行监督，组织编制、修订本市工程建设地方标准规范。</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 w:val="0"/>
          <w:bCs/>
          <w:kern w:val="0"/>
          <w:sz w:val="32"/>
          <w:szCs w:val="32"/>
        </w:rPr>
        <w:t>（五）组</w:t>
      </w:r>
      <w:r>
        <w:rPr>
          <w:rFonts w:hint="eastAsia" w:ascii="仿宋_GB2312" w:hAnsi="仿宋_GB2312" w:eastAsia="仿宋_GB2312" w:cs="仿宋_GB2312"/>
          <w:kern w:val="0"/>
          <w:sz w:val="32"/>
          <w:szCs w:val="32"/>
        </w:rPr>
        <w:t>织本市地方材料预算价格的测定和编制；定期发布市场价格信息。</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adjustRightInd w:val="0"/>
        <w:snapToGrid w:val="0"/>
        <w:spacing w:line="620" w:lineRule="exact"/>
        <w:ind w:firstLine="640" w:firstLineChars="20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sz w:val="32"/>
          <w:szCs w:val="32"/>
        </w:rPr>
        <w:t>许昌市建筑工程标准定额管理站</w:t>
      </w:r>
      <w:r>
        <w:rPr>
          <w:rFonts w:hint="eastAsia" w:ascii="仿宋_GB2312" w:hAnsi="仿宋_GB2312" w:eastAsia="仿宋_GB2312" w:cs="仿宋_GB2312"/>
          <w:sz w:val="32"/>
          <w:szCs w:val="32"/>
          <w:lang w:eastAsia="zh-CN"/>
        </w:rPr>
        <w:t>内设机构</w:t>
      </w:r>
      <w:r>
        <w:rPr>
          <w:rFonts w:hint="eastAsia" w:ascii="仿宋_GB2312" w:hAnsi="仿宋_GB2312" w:eastAsia="仿宋_GB2312" w:cs="仿宋_GB2312"/>
          <w:sz w:val="32"/>
          <w:szCs w:val="32"/>
          <w:lang w:val="en-US" w:eastAsia="zh-CN"/>
        </w:rPr>
        <w:t>6个</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包括：</w:t>
      </w:r>
      <w:r>
        <w:rPr>
          <w:rFonts w:hint="eastAsia" w:ascii="仿宋_GB2312" w:hAnsi="仿宋_GB2312" w:eastAsia="仿宋_GB2312" w:cs="仿宋_GB2312"/>
          <w:sz w:val="32"/>
          <w:szCs w:val="32"/>
        </w:rPr>
        <w:t>办公室、财务人事科、工程造价管理科、咨询市场管理科、社保科、信息科。</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w:t>
      </w:r>
      <w:r>
        <w:rPr>
          <w:rFonts w:hint="eastAsia" w:ascii="仿宋_GB2312" w:hAnsi="仿宋_GB2312" w:eastAsia="仿宋_GB2312" w:cs="仿宋_GB2312"/>
          <w:sz w:val="32"/>
          <w:szCs w:val="32"/>
        </w:rPr>
        <w:t>许昌市建筑工程标准定额管理站</w:t>
      </w:r>
      <w:r>
        <w:rPr>
          <w:rFonts w:hint="eastAsia" w:ascii="仿宋_GB2312" w:hAnsi="仿宋_GB2312" w:eastAsia="仿宋_GB2312" w:cs="仿宋_GB2312"/>
          <w:color w:val="auto"/>
          <w:kern w:val="0"/>
          <w:sz w:val="32"/>
          <w:szCs w:val="32"/>
          <w:highlight w:val="none"/>
          <w:lang w:val="en-US" w:eastAsia="zh-CN"/>
        </w:rPr>
        <w:t>单位决算包括：本级决算（1个）。</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纳入本单位2022年度单位决算编制范围的单位共1个。具体是：</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1.许昌市建筑工程标准定额管理站</w:t>
      </w:r>
    </w:p>
    <w:p>
      <w:pPr>
        <w:widowControl/>
        <w:jc w:val="left"/>
        <w:rPr>
          <w:rFonts w:hint="eastAsia" w:ascii="仿宋_GB2312" w:hAnsi="仿宋_GB2312" w:eastAsia="仿宋_GB2312" w:cs="仿宋_GB2312"/>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w:t>
      </w:r>
      <w:r>
        <w:rPr>
          <w:rFonts w:hint="eastAsia" w:ascii="黑体" w:hAnsi="黑体" w:eastAsia="黑体" w:cs="黑体"/>
          <w:sz w:val="48"/>
          <w:szCs w:val="48"/>
          <w:highlight w:val="none"/>
          <w:lang w:val="en-US" w:eastAsia="zh-CN"/>
        </w:rPr>
        <w:t>2</w:t>
      </w:r>
      <w:r>
        <w:rPr>
          <w:rFonts w:hint="eastAsia" w:ascii="黑体" w:hAnsi="黑体" w:eastAsia="黑体" w:cs="黑体"/>
          <w:sz w:val="48"/>
          <w:szCs w:val="48"/>
          <w:highlight w:val="none"/>
        </w:rPr>
        <w:t>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139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11"/>
        <w:gridCol w:w="827"/>
        <w:gridCol w:w="1105"/>
        <w:gridCol w:w="4433"/>
        <w:gridCol w:w="827"/>
        <w:gridCol w:w="20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940"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单位：许昌市建筑工程标准定额管理站</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518.33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518.33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518.33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highlight w:val="none"/>
                <w:u w:val="none"/>
                <w:lang w:val="en-US" w:eastAsia="zh-CN"/>
              </w:rPr>
              <w:t>注：本表反映</w:t>
            </w:r>
            <w:r>
              <w:rPr>
                <w:rFonts w:hint="eastAsia" w:ascii="宋体" w:hAnsi="宋体" w:cs="宋体"/>
                <w:i w:val="0"/>
                <w:iCs w:val="0"/>
                <w:color w:val="000000"/>
                <w:kern w:val="0"/>
                <w:sz w:val="22"/>
                <w:szCs w:val="22"/>
                <w:highlight w:val="none"/>
                <w:u w:val="none"/>
                <w:lang w:val="en-US" w:eastAsia="zh-CN"/>
              </w:rPr>
              <w:t>单位</w:t>
            </w:r>
            <w:r>
              <w:rPr>
                <w:rFonts w:hint="eastAsia" w:ascii="宋体" w:hAnsi="宋体" w:eastAsia="宋体" w:cs="宋体"/>
                <w:i w:val="0"/>
                <w:iCs w:val="0"/>
                <w:color w:val="000000"/>
                <w:kern w:val="0"/>
                <w:sz w:val="22"/>
                <w:szCs w:val="22"/>
                <w:highlight w:val="none"/>
                <w:u w:val="none"/>
                <w:lang w:val="en-US" w:eastAsia="zh-CN"/>
              </w:rPr>
              <w:t>本年度的总收支和年末结转结余情况。本表金额转换为万元时，因四舍五入可能存在尾差。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pPr w:leftFromText="180" w:rightFromText="180" w:vertAnchor="text" w:horzAnchor="page" w:tblpX="1531" w:tblpY="62"/>
        <w:tblOverlap w:val="never"/>
        <w:tblW w:w="13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574"/>
        <w:gridCol w:w="222"/>
        <w:gridCol w:w="240"/>
        <w:gridCol w:w="3893"/>
        <w:gridCol w:w="882"/>
        <w:gridCol w:w="882"/>
        <w:gridCol w:w="660"/>
        <w:gridCol w:w="660"/>
        <w:gridCol w:w="660"/>
        <w:gridCol w:w="660"/>
        <w:gridCol w:w="16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trPr>
        <w:tc>
          <w:tcPr>
            <w:tcW w:w="13935" w:type="dxa"/>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3574"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9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8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8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6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6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6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6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02"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3574"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单位：许昌市建筑工程标准定额管理站</w:t>
            </w: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9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8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8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6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6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6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6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02"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7929"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82"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882"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660"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660"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660"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660"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602"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036"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893" w:type="dxa"/>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82"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882"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66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66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66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66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02"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036"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893"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882"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882"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66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66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66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66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02"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036"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893"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882"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882"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66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66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66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66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02"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7929" w:type="dxa"/>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8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8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6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6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6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6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60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7929" w:type="dxa"/>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518.33</w:t>
            </w:r>
          </w:p>
        </w:tc>
        <w:tc>
          <w:tcPr>
            <w:tcW w:w="8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518.33</w:t>
            </w:r>
          </w:p>
        </w:tc>
        <w:tc>
          <w:tcPr>
            <w:tcW w:w="6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403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15.50</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403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403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403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3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12.89</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12.89</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403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3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12.89</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12.89</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403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43.61</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43.61</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403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43.61</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43.61</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403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3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12.14</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12.14</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403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31.46</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31.46</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403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403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403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3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403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w:t>
            </w:r>
          </w:p>
        </w:tc>
        <w:tc>
          <w:tcPr>
            <w:tcW w:w="3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资源勘探工业信息等支出</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415.71</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415.71</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403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21503</w:t>
            </w:r>
          </w:p>
        </w:tc>
        <w:tc>
          <w:tcPr>
            <w:tcW w:w="3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建筑业</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415.71</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415.71</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403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2150399</w:t>
            </w:r>
          </w:p>
        </w:tc>
        <w:tc>
          <w:tcPr>
            <w:tcW w:w="3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其他建筑业支出</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415.71</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415.71</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403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28.51</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28.51</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403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3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28.51</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28.51</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403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3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28.51</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28.51</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13935"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注：本表反映单位本年度取得的各项收入情况。</w:t>
            </w:r>
            <w:r>
              <w:rPr>
                <w:rFonts w:hint="eastAsia" w:ascii="宋体" w:hAnsi="宋体" w:eastAsia="宋体" w:cs="宋体"/>
                <w:i w:val="0"/>
                <w:iCs w:val="0"/>
                <w:color w:val="000000"/>
                <w:kern w:val="0"/>
                <w:sz w:val="22"/>
                <w:szCs w:val="22"/>
                <w:highlight w:val="none"/>
                <w:u w:val="none"/>
                <w:lang w:val="en-US" w:eastAsia="zh-CN"/>
              </w:rPr>
              <w:t>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732"/>
        <w:gridCol w:w="229"/>
        <w:gridCol w:w="229"/>
        <w:gridCol w:w="4083"/>
        <w:gridCol w:w="929"/>
        <w:gridCol w:w="929"/>
        <w:gridCol w:w="695"/>
        <w:gridCol w:w="695"/>
        <w:gridCol w:w="695"/>
        <w:gridCol w:w="1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9" w:hRule="atLeast"/>
        </w:trPr>
        <w:tc>
          <w:tcPr>
            <w:tcW w:w="1392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单位：许昌市建筑工程标准定额管理站</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917"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917"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686"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686"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686"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687"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4225"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1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1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686"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686"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686"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8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4225"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1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1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686"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686"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686"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8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4225"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1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1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686"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686"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686"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8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0" w:type="auto"/>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91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1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86"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86"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86"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68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0" w:type="auto"/>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518.33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518.33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415.71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415.71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建筑业</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415.71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415.71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其他建筑业支出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415.71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415.71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注：本表反映单位本年度各项支出情况。</w:t>
            </w:r>
            <w:r>
              <w:rPr>
                <w:rFonts w:hint="eastAsia" w:ascii="宋体" w:hAnsi="宋体" w:eastAsia="宋体" w:cs="宋体"/>
                <w:i w:val="0"/>
                <w:iCs w:val="0"/>
                <w:color w:val="000000"/>
                <w:kern w:val="0"/>
                <w:sz w:val="22"/>
                <w:szCs w:val="22"/>
                <w:highlight w:val="none"/>
                <w:u w:val="none"/>
                <w:lang w:val="en-US" w:eastAsia="zh-CN"/>
              </w:rPr>
              <w:t>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770"/>
        <w:gridCol w:w="613"/>
        <w:gridCol w:w="1053"/>
        <w:gridCol w:w="4061"/>
        <w:gridCol w:w="613"/>
        <w:gridCol w:w="1006"/>
        <w:gridCol w:w="1202"/>
        <w:gridCol w:w="1062"/>
        <w:gridCol w:w="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880"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3"/>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单位：许昌市建筑工程标准定额管理站</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609" w:type="dxa"/>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66"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964"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929"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66"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85"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079"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018"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609"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56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64"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929"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56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79"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18"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518.33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43.61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43.61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415.71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415.71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518.33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518.33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518.33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518.33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518.33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518.33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注：本表反映单位本年度一般公共预算财政拨款、政府性基金预算财政拨款和国有资本经营预算财政拨款的总收支和年末结转结余情况。</w:t>
            </w:r>
            <w:r>
              <w:rPr>
                <w:rFonts w:hint="eastAsia" w:ascii="宋体" w:hAnsi="宋体" w:eastAsia="宋体" w:cs="宋体"/>
                <w:i w:val="0"/>
                <w:iCs w:val="0"/>
                <w:color w:val="000000"/>
                <w:kern w:val="0"/>
                <w:sz w:val="22"/>
                <w:szCs w:val="22"/>
                <w:highlight w:val="none"/>
                <w:u w:val="none"/>
                <w:lang w:val="en-US" w:eastAsia="zh-CN"/>
              </w:rPr>
              <w:t>本表金额转换为万元时，因四舍五入可能存在尾差。</w:t>
            </w: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616"/>
        <w:gridCol w:w="222"/>
        <w:gridCol w:w="222"/>
        <w:gridCol w:w="3956"/>
        <w:gridCol w:w="2331"/>
        <w:gridCol w:w="1710"/>
        <w:gridCol w:w="1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917"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61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33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1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6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61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单位：许昌市建筑工程标准定额管理站</w:t>
            </w: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33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1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6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1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901" w:type="dxa"/>
            <w:gridSpan w:val="3"/>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956" w:type="dxa"/>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331"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71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6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4060"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2331"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71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86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2331"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71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86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16" w:type="dxa"/>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3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1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16" w:type="dxa"/>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33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518.33</w:t>
            </w:r>
          </w:p>
        </w:tc>
        <w:tc>
          <w:tcPr>
            <w:tcW w:w="17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518.33</w:t>
            </w:r>
          </w:p>
        </w:tc>
        <w:tc>
          <w:tcPr>
            <w:tcW w:w="18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2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15.50</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15.50</w:t>
            </w:r>
          </w:p>
        </w:tc>
        <w:tc>
          <w:tcPr>
            <w:tcW w:w="1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2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w:t>
            </w:r>
          </w:p>
        </w:tc>
        <w:tc>
          <w:tcPr>
            <w:tcW w:w="1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2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w:t>
            </w:r>
          </w:p>
        </w:tc>
        <w:tc>
          <w:tcPr>
            <w:tcW w:w="1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2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12.89</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12.89</w:t>
            </w:r>
          </w:p>
        </w:tc>
        <w:tc>
          <w:tcPr>
            <w:tcW w:w="1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2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12.89</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12.89</w:t>
            </w:r>
          </w:p>
        </w:tc>
        <w:tc>
          <w:tcPr>
            <w:tcW w:w="1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43.61</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43.61</w:t>
            </w:r>
          </w:p>
        </w:tc>
        <w:tc>
          <w:tcPr>
            <w:tcW w:w="1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43.61</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43.61</w:t>
            </w:r>
          </w:p>
        </w:tc>
        <w:tc>
          <w:tcPr>
            <w:tcW w:w="1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2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12.14</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12.14</w:t>
            </w:r>
          </w:p>
        </w:tc>
        <w:tc>
          <w:tcPr>
            <w:tcW w:w="1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31.46</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31.46</w:t>
            </w:r>
          </w:p>
        </w:tc>
        <w:tc>
          <w:tcPr>
            <w:tcW w:w="1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2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w:t>
            </w:r>
          </w:p>
        </w:tc>
        <w:tc>
          <w:tcPr>
            <w:tcW w:w="1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2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w:t>
            </w:r>
          </w:p>
        </w:tc>
        <w:tc>
          <w:tcPr>
            <w:tcW w:w="1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2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w:t>
            </w:r>
          </w:p>
        </w:tc>
        <w:tc>
          <w:tcPr>
            <w:tcW w:w="1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资源勘探工业信息等支出</w:t>
            </w:r>
          </w:p>
        </w:tc>
        <w:tc>
          <w:tcPr>
            <w:tcW w:w="2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415.71</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415.71</w:t>
            </w:r>
          </w:p>
        </w:tc>
        <w:tc>
          <w:tcPr>
            <w:tcW w:w="1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21503</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建筑业</w:t>
            </w:r>
          </w:p>
        </w:tc>
        <w:tc>
          <w:tcPr>
            <w:tcW w:w="2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415.71</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415.71</w:t>
            </w:r>
          </w:p>
        </w:tc>
        <w:tc>
          <w:tcPr>
            <w:tcW w:w="1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2150399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其他建筑业支出</w:t>
            </w:r>
          </w:p>
        </w:tc>
        <w:tc>
          <w:tcPr>
            <w:tcW w:w="2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415.71</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415.71</w:t>
            </w:r>
          </w:p>
        </w:tc>
        <w:tc>
          <w:tcPr>
            <w:tcW w:w="1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2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28.51</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28.51</w:t>
            </w:r>
          </w:p>
        </w:tc>
        <w:tc>
          <w:tcPr>
            <w:tcW w:w="1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2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28.51</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28.51</w:t>
            </w:r>
          </w:p>
        </w:tc>
        <w:tc>
          <w:tcPr>
            <w:tcW w:w="1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28.51</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28.51</w:t>
            </w:r>
          </w:p>
        </w:tc>
        <w:tc>
          <w:tcPr>
            <w:tcW w:w="1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17"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注：本表反映单位本年度一般公共预算财政拨款支出情况。</w:t>
            </w:r>
            <w:r>
              <w:rPr>
                <w:rFonts w:hint="eastAsia" w:ascii="宋体" w:hAnsi="宋体" w:eastAsia="宋体" w:cs="宋体"/>
                <w:i w:val="0"/>
                <w:iCs w:val="0"/>
                <w:color w:val="000000"/>
                <w:kern w:val="0"/>
                <w:sz w:val="22"/>
                <w:szCs w:val="22"/>
                <w:highlight w:val="none"/>
                <w:u w:val="none"/>
                <w:lang w:val="en-US" w:eastAsia="zh-CN"/>
              </w:rPr>
              <w:t>本表金额转换为万元时，因四舍五入可能存在尾差。</w:t>
            </w:r>
          </w:p>
        </w:tc>
      </w:tr>
    </w:tbl>
    <w:p>
      <w:pPr>
        <w:rPr>
          <w:rFonts w:hint="eastAsia" w:ascii="仿宋_GB2312" w:hAnsi="仿宋_GB2312" w:eastAsia="仿宋_GB2312" w:cs="仿宋_GB2312"/>
          <w:sz w:val="32"/>
          <w:szCs w:val="32"/>
          <w:highlight w:val="none"/>
          <w:lang w:eastAsia="zh-CN"/>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9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516"/>
        <w:gridCol w:w="876"/>
        <w:gridCol w:w="766"/>
        <w:gridCol w:w="2416"/>
        <w:gridCol w:w="766"/>
        <w:gridCol w:w="766"/>
        <w:gridCol w:w="3175"/>
        <w:gridCol w:w="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992"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6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351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7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1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20"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158" w:type="dxa"/>
            <w:gridSpan w:val="3"/>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单位：许昌市建筑工程标准定额管理站</w:t>
            </w:r>
          </w:p>
        </w:tc>
        <w:tc>
          <w:tcPr>
            <w:tcW w:w="7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1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20"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58"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8834" w:type="dxa"/>
            <w:gridSpan w:val="6"/>
            <w:tcBorders>
              <w:top w:val="single" w:color="000000" w:sz="4" w:space="0"/>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516"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76"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66"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416"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66"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66"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175"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45"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51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87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41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17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35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487.59</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7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31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9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35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144.87</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7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31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9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35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164.85</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7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5.42</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31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9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35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26.28</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7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31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9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35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7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31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9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35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73.55</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7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31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9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35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32.17</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7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31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9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35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7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31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9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35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15.56</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7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31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9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35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7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31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9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35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7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31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9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35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28.51</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7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31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9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35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7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31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9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35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7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31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9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35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12.14</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7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31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9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35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7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0.49</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31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9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35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12.14</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7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31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9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35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7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31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9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35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7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31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9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35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7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31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9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35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7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31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9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35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7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31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9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35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7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31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9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35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7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39909</w:t>
            </w:r>
          </w:p>
        </w:tc>
        <w:tc>
          <w:tcPr>
            <w:tcW w:w="31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9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35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7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39910</w:t>
            </w:r>
          </w:p>
        </w:tc>
        <w:tc>
          <w:tcPr>
            <w:tcW w:w="31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9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35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7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31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9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35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7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3175"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7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0.98</w:t>
            </w:r>
          </w:p>
        </w:tc>
        <w:tc>
          <w:tcPr>
            <w:tcW w:w="766"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3175"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82" w:type="dxa"/>
            <w:gridSpan w:val="2"/>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499.73</w:t>
            </w:r>
          </w:p>
        </w:tc>
        <w:tc>
          <w:tcPr>
            <w:tcW w:w="7889" w:type="dxa"/>
            <w:gridSpan w:val="5"/>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9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92" w:type="dxa"/>
            <w:gridSpan w:val="9"/>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注：本表反映单位本年度一般公共预算财政拨款基本支出明细情况。</w:t>
            </w:r>
            <w:r>
              <w:rPr>
                <w:rFonts w:hint="eastAsia" w:ascii="宋体" w:hAnsi="宋体" w:eastAsia="宋体" w:cs="宋体"/>
                <w:i w:val="0"/>
                <w:iCs w:val="0"/>
                <w:color w:val="000000"/>
                <w:kern w:val="0"/>
                <w:sz w:val="22"/>
                <w:szCs w:val="22"/>
                <w:highlight w:val="none"/>
                <w:u w:val="none"/>
                <w:lang w:val="en-US" w:eastAsia="zh-CN"/>
              </w:rPr>
              <w:t>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7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616"/>
        <w:gridCol w:w="222"/>
        <w:gridCol w:w="222"/>
        <w:gridCol w:w="1096"/>
        <w:gridCol w:w="1320"/>
        <w:gridCol w:w="1280"/>
        <w:gridCol w:w="1273"/>
        <w:gridCol w:w="1266"/>
        <w:gridCol w:w="1240"/>
        <w:gridCol w:w="2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74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0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单位：许昌市建筑工程标准定额管理站</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0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320"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280"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3779" w:type="dxa"/>
            <w:gridSpan w:val="3"/>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2205"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2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28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273"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66"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24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220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28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273"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26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24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20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28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273"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26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24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20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20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22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2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2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40"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注：本表反映单位本年度政府性基金预算财政拨款收入、支出及结转和结余情况。</w:t>
            </w:r>
            <w:r>
              <w:rPr>
                <w:rFonts w:hint="eastAsia" w:ascii="宋体" w:hAnsi="宋体" w:eastAsia="宋体" w:cs="宋体"/>
                <w:i w:val="0"/>
                <w:iCs w:val="0"/>
                <w:color w:val="000000"/>
                <w:kern w:val="0"/>
                <w:sz w:val="22"/>
                <w:szCs w:val="22"/>
                <w:highlight w:val="none"/>
                <w:u w:val="none"/>
                <w:lang w:val="en-US" w:eastAsia="zh-CN"/>
              </w:rPr>
              <w:t>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r>
        <w:rPr>
          <w:rFonts w:hint="eastAsia" w:ascii="仿宋_GB2312" w:hAnsi="仿宋_GB2312" w:eastAsia="仿宋_GB2312" w:cs="仿宋_GB2312"/>
          <w:sz w:val="32"/>
          <w:szCs w:val="32"/>
        </w:rPr>
        <w:t>说明：我</w:t>
      </w:r>
      <w:r>
        <w:rPr>
          <w:rFonts w:hint="default" w:ascii="仿宋_GB2312" w:hAnsi="仿宋_GB2312" w:eastAsia="仿宋_GB2312" w:cs="仿宋_GB2312"/>
          <w:sz w:val="32"/>
          <w:szCs w:val="32"/>
        </w:rPr>
        <w:t>单位</w:t>
      </w:r>
      <w:r>
        <w:rPr>
          <w:rFonts w:hint="default" w:ascii="仿宋_GB2312" w:hAnsi="仿宋_GB2312" w:eastAsia="仿宋_GB2312" w:cs="仿宋_GB2312"/>
          <w:color w:val="auto"/>
          <w:sz w:val="32"/>
          <w:szCs w:val="32"/>
          <w:highlight w:val="none"/>
          <w:lang w:eastAsia="zh-CN"/>
        </w:rPr>
        <w:t>本年度</w:t>
      </w:r>
      <w:r>
        <w:rPr>
          <w:rFonts w:hint="eastAsia" w:ascii="仿宋_GB2312" w:hAnsi="仿宋_GB2312" w:eastAsia="仿宋_GB2312" w:cs="仿宋_GB2312"/>
          <w:color w:val="auto"/>
          <w:sz w:val="32"/>
          <w:szCs w:val="32"/>
          <w:highlight w:val="none"/>
          <w:lang w:val="en-US" w:eastAsia="zh-CN"/>
        </w:rPr>
        <w:t>没有政府性基金</w:t>
      </w:r>
      <w:r>
        <w:rPr>
          <w:rFonts w:hint="default" w:ascii="仿宋_GB2312" w:hAnsi="仿宋_GB2312" w:eastAsia="仿宋_GB2312" w:cs="仿宋_GB2312"/>
          <w:color w:val="auto"/>
          <w:sz w:val="32"/>
          <w:szCs w:val="32"/>
          <w:highlight w:val="none"/>
          <w:lang w:eastAsia="zh-CN"/>
        </w:rPr>
        <w:t>预算财政拨款</w:t>
      </w:r>
      <w:r>
        <w:rPr>
          <w:rFonts w:hint="eastAsia" w:ascii="仿宋_GB2312" w:hAnsi="仿宋_GB2312" w:eastAsia="仿宋_GB2312" w:cs="仿宋_GB2312"/>
          <w:color w:val="auto"/>
          <w:sz w:val="32"/>
          <w:szCs w:val="32"/>
          <w:highlight w:val="none"/>
          <w:lang w:val="en-US" w:eastAsia="zh-CN"/>
        </w:rPr>
        <w:t>收入</w:t>
      </w:r>
      <w:r>
        <w:rPr>
          <w:rFonts w:hint="default"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支出</w:t>
      </w:r>
      <w:r>
        <w:rPr>
          <w:rFonts w:hint="default" w:ascii="仿宋_GB2312" w:hAnsi="仿宋_GB2312" w:eastAsia="仿宋_GB2312" w:cs="仿宋_GB2312"/>
          <w:color w:val="auto"/>
          <w:sz w:val="32"/>
          <w:szCs w:val="32"/>
          <w:highlight w:val="none"/>
          <w:lang w:eastAsia="zh-CN"/>
        </w:rPr>
        <w:t>、结转和结余</w:t>
      </w:r>
      <w:r>
        <w:rPr>
          <w:rFonts w:hint="eastAsia" w:ascii="仿宋_GB2312" w:hAnsi="仿宋_GB2312" w:eastAsia="仿宋_GB2312" w:cs="仿宋_GB2312"/>
          <w:color w:val="auto"/>
          <w:sz w:val="32"/>
          <w:szCs w:val="32"/>
          <w:highlight w:val="none"/>
          <w:lang w:val="en-US" w:eastAsia="zh-CN"/>
        </w:rPr>
        <w:t>，故本表无数据。</w:t>
      </w:r>
    </w:p>
    <w:tbl>
      <w:tblPr>
        <w:tblStyle w:val="5"/>
        <w:tblW w:w="1396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616"/>
        <w:gridCol w:w="222"/>
        <w:gridCol w:w="222"/>
        <w:gridCol w:w="1412"/>
        <w:gridCol w:w="2490"/>
        <w:gridCol w:w="1785"/>
        <w:gridCol w:w="4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962"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61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1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9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8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21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61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单位：许昌市建筑工程标准定额管理站</w:t>
            </w: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1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9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8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21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72"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490" w:type="dxa"/>
            <w:gridSpan w:val="3"/>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412" w:type="dxa"/>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49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785"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4215"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412"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249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78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21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412"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249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78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21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72" w:type="dxa"/>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49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8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21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72" w:type="dxa"/>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49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178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42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12"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9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12"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9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12"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9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12"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9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12"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9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12"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9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62"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注：本表反映单位本年度国有资本经营预算财政拨款支出情况。</w:t>
            </w:r>
            <w:r>
              <w:rPr>
                <w:rFonts w:hint="eastAsia" w:ascii="宋体" w:hAnsi="宋体" w:eastAsia="宋体" w:cs="宋体"/>
                <w:i w:val="0"/>
                <w:iCs w:val="0"/>
                <w:color w:val="000000"/>
                <w:kern w:val="0"/>
                <w:sz w:val="22"/>
                <w:szCs w:val="22"/>
                <w:highlight w:val="none"/>
                <w:u w:val="none"/>
                <w:lang w:val="en-US" w:eastAsia="zh-CN"/>
              </w:rPr>
              <w:t>本表金额转换为万元时，因四舍五入可能存在尾差。</w:t>
            </w:r>
          </w:p>
        </w:tc>
      </w:tr>
    </w:tbl>
    <w:p>
      <w:pPr>
        <w:spacing w:line="360" w:lineRule="auto"/>
        <w:jc w:val="left"/>
        <w:rPr>
          <w:rFonts w:ascii="仿宋_GB2312" w:hAnsi="仿宋_GB2312" w:eastAsia="仿宋_GB2312" w:cs="仿宋_GB2312"/>
          <w:sz w:val="32"/>
          <w:szCs w:val="32"/>
        </w:rPr>
      </w:pPr>
      <w:r>
        <w:rPr>
          <w:rFonts w:hint="default" w:ascii="仿宋_GB2312" w:hAnsi="Times New Roman" w:eastAsia="仿宋_GB2312" w:cs="仿宋_GB2312"/>
          <w:kern w:val="2"/>
          <w:sz w:val="32"/>
          <w:szCs w:val="32"/>
          <w:highlight w:val="none"/>
          <w:lang w:val="en-US" w:eastAsia="zh-CN" w:bidi="ar"/>
        </w:rPr>
        <w:t>说明：我</w:t>
      </w:r>
      <w:r>
        <w:rPr>
          <w:rFonts w:hint="eastAsia" w:ascii="仿宋_GB2312" w:eastAsia="仿宋_GB2312" w:cs="仿宋_GB2312"/>
          <w:kern w:val="2"/>
          <w:sz w:val="32"/>
          <w:szCs w:val="32"/>
          <w:highlight w:val="none"/>
          <w:lang w:val="en-US" w:eastAsia="zh-CN" w:bidi="ar"/>
        </w:rPr>
        <w:t>单位</w:t>
      </w:r>
      <w:r>
        <w:rPr>
          <w:rFonts w:hint="default" w:ascii="仿宋_GB2312" w:eastAsia="仿宋_GB2312" w:cs="仿宋_GB2312"/>
          <w:kern w:val="2"/>
          <w:sz w:val="32"/>
          <w:szCs w:val="32"/>
          <w:highlight w:val="none"/>
          <w:lang w:eastAsia="zh-CN" w:bidi="ar"/>
        </w:rPr>
        <w:t>本年度</w:t>
      </w:r>
      <w:r>
        <w:rPr>
          <w:rFonts w:hint="default" w:ascii="仿宋_GB2312" w:hAnsi="Times New Roman" w:eastAsia="仿宋_GB2312" w:cs="仿宋_GB2312"/>
          <w:kern w:val="2"/>
          <w:sz w:val="32"/>
          <w:szCs w:val="32"/>
          <w:highlight w:val="none"/>
          <w:lang w:val="en-US" w:eastAsia="zh-CN" w:bidi="ar"/>
        </w:rPr>
        <w:t>没有国有资本经营预算</w:t>
      </w:r>
      <w:r>
        <w:rPr>
          <w:rFonts w:hint="default" w:ascii="仿宋_GB2312" w:eastAsia="仿宋_GB2312" w:cs="仿宋_GB2312"/>
          <w:kern w:val="2"/>
          <w:sz w:val="32"/>
          <w:szCs w:val="32"/>
          <w:highlight w:val="none"/>
          <w:lang w:eastAsia="zh-CN" w:bidi="ar"/>
        </w:rPr>
        <w:t>财政拨款</w:t>
      </w:r>
      <w:r>
        <w:rPr>
          <w:rFonts w:hint="default" w:ascii="仿宋_GB2312" w:hAnsi="Times New Roman" w:eastAsia="仿宋_GB2312" w:cs="仿宋_GB2312"/>
          <w:kern w:val="2"/>
          <w:sz w:val="32"/>
          <w:szCs w:val="32"/>
          <w:highlight w:val="none"/>
          <w:lang w:val="en-US" w:eastAsia="zh-CN" w:bidi="ar"/>
        </w:rPr>
        <w:t>支出，故本表无数据。</w:t>
      </w:r>
    </w:p>
    <w:p>
      <w:pPr>
        <w:widowControl/>
        <w:spacing w:line="590" w:lineRule="exact"/>
        <w:jc w:val="left"/>
        <w:rPr>
          <w:rFonts w:hint="eastAsia" w:ascii="仿宋_GB2312" w:hAnsi="仿宋_GB2312" w:eastAsia="仿宋_GB2312" w:cs="仿宋_GB2312"/>
          <w:sz w:val="32"/>
          <w:szCs w:val="32"/>
          <w:highlight w:val="none"/>
        </w:rPr>
      </w:pPr>
    </w:p>
    <w:p>
      <w:pPr>
        <w:widowControl/>
        <w:spacing w:line="590" w:lineRule="exact"/>
        <w:jc w:val="left"/>
        <w:rPr>
          <w:rFonts w:hint="eastAsia" w:ascii="仿宋_GB2312" w:hAnsi="仿宋_GB2312" w:eastAsia="仿宋_GB2312" w:cs="仿宋_GB2312"/>
          <w:sz w:val="32"/>
          <w:szCs w:val="32"/>
          <w:highlight w:val="none"/>
        </w:rPr>
      </w:pPr>
    </w:p>
    <w:p>
      <w:pPr>
        <w:widowControl/>
        <w:spacing w:line="590" w:lineRule="exact"/>
        <w:jc w:val="left"/>
        <w:rPr>
          <w:rFonts w:hint="eastAsia" w:ascii="仿宋_GB2312" w:hAnsi="仿宋_GB2312" w:eastAsia="仿宋_GB2312" w:cs="仿宋_GB2312"/>
          <w:sz w:val="32"/>
          <w:szCs w:val="32"/>
          <w:highlight w:val="none"/>
        </w:rPr>
      </w:pPr>
    </w:p>
    <w:p>
      <w:pPr>
        <w:widowControl/>
        <w:spacing w:line="590" w:lineRule="exact"/>
        <w:jc w:val="left"/>
        <w:rPr>
          <w:rFonts w:hint="eastAsia" w:ascii="仿宋_GB2312" w:hAnsi="仿宋_GB2312" w:eastAsia="仿宋_GB2312" w:cs="仿宋_GB2312"/>
          <w:sz w:val="32"/>
          <w:szCs w:val="32"/>
          <w:highlight w:val="none"/>
        </w:rPr>
      </w:pPr>
    </w:p>
    <w:tbl>
      <w:tblPr>
        <w:tblStyle w:val="5"/>
        <w:tblW w:w="139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63"/>
        <w:gridCol w:w="1201"/>
        <w:gridCol w:w="993"/>
        <w:gridCol w:w="1245"/>
        <w:gridCol w:w="1290"/>
        <w:gridCol w:w="1038"/>
        <w:gridCol w:w="874"/>
        <w:gridCol w:w="1112"/>
        <w:gridCol w:w="1038"/>
        <w:gridCol w:w="1394"/>
        <w:gridCol w:w="1394"/>
        <w:gridCol w:w="1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2" w:hRule="atLeast"/>
        </w:trPr>
        <w:tc>
          <w:tcPr>
            <w:tcW w:w="13940" w:type="dxa"/>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30"/>
                <w:szCs w:val="30"/>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0" w:type="auto"/>
            <w:gridSpan w:val="4"/>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单位：许昌市建筑工程标准定额管理站</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673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7210" w:type="dxa"/>
            <w:gridSpan w:val="6"/>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963" w:type="dxa"/>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01"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528" w:type="dxa"/>
            <w:gridSpan w:val="3"/>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1038"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874"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12"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826" w:type="dxa"/>
            <w:gridSpan w:val="3"/>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1398"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3" w:hRule="atLeast"/>
        </w:trPr>
        <w:tc>
          <w:tcPr>
            <w:tcW w:w="963"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201"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9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4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29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038"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874"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12"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394"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394"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398"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963"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01"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4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9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38"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74"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1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38"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394"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94"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398"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1394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注：本表反映单位本年度财政拨款“三公”经费支出预决算情况。其中，预算数为“三公”经费全年预算数，反映按规定程序调整后的预算数；决算数是包括当年财政拨款和以前年度结转资金安排的实际支出。</w:t>
            </w:r>
            <w:r>
              <w:rPr>
                <w:rFonts w:hint="eastAsia" w:ascii="宋体" w:hAnsi="宋体" w:eastAsia="宋体" w:cs="宋体"/>
                <w:i w:val="0"/>
                <w:iCs w:val="0"/>
                <w:color w:val="000000"/>
                <w:kern w:val="0"/>
                <w:sz w:val="22"/>
                <w:szCs w:val="22"/>
                <w:highlight w:val="none"/>
                <w:u w:val="none"/>
                <w:lang w:val="en-US" w:eastAsia="zh-CN"/>
              </w:rPr>
              <w:t>本表金额转换为万元时，因四舍五入可能存在尾差。</w:t>
            </w: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w:t>
      </w:r>
      <w:r>
        <w:rPr>
          <w:rFonts w:hint="eastAsia" w:ascii="黑体" w:hAnsi="黑体" w:eastAsia="黑体" w:cs="黑体"/>
          <w:sz w:val="48"/>
          <w:szCs w:val="48"/>
          <w:highlight w:val="none"/>
          <w:lang w:val="en-US" w:eastAsia="zh-CN"/>
        </w:rPr>
        <w:t>2</w:t>
      </w:r>
      <w:r>
        <w:rPr>
          <w:rFonts w:hint="eastAsia" w:ascii="黑体" w:hAnsi="黑体" w:eastAsia="黑体" w:cs="黑体"/>
          <w:sz w:val="48"/>
          <w:szCs w:val="48"/>
          <w:highlight w:val="none"/>
        </w:rPr>
        <w:t>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w:t>
      </w:r>
      <w:r>
        <w:rPr>
          <w:rFonts w:hint="eastAsia" w:ascii="黑体" w:hAnsi="黑体" w:eastAsia="黑体" w:cs="黑体"/>
          <w:color w:val="auto"/>
          <w:sz w:val="32"/>
          <w:szCs w:val="32"/>
          <w:highlight w:val="none"/>
          <w:lang w:val="en-US" w:eastAsia="zh-CN"/>
        </w:rPr>
        <w:t>收入支出决算总体情况说明</w:t>
      </w:r>
    </w:p>
    <w:p>
      <w:pPr>
        <w:widowControl/>
        <w:spacing w:line="590" w:lineRule="exact"/>
        <w:ind w:firstLine="640" w:firstLineChars="200"/>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2022年度收、支总计均为518.33万元。与上年度相比，收、支总计各增加20.85万元，增长4.19%。主要原因是按规定程序调整人员经费。</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518.33</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518.33</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518.33</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518.33</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numPr>
          <w:ilvl w:val="0"/>
          <w:numId w:val="0"/>
        </w:numPr>
        <w:spacing w:line="590" w:lineRule="exact"/>
        <w:ind w:left="630" w:leftChars="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四、</w:t>
      </w:r>
      <w:r>
        <w:rPr>
          <w:rFonts w:hint="eastAsia" w:ascii="黑体" w:hAnsi="黑体" w:eastAsia="黑体" w:cs="黑体"/>
          <w:sz w:val="32"/>
          <w:szCs w:val="32"/>
          <w:highlight w:val="none"/>
        </w:rPr>
        <w:t>财政拨款收入支出决算总体情况说明</w:t>
      </w:r>
    </w:p>
    <w:p>
      <w:pPr>
        <w:spacing w:beforeLines="0" w:afterLines="0" w:line="590" w:lineRule="exact"/>
        <w:ind w:firstLine="64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sz w:val="32"/>
          <w:szCs w:val="32"/>
          <w:lang w:val="en-US"/>
        </w:rPr>
        <w:t>2022年度财政拨款收、支总计均为518.33万元。与上年度相比，财政拨款收、支总计各增加20.85万元，增长4.19%。主要原因是</w:t>
      </w:r>
      <w:r>
        <w:rPr>
          <w:rFonts w:hint="eastAsia" w:ascii="仿宋_GB2312" w:hAnsi="仿宋_GB2312" w:eastAsia="仿宋_GB2312" w:cs="仿宋_GB2312"/>
          <w:sz w:val="32"/>
          <w:szCs w:val="32"/>
          <w:highlight w:val="none"/>
          <w:lang w:eastAsia="zh-CN"/>
        </w:rPr>
        <w:t>是按规定程序调整人员经费</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w:t>
      </w:r>
      <w:bookmarkStart w:id="0" w:name="_GoBack"/>
      <w:bookmarkEnd w:id="0"/>
      <w:r>
        <w:rPr>
          <w:rFonts w:hint="eastAsia" w:ascii="黑体" w:hAnsi="黑体" w:eastAsia="黑体" w:cs="黑体"/>
          <w:sz w:val="32"/>
          <w:szCs w:val="32"/>
          <w:highlight w:val="none"/>
        </w:rPr>
        <w:t>算情况说明</w:t>
      </w:r>
    </w:p>
    <w:p>
      <w:pPr>
        <w:widowControl/>
        <w:spacing w:line="590" w:lineRule="exact"/>
        <w:ind w:firstLine="643" w:firstLineChars="200"/>
        <w:rPr>
          <w:rFonts w:hint="eastAsia" w:ascii="楷体" w:hAnsi="楷体" w:eastAsia="楷体" w:cs="楷体"/>
          <w:b/>
          <w:bCs/>
          <w:sz w:val="32"/>
          <w:szCs w:val="32"/>
          <w:highlight w:val="none"/>
        </w:rPr>
      </w:pPr>
      <w:r>
        <w:rPr>
          <w:rFonts w:hint="eastAsia" w:ascii="楷体" w:hAnsi="楷体" w:eastAsia="楷体" w:cs="楷体"/>
          <w:b/>
          <w:bCs/>
          <w:sz w:val="32"/>
          <w:szCs w:val="32"/>
          <w:highlight w:val="none"/>
        </w:rPr>
        <w:t>（一）总体情况。</w:t>
      </w:r>
    </w:p>
    <w:p>
      <w:pPr>
        <w:adjustRightInd w:val="0"/>
        <w:snapToGrid w:val="0"/>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518.33</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20.85</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4.19</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是按规定程序调整人员经费</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楷体" w:hAnsi="楷体" w:eastAsia="楷体" w:cs="楷体"/>
          <w:b/>
          <w:bCs/>
          <w:sz w:val="32"/>
          <w:szCs w:val="32"/>
          <w:highlight w:val="none"/>
        </w:rPr>
      </w:pPr>
      <w:r>
        <w:rPr>
          <w:rFonts w:hint="eastAsia" w:ascii="楷体" w:hAnsi="楷体" w:eastAsia="楷体" w:cs="楷体"/>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518.33</w:t>
      </w:r>
      <w:r>
        <w:rPr>
          <w:rFonts w:hint="eastAsia" w:ascii="仿宋_GB2312" w:hAnsi="仿宋_GB2312" w:eastAsia="仿宋_GB2312" w:cs="仿宋_GB2312"/>
          <w:sz w:val="32"/>
          <w:szCs w:val="32"/>
          <w:highlight w:val="none"/>
        </w:rPr>
        <w:t>万元，主要用于以下方面：</w:t>
      </w:r>
      <w:r>
        <w:rPr>
          <w:rFonts w:hint="eastAsia" w:ascii="仿宋_GB2312" w:hAnsi="仿宋_GB2312" w:eastAsia="仿宋_GB2312" w:cs="仿宋_GB2312"/>
          <w:sz w:val="32"/>
          <w:szCs w:val="32"/>
          <w:lang w:val="zh-CN"/>
        </w:rPr>
        <w:t>一般公共服务（类）支出</w:t>
      </w:r>
      <w:r>
        <w:rPr>
          <w:rFonts w:hint="eastAsia" w:ascii="仿宋_GB2312" w:hAnsi="仿宋_GB2312" w:eastAsia="仿宋_GB2312" w:cs="仿宋_GB2312"/>
          <w:sz w:val="32"/>
          <w:szCs w:val="32"/>
          <w:lang w:val="en-US" w:eastAsia="zh-CN"/>
        </w:rPr>
        <w:t>15.50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2.99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sz w:val="32"/>
          <w:szCs w:val="32"/>
        </w:rPr>
        <w:t>社会保障和就业（类）支出</w:t>
      </w:r>
      <w:r>
        <w:rPr>
          <w:rFonts w:hint="eastAsia" w:ascii="仿宋_GB2312" w:hAnsi="仿宋_GB2312" w:eastAsia="仿宋_GB2312" w:cs="仿宋_GB2312"/>
          <w:bCs/>
          <w:sz w:val="32"/>
          <w:szCs w:val="32"/>
          <w:lang w:val="en-US" w:eastAsia="zh-CN"/>
        </w:rPr>
        <w:t>43.61</w:t>
      </w:r>
      <w:r>
        <w:rPr>
          <w:rFonts w:hint="eastAsia" w:ascii="仿宋_GB2312" w:hAnsi="仿宋_GB2312" w:eastAsia="仿宋_GB2312" w:cs="仿宋_GB2312"/>
          <w:bCs/>
          <w:sz w:val="32"/>
          <w:szCs w:val="32"/>
        </w:rPr>
        <w:t>万元，</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8.41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sz w:val="32"/>
          <w:szCs w:val="32"/>
        </w:rPr>
        <w:t>卫生健康（类）支出</w:t>
      </w:r>
      <w:r>
        <w:rPr>
          <w:rFonts w:hint="eastAsia" w:ascii="仿宋_GB2312" w:hAnsi="仿宋_GB2312" w:eastAsia="仿宋_GB2312" w:cs="仿宋_GB2312"/>
          <w:bCs/>
          <w:sz w:val="32"/>
          <w:szCs w:val="32"/>
          <w:lang w:val="en-US" w:eastAsia="zh-CN"/>
        </w:rPr>
        <w:t>14.99</w:t>
      </w:r>
      <w:r>
        <w:rPr>
          <w:rFonts w:hint="eastAsia" w:ascii="仿宋_GB2312" w:hAnsi="仿宋_GB2312" w:eastAsia="仿宋_GB2312" w:cs="仿宋_GB2312"/>
          <w:bCs/>
          <w:sz w:val="32"/>
          <w:szCs w:val="32"/>
        </w:rPr>
        <w:t>万元，占</w:t>
      </w:r>
      <w:r>
        <w:rPr>
          <w:rFonts w:hint="eastAsia" w:ascii="仿宋_GB2312" w:hAnsi="仿宋_GB2312" w:eastAsia="仿宋_GB2312" w:cs="仿宋_GB2312"/>
          <w:bCs/>
          <w:sz w:val="32"/>
          <w:szCs w:val="32"/>
          <w:lang w:val="en-US" w:eastAsia="zh-CN"/>
        </w:rPr>
        <w:t>2.89</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资源勘探</w:t>
      </w:r>
      <w:r>
        <w:rPr>
          <w:rFonts w:hint="eastAsia" w:ascii="仿宋_GB2312" w:hAnsi="仿宋_GB2312" w:eastAsia="仿宋_GB2312" w:cs="仿宋_GB2312"/>
          <w:bCs/>
          <w:sz w:val="32"/>
          <w:szCs w:val="32"/>
          <w:lang w:eastAsia="zh-CN"/>
        </w:rPr>
        <w:t>工业</w:t>
      </w:r>
      <w:r>
        <w:rPr>
          <w:rFonts w:hint="eastAsia" w:ascii="仿宋_GB2312" w:hAnsi="仿宋_GB2312" w:eastAsia="仿宋_GB2312" w:cs="仿宋_GB2312"/>
          <w:bCs/>
          <w:sz w:val="32"/>
          <w:szCs w:val="32"/>
        </w:rPr>
        <w:t>信息等(类)支出</w:t>
      </w:r>
      <w:r>
        <w:rPr>
          <w:rFonts w:hint="eastAsia" w:ascii="仿宋_GB2312" w:hAnsi="仿宋_GB2312" w:eastAsia="仿宋_GB2312" w:cs="仿宋_GB2312"/>
          <w:bCs/>
          <w:sz w:val="32"/>
          <w:szCs w:val="32"/>
          <w:lang w:val="en-US" w:eastAsia="zh-CN"/>
        </w:rPr>
        <w:t>415.71</w:t>
      </w:r>
      <w:r>
        <w:rPr>
          <w:rFonts w:hint="eastAsia" w:ascii="仿宋_GB2312" w:hAnsi="仿宋_GB2312" w:eastAsia="仿宋_GB2312" w:cs="仿宋_GB2312"/>
          <w:bCs/>
          <w:sz w:val="32"/>
          <w:szCs w:val="32"/>
        </w:rPr>
        <w:t>万元，占</w:t>
      </w:r>
      <w:r>
        <w:rPr>
          <w:rFonts w:hint="eastAsia" w:ascii="仿宋_GB2312" w:hAnsi="仿宋_GB2312" w:eastAsia="仿宋_GB2312" w:cs="仿宋_GB2312"/>
          <w:bCs/>
          <w:sz w:val="32"/>
          <w:szCs w:val="32"/>
          <w:lang w:val="en-US" w:eastAsia="zh-CN"/>
        </w:rPr>
        <w:t>80.21</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住房保障</w:t>
      </w:r>
      <w:r>
        <w:rPr>
          <w:rFonts w:hint="eastAsia" w:ascii="仿宋_GB2312" w:hAnsi="仿宋_GB2312" w:eastAsia="仿宋_GB2312" w:cs="仿宋_GB2312"/>
          <w:bCs/>
          <w:sz w:val="32"/>
          <w:szCs w:val="32"/>
        </w:rPr>
        <w:t>(类)</w:t>
      </w:r>
      <w:r>
        <w:rPr>
          <w:rFonts w:hint="eastAsia" w:ascii="仿宋_GB2312" w:hAnsi="仿宋_GB2312" w:eastAsia="仿宋_GB2312" w:cs="仿宋_GB2312"/>
          <w:sz w:val="32"/>
          <w:szCs w:val="32"/>
        </w:rPr>
        <w:t>支出28.</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1万元，占5.</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楷体" w:hAnsi="楷体" w:eastAsia="楷体" w:cs="楷体"/>
          <w:b/>
          <w:bCs/>
          <w:sz w:val="32"/>
          <w:szCs w:val="32"/>
          <w:highlight w:val="none"/>
        </w:rPr>
      </w:pPr>
      <w:r>
        <w:rPr>
          <w:rFonts w:hint="eastAsia" w:ascii="楷体" w:hAnsi="楷体" w:eastAsia="楷体" w:cs="楷体"/>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501.36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518.33</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完成年初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103.38</w:t>
      </w:r>
      <w:r>
        <w:rPr>
          <w:rFonts w:hint="eastAsia" w:ascii="仿宋_GB2312" w:hAnsi="仿宋_GB2312" w:eastAsia="仿宋_GB2312" w:cs="仿宋_GB2312"/>
          <w:sz w:val="32"/>
          <w:szCs w:val="32"/>
          <w:highlight w:val="none"/>
        </w:rPr>
        <w:t>%。其中：</w:t>
      </w:r>
    </w:p>
    <w:p>
      <w:pPr>
        <w:widowControl/>
        <w:numPr>
          <w:ilvl w:val="0"/>
          <w:numId w:val="0"/>
        </w:numPr>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一般公共服务支出（类）群众团体事务（款）工会事务（项）。</w:t>
      </w:r>
      <w:r>
        <w:rPr>
          <w:rFonts w:hint="eastAsia" w:ascii="仿宋_GB2312" w:hAnsi="仿宋_GB2312" w:eastAsia="仿宋_GB2312" w:cs="仿宋_GB2312"/>
          <w:sz w:val="32"/>
          <w:szCs w:val="32"/>
        </w:rPr>
        <w:t>年初预算为2.</w:t>
      </w:r>
      <w:r>
        <w:rPr>
          <w:rFonts w:hint="eastAsia" w:ascii="仿宋_GB2312" w:hAnsi="仿宋_GB2312" w:eastAsia="仿宋_GB2312" w:cs="仿宋_GB2312"/>
          <w:sz w:val="32"/>
          <w:szCs w:val="32"/>
          <w:lang w:val="en-US" w:eastAsia="zh-CN"/>
        </w:rPr>
        <w:t>61</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2.61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100.00</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highlight w:val="none"/>
          <w:lang w:val="en-US" w:eastAsia="zh-CN"/>
        </w:rPr>
        <w:t>决算数与年初预算数不存在差异。</w:t>
      </w:r>
      <w:r>
        <w:rPr>
          <w:rFonts w:hint="eastAsia" w:ascii="仿宋_GB2312" w:hAnsi="仿宋_GB2312" w:eastAsia="仿宋_GB2312" w:cs="仿宋_GB2312"/>
          <w:sz w:val="32"/>
          <w:szCs w:val="32"/>
        </w:rPr>
        <w:t xml:space="preserve"> </w:t>
      </w:r>
    </w:p>
    <w:p>
      <w:pPr>
        <w:widowControl/>
        <w:numPr>
          <w:ilvl w:val="0"/>
          <w:numId w:val="0"/>
        </w:numPr>
        <w:spacing w:line="59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一般公共服务支出（类）</w:t>
      </w:r>
      <w:r>
        <w:rPr>
          <w:rFonts w:hint="eastAsia" w:ascii="仿宋_GB2312" w:hAnsi="仿宋_GB2312" w:eastAsia="仿宋_GB2312" w:cs="仿宋_GB2312"/>
          <w:b/>
          <w:bCs/>
          <w:sz w:val="32"/>
          <w:szCs w:val="32"/>
          <w:lang w:eastAsia="zh-CN"/>
        </w:rPr>
        <w:t>其他</w:t>
      </w:r>
      <w:r>
        <w:rPr>
          <w:rFonts w:hint="eastAsia" w:ascii="仿宋_GB2312" w:hAnsi="仿宋_GB2312" w:eastAsia="仿宋_GB2312" w:cs="仿宋_GB2312"/>
          <w:b/>
          <w:bCs/>
          <w:sz w:val="32"/>
          <w:szCs w:val="32"/>
        </w:rPr>
        <w:t>一般公共服务支出（款）</w:t>
      </w:r>
      <w:r>
        <w:rPr>
          <w:rFonts w:hint="eastAsia" w:ascii="仿宋_GB2312" w:hAnsi="仿宋_GB2312" w:eastAsia="仿宋_GB2312" w:cs="仿宋_GB2312"/>
          <w:b/>
          <w:bCs/>
          <w:sz w:val="32"/>
          <w:szCs w:val="32"/>
          <w:lang w:eastAsia="zh-CN"/>
        </w:rPr>
        <w:t>其他</w:t>
      </w:r>
      <w:r>
        <w:rPr>
          <w:rFonts w:hint="eastAsia" w:ascii="仿宋_GB2312" w:hAnsi="仿宋_GB2312" w:eastAsia="仿宋_GB2312" w:cs="仿宋_GB2312"/>
          <w:b/>
          <w:bCs/>
          <w:sz w:val="32"/>
          <w:szCs w:val="32"/>
        </w:rPr>
        <w:t>一般公共服务支出（项）。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12.89</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auto"/>
          <w:sz w:val="32"/>
          <w:szCs w:val="32"/>
          <w:highlight w:val="none"/>
          <w:lang w:val="en-US" w:eastAsia="zh-CN"/>
        </w:rPr>
        <w:t>决算数与年初预算数存在差异的主要原因是按规定程序调整人员经费。</w:t>
      </w:r>
      <w:r>
        <w:rPr>
          <w:rFonts w:hint="eastAsia" w:ascii="仿宋_GB2312" w:hAnsi="仿宋_GB2312" w:eastAsia="仿宋_GB2312" w:cs="仿宋_GB2312"/>
          <w:sz w:val="32"/>
          <w:szCs w:val="32"/>
        </w:rPr>
        <w:t xml:space="preserve"> </w:t>
      </w:r>
    </w:p>
    <w:p>
      <w:pPr>
        <w:widowControl/>
        <w:spacing w:line="59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.社会保障和就业支出（类）行政事业</w:t>
      </w:r>
      <w:r>
        <w:rPr>
          <w:rFonts w:hint="eastAsia" w:ascii="仿宋_GB2312" w:hAnsi="仿宋_GB2312" w:eastAsia="仿宋_GB2312" w:cs="仿宋_GB2312"/>
          <w:b/>
          <w:bCs/>
          <w:sz w:val="32"/>
          <w:szCs w:val="32"/>
          <w:lang w:eastAsia="zh-CN"/>
        </w:rPr>
        <w:t>单位养老支出</w:t>
      </w:r>
      <w:r>
        <w:rPr>
          <w:rFonts w:hint="eastAsia" w:ascii="仿宋_GB2312" w:hAnsi="仿宋_GB2312" w:eastAsia="仿宋_GB2312" w:cs="仿宋_GB2312"/>
          <w:b/>
          <w:bCs/>
          <w:sz w:val="32"/>
          <w:szCs w:val="32"/>
        </w:rPr>
        <w:t>（款）事业单位离退休（项）。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12.32</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12.89</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104.62</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highlight w:val="none"/>
          <w:lang w:val="en-US" w:eastAsia="zh-CN"/>
        </w:rPr>
        <w:t>决算数与年初预算数存在差异的主要原因是</w:t>
      </w:r>
      <w:r>
        <w:rPr>
          <w:rFonts w:hint="eastAsia" w:ascii="仿宋_GB2312" w:hAnsi="仿宋_GB2312" w:eastAsia="仿宋_GB2312" w:cs="仿宋_GB2312"/>
          <w:sz w:val="32"/>
          <w:szCs w:val="32"/>
          <w:highlight w:val="none"/>
          <w:lang w:eastAsia="zh-CN"/>
        </w:rPr>
        <w:t>是按规定程序调整人员经费</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.社会保障和就业支出（类）行政事业</w:t>
      </w:r>
      <w:r>
        <w:rPr>
          <w:rFonts w:hint="eastAsia" w:ascii="仿宋_GB2312" w:hAnsi="仿宋_GB2312" w:eastAsia="仿宋_GB2312" w:cs="仿宋_GB2312"/>
          <w:b/>
          <w:bCs/>
          <w:sz w:val="32"/>
          <w:szCs w:val="32"/>
          <w:lang w:eastAsia="zh-CN"/>
        </w:rPr>
        <w:t>单位养老支出</w:t>
      </w:r>
      <w:r>
        <w:rPr>
          <w:rFonts w:hint="eastAsia" w:ascii="仿宋_GB2312" w:hAnsi="仿宋_GB2312" w:eastAsia="仿宋_GB2312" w:cs="仿宋_GB2312"/>
          <w:b/>
          <w:bCs/>
          <w:sz w:val="32"/>
          <w:szCs w:val="32"/>
        </w:rPr>
        <w:t>（款）机关事业单位基本养老保险缴费支出（项）</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31.74</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31.46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完成</w:t>
      </w:r>
      <w:r>
        <w:rPr>
          <w:rFonts w:hint="eastAsia" w:ascii="仿宋_GB2312" w:hAnsi="仿宋_GB2312" w:eastAsia="仿宋_GB2312" w:cs="仿宋_GB2312"/>
          <w:sz w:val="32"/>
          <w:szCs w:val="32"/>
        </w:rPr>
        <w:t>年初预算的</w:t>
      </w:r>
      <w:r>
        <w:rPr>
          <w:rFonts w:hint="eastAsia" w:ascii="仿宋_GB2312" w:hAnsi="仿宋_GB2312" w:eastAsia="仿宋_GB2312" w:cs="仿宋_GB2312"/>
          <w:sz w:val="32"/>
          <w:szCs w:val="32"/>
          <w:lang w:val="en-US" w:eastAsia="zh-CN"/>
        </w:rPr>
        <w:t>99.12</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highlight w:val="none"/>
          <w:lang w:val="en-US" w:eastAsia="zh-CN"/>
        </w:rPr>
        <w:t>决算数与年初预算数存在差异的主要</w:t>
      </w:r>
      <w:r>
        <w:rPr>
          <w:rFonts w:hint="eastAsia" w:ascii="仿宋_GB2312" w:hAnsi="仿宋_GB2312" w:eastAsia="仿宋_GB2312" w:cs="仿宋_GB2312"/>
          <w:sz w:val="32"/>
          <w:szCs w:val="32"/>
        </w:rPr>
        <w:t>原因是202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9月</w:t>
      </w:r>
      <w:r>
        <w:rPr>
          <w:rFonts w:hint="eastAsia" w:ascii="仿宋_GB2312" w:hAnsi="仿宋_GB2312" w:eastAsia="仿宋_GB2312" w:cs="仿宋_GB2312"/>
          <w:sz w:val="32"/>
          <w:szCs w:val="32"/>
          <w:lang w:eastAsia="zh-CN"/>
        </w:rPr>
        <w:t>有一名</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eastAsia="zh-CN"/>
        </w:rPr>
        <w:t>调出</w:t>
      </w:r>
      <w:r>
        <w:rPr>
          <w:rFonts w:hint="eastAsia" w:ascii="仿宋_GB2312" w:hAnsi="仿宋_GB2312" w:eastAsia="仿宋_GB2312" w:cs="仿宋_GB2312"/>
          <w:sz w:val="32"/>
          <w:szCs w:val="32"/>
        </w:rPr>
        <w:t>。</w:t>
      </w:r>
    </w:p>
    <w:p>
      <w:pPr>
        <w:widowControl/>
        <w:spacing w:line="590" w:lineRule="exact"/>
        <w:ind w:firstLine="630" w:firstLineChars="196"/>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.卫生健康支出（类）行政事业单位医疗（款）事业单位医疗（项）。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15.13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14.99</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99.07</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highlight w:val="none"/>
          <w:lang w:val="en-US" w:eastAsia="zh-CN"/>
        </w:rPr>
        <w:t>决算数与年初预算数存在差异的主要</w:t>
      </w:r>
      <w:r>
        <w:rPr>
          <w:rFonts w:hint="eastAsia" w:ascii="仿宋_GB2312" w:hAnsi="仿宋_GB2312" w:eastAsia="仿宋_GB2312" w:cs="仿宋_GB2312"/>
          <w:sz w:val="32"/>
          <w:szCs w:val="32"/>
        </w:rPr>
        <w:t>原因是202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9月</w:t>
      </w:r>
      <w:r>
        <w:rPr>
          <w:rFonts w:hint="eastAsia" w:ascii="仿宋_GB2312" w:hAnsi="仿宋_GB2312" w:eastAsia="仿宋_GB2312" w:cs="仿宋_GB2312"/>
          <w:sz w:val="32"/>
          <w:szCs w:val="32"/>
          <w:lang w:eastAsia="zh-CN"/>
        </w:rPr>
        <w:t>有一名</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eastAsia="zh-CN"/>
        </w:rPr>
        <w:t>调出</w:t>
      </w:r>
      <w:r>
        <w:rPr>
          <w:rFonts w:hint="eastAsia" w:ascii="仿宋_GB2312" w:hAnsi="仿宋_GB2312" w:eastAsia="仿宋_GB2312" w:cs="仿宋_GB2312"/>
          <w:color w:val="auto"/>
          <w:sz w:val="32"/>
          <w:szCs w:val="32"/>
          <w:highlight w:val="none"/>
          <w:lang w:val="en-US" w:eastAsia="zh-CN"/>
        </w:rPr>
        <w:t>。</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资源勘探</w:t>
      </w:r>
      <w:r>
        <w:rPr>
          <w:rFonts w:hint="eastAsia" w:ascii="仿宋_GB2312" w:hAnsi="仿宋_GB2312" w:eastAsia="仿宋_GB2312" w:cs="仿宋_GB2312"/>
          <w:b/>
          <w:bCs/>
          <w:sz w:val="32"/>
          <w:szCs w:val="32"/>
          <w:lang w:eastAsia="zh-CN"/>
        </w:rPr>
        <w:t>工业</w:t>
      </w:r>
      <w:r>
        <w:rPr>
          <w:rFonts w:hint="eastAsia" w:ascii="仿宋_GB2312" w:hAnsi="仿宋_GB2312" w:eastAsia="仿宋_GB2312" w:cs="仿宋_GB2312"/>
          <w:b/>
          <w:bCs/>
          <w:sz w:val="32"/>
          <w:szCs w:val="32"/>
        </w:rPr>
        <w:t>信息等支出(类)建筑业（款）其他建筑业支出（项）。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410.76</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415.71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完成</w:t>
      </w:r>
      <w:r>
        <w:rPr>
          <w:rFonts w:hint="eastAsia" w:ascii="仿宋_GB2312" w:hAnsi="仿宋_GB2312" w:eastAsia="仿宋_GB2312" w:cs="仿宋_GB2312"/>
          <w:sz w:val="32"/>
          <w:szCs w:val="32"/>
        </w:rPr>
        <w:t>年初预算的</w:t>
      </w:r>
      <w:r>
        <w:rPr>
          <w:rFonts w:hint="eastAsia" w:ascii="仿宋_GB2312" w:hAnsi="仿宋_GB2312" w:eastAsia="仿宋_GB2312" w:cs="仿宋_GB2312"/>
          <w:sz w:val="32"/>
          <w:szCs w:val="32"/>
          <w:lang w:val="en-US" w:eastAsia="zh-CN"/>
        </w:rPr>
        <w:t>101.20</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highlight w:val="none"/>
          <w:lang w:eastAsia="zh-CN"/>
        </w:rPr>
        <w:t>是按规定程序调整人员经费</w:t>
      </w:r>
      <w:r>
        <w:rPr>
          <w:rFonts w:hint="eastAsia" w:ascii="仿宋_GB2312" w:hAnsi="仿宋_GB2312" w:eastAsia="仿宋_GB2312" w:cs="仿宋_GB2312"/>
          <w:sz w:val="32"/>
          <w:szCs w:val="32"/>
        </w:rPr>
        <w:t>。</w:t>
      </w:r>
    </w:p>
    <w:p>
      <w:pPr>
        <w:widowControl/>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b/>
          <w:bCs/>
          <w:sz w:val="32"/>
          <w:szCs w:val="32"/>
          <w:lang w:eastAsia="zh-CN"/>
        </w:rPr>
        <w:t>住房保障支出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住房改革支出</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住房公积金</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28.81</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28.51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完成</w:t>
      </w:r>
      <w:r>
        <w:rPr>
          <w:rFonts w:hint="eastAsia" w:ascii="仿宋_GB2312" w:hAnsi="仿宋_GB2312" w:eastAsia="仿宋_GB2312" w:cs="仿宋_GB2312"/>
          <w:sz w:val="32"/>
          <w:szCs w:val="32"/>
        </w:rPr>
        <w:t>年初预算的</w:t>
      </w:r>
      <w:r>
        <w:rPr>
          <w:rFonts w:hint="eastAsia" w:ascii="仿宋_GB2312" w:hAnsi="仿宋_GB2312" w:eastAsia="仿宋_GB2312" w:cs="仿宋_GB2312"/>
          <w:sz w:val="32"/>
          <w:szCs w:val="32"/>
          <w:lang w:val="en-US" w:eastAsia="zh-CN"/>
        </w:rPr>
        <w:t>98.95</w:t>
      </w:r>
      <w:r>
        <w:rPr>
          <w:rFonts w:hint="eastAsia" w:ascii="仿宋_GB2312" w:hAnsi="仿宋_GB2312" w:eastAsia="仿宋_GB2312" w:cs="仿宋_GB2312"/>
          <w:sz w:val="32"/>
          <w:szCs w:val="32"/>
        </w:rPr>
        <w:t>%。决算数与年初预算数存在差异的主要原因是202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9月</w:t>
      </w:r>
      <w:r>
        <w:rPr>
          <w:rFonts w:hint="eastAsia" w:ascii="仿宋_GB2312" w:hAnsi="仿宋_GB2312" w:eastAsia="仿宋_GB2312" w:cs="仿宋_GB2312"/>
          <w:sz w:val="32"/>
          <w:szCs w:val="32"/>
          <w:lang w:eastAsia="zh-CN"/>
        </w:rPr>
        <w:t>有一名</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eastAsia="zh-CN"/>
        </w:rPr>
        <w:t>调出</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518.33</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499.73</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val="en-US" w:eastAsia="zh-CN"/>
        </w:rPr>
        <w:t>奖金</w:t>
      </w:r>
      <w:r>
        <w:rPr>
          <w:rFonts w:hint="eastAsia" w:ascii="仿宋_GB2312" w:hAnsi="仿宋_GB2312" w:eastAsia="仿宋_GB2312" w:cs="仿宋_GB2312"/>
          <w:sz w:val="32"/>
          <w:szCs w:val="32"/>
          <w:highlight w:val="none"/>
        </w:rPr>
        <w:t>、绩效工资、机关事业单位基本养老保险缴费、</w:t>
      </w:r>
      <w:r>
        <w:rPr>
          <w:rFonts w:hint="eastAsia" w:ascii="仿宋_GB2312" w:hAnsi="仿宋_GB2312" w:eastAsia="仿宋_GB2312" w:cs="仿宋_GB2312"/>
          <w:sz w:val="32"/>
          <w:szCs w:val="32"/>
          <w:highlight w:val="none"/>
          <w:lang w:eastAsia="zh-CN"/>
        </w:rPr>
        <w:t>职工基本医疗保险缴费、</w:t>
      </w:r>
      <w:r>
        <w:rPr>
          <w:rFonts w:hint="eastAsia" w:ascii="仿宋_GB2312" w:hAnsi="仿宋_GB2312" w:eastAsia="仿宋_GB2312" w:cs="仿宋_GB2312"/>
          <w:sz w:val="32"/>
          <w:szCs w:val="32"/>
          <w:highlight w:val="none"/>
        </w:rPr>
        <w:t>其他社会保障缴费、住房公积金、退休费；公用经费</w:t>
      </w:r>
      <w:r>
        <w:rPr>
          <w:rFonts w:hint="eastAsia" w:ascii="仿宋_GB2312" w:hAnsi="仿宋_GB2312" w:eastAsia="仿宋_GB2312" w:cs="仿宋_GB2312"/>
          <w:sz w:val="32"/>
          <w:szCs w:val="32"/>
          <w:highlight w:val="none"/>
          <w:lang w:val="en-US" w:eastAsia="zh-CN"/>
        </w:rPr>
        <w:t>18.60</w:t>
      </w:r>
      <w:r>
        <w:rPr>
          <w:rFonts w:hint="eastAsia" w:ascii="仿宋_GB2312" w:hAnsi="仿宋_GB2312" w:eastAsia="仿宋_GB2312" w:cs="仿宋_GB2312"/>
          <w:sz w:val="32"/>
          <w:szCs w:val="32"/>
          <w:highlight w:val="none"/>
        </w:rPr>
        <w:t>万元，主要包括：办公费、印刷费、</w:t>
      </w:r>
      <w:r>
        <w:rPr>
          <w:rFonts w:hint="eastAsia" w:ascii="仿宋_GB2312" w:hAnsi="仿宋_GB2312" w:eastAsia="仿宋_GB2312" w:cs="仿宋_GB2312"/>
          <w:sz w:val="32"/>
          <w:szCs w:val="32"/>
          <w:highlight w:val="none"/>
          <w:lang w:eastAsia="zh-CN"/>
        </w:rPr>
        <w:t>咨询费、</w:t>
      </w:r>
      <w:r>
        <w:rPr>
          <w:rFonts w:hint="eastAsia" w:ascii="仿宋_GB2312" w:hAnsi="仿宋_GB2312" w:eastAsia="仿宋_GB2312" w:cs="仿宋_GB2312"/>
          <w:sz w:val="32"/>
          <w:szCs w:val="32"/>
          <w:highlight w:val="none"/>
        </w:rPr>
        <w:t>邮电费、</w:t>
      </w:r>
      <w:r>
        <w:rPr>
          <w:rFonts w:hint="eastAsia" w:ascii="仿宋_GB2312" w:hAnsi="仿宋_GB2312" w:eastAsia="仿宋_GB2312" w:cs="仿宋_GB2312"/>
          <w:sz w:val="32"/>
          <w:szCs w:val="32"/>
          <w:highlight w:val="none"/>
          <w:lang w:eastAsia="zh-CN"/>
        </w:rPr>
        <w:t>维修（护）费、</w:t>
      </w:r>
      <w:r>
        <w:rPr>
          <w:rFonts w:hint="eastAsia" w:ascii="仿宋_GB2312" w:hAnsi="仿宋_GB2312" w:eastAsia="仿宋_GB2312" w:cs="仿宋_GB2312"/>
          <w:sz w:val="32"/>
          <w:szCs w:val="32"/>
          <w:highlight w:val="none"/>
        </w:rPr>
        <w:t>培训费、委托业务费、工会经费、福利费、公务用车运行维护费</w:t>
      </w:r>
      <w:r>
        <w:rPr>
          <w:rFonts w:hint="eastAsia" w:ascii="仿宋_GB2312" w:hAnsi="仿宋_GB2312" w:eastAsia="仿宋_GB2312" w:cs="仿宋_GB2312"/>
          <w:sz w:val="32"/>
          <w:szCs w:val="32"/>
        </w:rPr>
        <w:t>、其他商品和服务支出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七、政府性基金预算财政拨款支出决算情况说明</w:t>
      </w:r>
    </w:p>
    <w:p>
      <w:pPr>
        <w:keepNext w:val="0"/>
        <w:keepLines w:val="0"/>
        <w:pageBreakBefore w:val="0"/>
        <w:widowControl/>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b w:val="0"/>
          <w:bCs w:val="0"/>
          <w:color w:val="000000"/>
          <w:sz w:val="32"/>
          <w:szCs w:val="32"/>
          <w:highlight w:val="none"/>
          <w:u w:val="none" w:color="auto"/>
          <w:lang w:val="en-US" w:eastAsia="zh-CN"/>
        </w:rPr>
      </w:pPr>
      <w:r>
        <w:rPr>
          <w:rFonts w:hint="eastAsia" w:ascii="仿宋_GB2312" w:hAnsi="仿宋_GB2312" w:eastAsia="仿宋_GB2312" w:cs="仿宋_GB2312"/>
          <w:b w:val="0"/>
          <w:bCs w:val="0"/>
          <w:color w:val="000000"/>
          <w:sz w:val="32"/>
          <w:szCs w:val="32"/>
        </w:rPr>
        <w:t>2022年度政府性基金预算财政拨款支出</w:t>
      </w:r>
      <w:r>
        <w:rPr>
          <w:rFonts w:hint="eastAsia" w:ascii="仿宋_GB2312" w:hAnsi="仿宋_GB2312" w:eastAsia="仿宋_GB2312" w:cs="仿宋_GB2312"/>
          <w:b w:val="0"/>
          <w:bCs w:val="0"/>
          <w:color w:val="000000"/>
          <w:sz w:val="32"/>
          <w:szCs w:val="32"/>
          <w:lang w:val="en-US"/>
        </w:rPr>
        <w:t>年初</w:t>
      </w:r>
      <w:r>
        <w:rPr>
          <w:rFonts w:hint="eastAsia" w:ascii="仿宋_GB2312" w:hAnsi="仿宋_GB2312" w:eastAsia="仿宋_GB2312" w:cs="仿宋_GB2312"/>
          <w:b w:val="0"/>
          <w:bCs w:val="0"/>
          <w:color w:val="000000"/>
          <w:sz w:val="32"/>
          <w:szCs w:val="32"/>
        </w:rPr>
        <w:t>预算为</w:t>
      </w:r>
      <w:r>
        <w:rPr>
          <w:rFonts w:hint="eastAsia" w:ascii="仿宋_GB2312" w:hAnsi="仿宋_GB2312" w:eastAsia="仿宋_GB2312" w:cs="仿宋_GB2312"/>
          <w:b w:val="0"/>
          <w:bCs w:val="0"/>
          <w:color w:val="000000"/>
          <w:sz w:val="32"/>
          <w:szCs w:val="32"/>
          <w:lang w:val="en-US" w:eastAsia="zh-CN"/>
        </w:rPr>
        <w:t>0.00</w:t>
      </w:r>
      <w:r>
        <w:rPr>
          <w:rFonts w:hint="eastAsia" w:ascii="仿宋_GB2312" w:hAnsi="仿宋_GB2312" w:eastAsia="仿宋_GB2312" w:cs="仿宋_GB2312"/>
          <w:b w:val="0"/>
          <w:bCs w:val="0"/>
          <w:color w:val="000000"/>
          <w:sz w:val="32"/>
          <w:szCs w:val="32"/>
        </w:rPr>
        <w:t>万元，支出决算为</w:t>
      </w:r>
      <w:r>
        <w:rPr>
          <w:rFonts w:hint="eastAsia" w:ascii="仿宋_GB2312" w:hAnsi="仿宋_GB2312" w:eastAsia="仿宋_GB2312" w:cs="仿宋_GB2312"/>
          <w:b w:val="0"/>
          <w:bCs w:val="0"/>
          <w:color w:val="000000"/>
          <w:sz w:val="32"/>
          <w:szCs w:val="32"/>
          <w:lang w:val="en-US" w:eastAsia="zh-CN"/>
        </w:rPr>
        <w:t>0.00</w:t>
      </w:r>
      <w:r>
        <w:rPr>
          <w:rFonts w:hint="eastAsia" w:ascii="仿宋_GB2312" w:hAnsi="仿宋_GB2312" w:eastAsia="仿宋_GB2312" w:cs="仿宋_GB2312"/>
          <w:b w:val="0"/>
          <w:bCs w:val="0"/>
          <w:color w:val="000000"/>
          <w:sz w:val="32"/>
          <w:szCs w:val="32"/>
        </w:rPr>
        <w:t>万元。</w:t>
      </w:r>
      <w:r>
        <w:rPr>
          <w:rFonts w:hint="eastAsia" w:ascii="仿宋_GB2312" w:hAnsi="仿宋_GB2312" w:eastAsia="仿宋_GB2312" w:cs="仿宋_GB2312"/>
          <w:b w:val="0"/>
          <w:bCs w:val="0"/>
          <w:color w:val="000000"/>
          <w:sz w:val="32"/>
          <w:szCs w:val="32"/>
          <w:highlight w:val="none"/>
          <w:u w:val="none" w:color="auto"/>
          <w:lang w:val="en-US" w:eastAsia="zh-CN"/>
        </w:rPr>
        <w:t>我</w:t>
      </w:r>
      <w:r>
        <w:rPr>
          <w:rFonts w:hint="eastAsia" w:ascii="仿宋_GB2312" w:hAnsi="仿宋_GB2312" w:eastAsia="仿宋_GB2312" w:cs="仿宋_GB2312"/>
          <w:b w:val="0"/>
          <w:bCs w:val="0"/>
          <w:color w:val="000000"/>
          <w:sz w:val="32"/>
          <w:szCs w:val="32"/>
          <w:highlight w:val="none"/>
          <w:u w:val="none" w:color="auto"/>
          <w:lang w:eastAsia="zh-CN"/>
        </w:rPr>
        <w:t>单位2022</w:t>
      </w:r>
      <w:r>
        <w:rPr>
          <w:rFonts w:hint="eastAsia" w:ascii="仿宋_GB2312" w:hAnsi="仿宋_GB2312" w:eastAsia="仿宋_GB2312" w:cs="仿宋_GB2312"/>
          <w:b w:val="0"/>
          <w:bCs w:val="0"/>
          <w:color w:val="000000"/>
          <w:sz w:val="32"/>
          <w:szCs w:val="32"/>
          <w:highlight w:val="none"/>
          <w:u w:val="none" w:color="auto"/>
          <w:lang w:val="en-US" w:eastAsia="zh-CN"/>
        </w:rPr>
        <w:t>年度没有政府性基金</w:t>
      </w:r>
      <w:r>
        <w:rPr>
          <w:rFonts w:hint="eastAsia" w:ascii="仿宋_GB2312" w:hAnsi="仿宋_GB2312" w:eastAsia="仿宋_GB2312" w:cs="仿宋_GB2312"/>
          <w:b w:val="0"/>
          <w:bCs w:val="0"/>
          <w:color w:val="000000"/>
          <w:sz w:val="32"/>
          <w:szCs w:val="32"/>
          <w:highlight w:val="none"/>
          <w:u w:val="none" w:color="auto"/>
          <w:lang w:eastAsia="zh-CN"/>
        </w:rPr>
        <w:t>预算财政拨款</w:t>
      </w:r>
      <w:r>
        <w:rPr>
          <w:rFonts w:hint="eastAsia" w:ascii="仿宋_GB2312" w:hAnsi="仿宋_GB2312" w:eastAsia="仿宋_GB2312" w:cs="仿宋_GB2312"/>
          <w:b w:val="0"/>
          <w:bCs w:val="0"/>
          <w:color w:val="000000"/>
          <w:sz w:val="32"/>
          <w:szCs w:val="32"/>
          <w:highlight w:val="none"/>
          <w:u w:val="none" w:color="auto"/>
          <w:lang w:val="en-US" w:eastAsia="zh-CN"/>
        </w:rPr>
        <w:t>收入</w:t>
      </w:r>
      <w:r>
        <w:rPr>
          <w:rFonts w:hint="eastAsia" w:ascii="仿宋_GB2312" w:hAnsi="仿宋_GB2312" w:eastAsia="仿宋_GB2312" w:cs="仿宋_GB2312"/>
          <w:b w:val="0"/>
          <w:bCs w:val="0"/>
          <w:color w:val="000000"/>
          <w:sz w:val="32"/>
          <w:szCs w:val="32"/>
          <w:highlight w:val="none"/>
          <w:u w:val="none" w:color="auto"/>
          <w:lang w:eastAsia="zh-CN"/>
        </w:rPr>
        <w:t>、</w:t>
      </w:r>
      <w:r>
        <w:rPr>
          <w:rFonts w:hint="eastAsia" w:ascii="仿宋_GB2312" w:hAnsi="仿宋_GB2312" w:eastAsia="仿宋_GB2312" w:cs="仿宋_GB2312"/>
          <w:b w:val="0"/>
          <w:bCs w:val="0"/>
          <w:color w:val="000000"/>
          <w:sz w:val="32"/>
          <w:szCs w:val="32"/>
          <w:highlight w:val="none"/>
          <w:u w:val="none" w:color="auto"/>
          <w:lang w:val="en-US" w:eastAsia="zh-CN"/>
        </w:rPr>
        <w:t>支出</w:t>
      </w:r>
      <w:r>
        <w:rPr>
          <w:rFonts w:hint="eastAsia" w:ascii="仿宋_GB2312" w:hAnsi="仿宋_GB2312" w:eastAsia="仿宋_GB2312" w:cs="仿宋_GB2312"/>
          <w:b w:val="0"/>
          <w:bCs w:val="0"/>
          <w:color w:val="000000"/>
          <w:sz w:val="32"/>
          <w:szCs w:val="32"/>
          <w:highlight w:val="none"/>
          <w:u w:val="none" w:color="auto"/>
          <w:lang w:eastAsia="zh-CN"/>
        </w:rPr>
        <w:t>、结转和结余</w:t>
      </w:r>
      <w:r>
        <w:rPr>
          <w:rFonts w:hint="eastAsia" w:ascii="仿宋_GB2312" w:hAnsi="仿宋_GB2312" w:eastAsia="仿宋_GB2312" w:cs="仿宋_GB2312"/>
          <w:b w:val="0"/>
          <w:bCs w:val="0"/>
          <w:color w:val="000000"/>
          <w:sz w:val="32"/>
          <w:szCs w:val="32"/>
          <w:highlight w:val="none"/>
          <w:u w:val="none" w:color="auto"/>
          <w:lang w:val="en-US" w:eastAsia="zh-CN"/>
        </w:rPr>
        <w:t>。</w:t>
      </w:r>
    </w:p>
    <w:p>
      <w:pPr>
        <w:keepNext w:val="0"/>
        <w:keepLines w:val="0"/>
        <w:pageBreakBefore w:val="0"/>
        <w:widowControl/>
        <w:numPr>
          <w:ilvl w:val="0"/>
          <w:numId w:val="2"/>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黑体" w:hAnsi="宋体" w:eastAsia="黑体" w:cs="黑体"/>
          <w:kern w:val="2"/>
          <w:sz w:val="32"/>
          <w:szCs w:val="32"/>
          <w:lang w:val="en-US" w:eastAsia="zh-CN" w:bidi="ar"/>
        </w:rPr>
      </w:pPr>
      <w:r>
        <w:rPr>
          <w:rFonts w:hint="default" w:ascii="黑体" w:hAnsi="宋体" w:eastAsia="黑体" w:cs="黑体"/>
          <w:kern w:val="2"/>
          <w:sz w:val="32"/>
          <w:szCs w:val="32"/>
          <w:lang w:val="en-US" w:eastAsia="zh-CN" w:bidi="ar"/>
        </w:rPr>
        <w:t>国有资本经营预算财政拨款支出决算情况说明</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b w:val="0"/>
          <w:bCs w:val="0"/>
          <w:color w:val="000000"/>
          <w:sz w:val="32"/>
          <w:szCs w:val="32"/>
          <w:highlight w:val="none"/>
          <w:u w:val="none" w:color="auto"/>
          <w:lang w:val="en-US" w:eastAsia="zh-CN"/>
        </w:rPr>
      </w:pPr>
      <w:r>
        <w:rPr>
          <w:rFonts w:hint="eastAsia" w:ascii="仿宋_GB2312" w:hAnsi="仿宋_GB2312" w:eastAsia="仿宋_GB2312" w:cs="仿宋_GB2312"/>
          <w:b w:val="0"/>
          <w:bCs w:val="0"/>
          <w:color w:val="000000"/>
          <w:sz w:val="32"/>
          <w:szCs w:val="32"/>
        </w:rPr>
        <w:t>2022年度</w:t>
      </w:r>
      <w:r>
        <w:rPr>
          <w:rFonts w:hint="eastAsia" w:ascii="仿宋_GB2312" w:hAnsi="仿宋_GB2312" w:eastAsia="仿宋_GB2312" w:cs="仿宋_GB2312"/>
          <w:kern w:val="2"/>
          <w:sz w:val="32"/>
          <w:szCs w:val="32"/>
          <w:lang w:val="en-US" w:eastAsia="zh-CN" w:bidi="ar"/>
        </w:rPr>
        <w:t>国有资本经营</w:t>
      </w:r>
      <w:r>
        <w:rPr>
          <w:rFonts w:hint="eastAsia" w:ascii="仿宋_GB2312" w:hAnsi="仿宋_GB2312" w:eastAsia="仿宋_GB2312" w:cs="仿宋_GB2312"/>
          <w:b w:val="0"/>
          <w:bCs w:val="0"/>
          <w:color w:val="000000"/>
          <w:sz w:val="32"/>
          <w:szCs w:val="32"/>
        </w:rPr>
        <w:t>预算财政拨款支出</w:t>
      </w:r>
      <w:r>
        <w:rPr>
          <w:rFonts w:hint="eastAsia" w:ascii="仿宋_GB2312" w:hAnsi="仿宋_GB2312" w:eastAsia="仿宋_GB2312" w:cs="仿宋_GB2312"/>
          <w:b w:val="0"/>
          <w:bCs w:val="0"/>
          <w:color w:val="000000"/>
          <w:sz w:val="32"/>
          <w:szCs w:val="32"/>
          <w:lang w:val="en-US"/>
        </w:rPr>
        <w:t>年初</w:t>
      </w:r>
      <w:r>
        <w:rPr>
          <w:rFonts w:hint="eastAsia" w:ascii="仿宋_GB2312" w:hAnsi="仿宋_GB2312" w:eastAsia="仿宋_GB2312" w:cs="仿宋_GB2312"/>
          <w:b w:val="0"/>
          <w:bCs w:val="0"/>
          <w:color w:val="000000"/>
          <w:sz w:val="32"/>
          <w:szCs w:val="32"/>
        </w:rPr>
        <w:t>预算为</w:t>
      </w:r>
      <w:r>
        <w:rPr>
          <w:rFonts w:hint="eastAsia" w:ascii="仿宋_GB2312" w:hAnsi="仿宋_GB2312" w:eastAsia="仿宋_GB2312" w:cs="仿宋_GB2312"/>
          <w:b w:val="0"/>
          <w:bCs w:val="0"/>
          <w:color w:val="000000"/>
          <w:sz w:val="32"/>
          <w:szCs w:val="32"/>
          <w:lang w:val="en-US" w:eastAsia="zh-CN"/>
        </w:rPr>
        <w:t>0.00</w:t>
      </w:r>
      <w:r>
        <w:rPr>
          <w:rFonts w:hint="eastAsia" w:ascii="仿宋_GB2312" w:hAnsi="仿宋_GB2312" w:eastAsia="仿宋_GB2312" w:cs="仿宋_GB2312"/>
          <w:b w:val="0"/>
          <w:bCs w:val="0"/>
          <w:color w:val="000000"/>
          <w:sz w:val="32"/>
          <w:szCs w:val="32"/>
        </w:rPr>
        <w:t>万元，支出决算为</w:t>
      </w:r>
      <w:r>
        <w:rPr>
          <w:rFonts w:hint="eastAsia" w:ascii="仿宋_GB2312" w:hAnsi="仿宋_GB2312" w:eastAsia="仿宋_GB2312" w:cs="仿宋_GB2312"/>
          <w:b w:val="0"/>
          <w:bCs w:val="0"/>
          <w:color w:val="000000"/>
          <w:sz w:val="32"/>
          <w:szCs w:val="32"/>
          <w:lang w:val="en-US" w:eastAsia="zh-CN"/>
        </w:rPr>
        <w:t>0.00</w:t>
      </w:r>
      <w:r>
        <w:rPr>
          <w:rFonts w:hint="eastAsia" w:ascii="仿宋_GB2312" w:hAnsi="仿宋_GB2312" w:eastAsia="仿宋_GB2312" w:cs="仿宋_GB2312"/>
          <w:b w:val="0"/>
          <w:bCs w:val="0"/>
          <w:color w:val="000000"/>
          <w:sz w:val="32"/>
          <w:szCs w:val="32"/>
        </w:rPr>
        <w:t>万元。</w:t>
      </w:r>
      <w:r>
        <w:rPr>
          <w:rFonts w:hint="eastAsia" w:ascii="仿宋_GB2312" w:hAnsi="仿宋_GB2312" w:eastAsia="仿宋_GB2312" w:cs="仿宋_GB2312"/>
          <w:b w:val="0"/>
          <w:bCs w:val="0"/>
          <w:color w:val="000000"/>
          <w:sz w:val="32"/>
          <w:szCs w:val="32"/>
          <w:highlight w:val="none"/>
          <w:u w:val="none" w:color="auto"/>
          <w:lang w:val="en-US" w:eastAsia="zh-CN"/>
        </w:rPr>
        <w:t>我</w:t>
      </w:r>
      <w:r>
        <w:rPr>
          <w:rFonts w:hint="eastAsia" w:ascii="仿宋_GB2312" w:hAnsi="仿宋_GB2312" w:eastAsia="仿宋_GB2312" w:cs="仿宋_GB2312"/>
          <w:b w:val="0"/>
          <w:bCs w:val="0"/>
          <w:color w:val="000000"/>
          <w:sz w:val="32"/>
          <w:szCs w:val="32"/>
          <w:highlight w:val="none"/>
          <w:u w:val="none" w:color="auto"/>
          <w:lang w:eastAsia="zh-CN"/>
        </w:rPr>
        <w:t>单位2022</w:t>
      </w:r>
      <w:r>
        <w:rPr>
          <w:rFonts w:hint="eastAsia" w:ascii="仿宋_GB2312" w:hAnsi="仿宋_GB2312" w:eastAsia="仿宋_GB2312" w:cs="仿宋_GB2312"/>
          <w:b w:val="0"/>
          <w:bCs w:val="0"/>
          <w:color w:val="000000"/>
          <w:sz w:val="32"/>
          <w:szCs w:val="32"/>
          <w:highlight w:val="none"/>
          <w:u w:val="none" w:color="auto"/>
          <w:lang w:val="en-US" w:eastAsia="zh-CN"/>
        </w:rPr>
        <w:t>年度没有</w:t>
      </w:r>
      <w:r>
        <w:rPr>
          <w:rFonts w:hint="eastAsia" w:ascii="仿宋_GB2312" w:hAnsi="仿宋_GB2312" w:eastAsia="仿宋_GB2312" w:cs="仿宋_GB2312"/>
          <w:kern w:val="2"/>
          <w:sz w:val="32"/>
          <w:szCs w:val="32"/>
          <w:lang w:val="en-US" w:eastAsia="zh-CN" w:bidi="ar"/>
        </w:rPr>
        <w:t>国有资本经营</w:t>
      </w:r>
      <w:r>
        <w:rPr>
          <w:rFonts w:hint="eastAsia" w:ascii="仿宋_GB2312" w:hAnsi="仿宋_GB2312" w:eastAsia="仿宋_GB2312" w:cs="仿宋_GB2312"/>
          <w:b w:val="0"/>
          <w:bCs w:val="0"/>
          <w:color w:val="000000"/>
          <w:sz w:val="32"/>
          <w:szCs w:val="32"/>
          <w:highlight w:val="none"/>
          <w:u w:val="none" w:color="auto"/>
          <w:lang w:eastAsia="zh-CN"/>
        </w:rPr>
        <w:t>预算财政拨款</w:t>
      </w:r>
      <w:r>
        <w:rPr>
          <w:rFonts w:hint="eastAsia" w:ascii="仿宋_GB2312" w:hAnsi="仿宋_GB2312" w:eastAsia="仿宋_GB2312" w:cs="仿宋_GB2312"/>
          <w:b w:val="0"/>
          <w:bCs w:val="0"/>
          <w:color w:val="000000"/>
          <w:sz w:val="32"/>
          <w:szCs w:val="32"/>
          <w:highlight w:val="none"/>
          <w:u w:val="none" w:color="auto"/>
          <w:lang w:val="en-US" w:eastAsia="zh-CN"/>
        </w:rPr>
        <w:t>收入</w:t>
      </w:r>
      <w:r>
        <w:rPr>
          <w:rFonts w:hint="eastAsia" w:ascii="仿宋_GB2312" w:hAnsi="仿宋_GB2312" w:eastAsia="仿宋_GB2312" w:cs="仿宋_GB2312"/>
          <w:b w:val="0"/>
          <w:bCs w:val="0"/>
          <w:color w:val="000000"/>
          <w:sz w:val="32"/>
          <w:szCs w:val="32"/>
          <w:highlight w:val="none"/>
          <w:u w:val="none" w:color="auto"/>
          <w:lang w:eastAsia="zh-CN"/>
        </w:rPr>
        <w:t>、</w:t>
      </w:r>
      <w:r>
        <w:rPr>
          <w:rFonts w:hint="eastAsia" w:ascii="仿宋_GB2312" w:hAnsi="仿宋_GB2312" w:eastAsia="仿宋_GB2312" w:cs="仿宋_GB2312"/>
          <w:b w:val="0"/>
          <w:bCs w:val="0"/>
          <w:color w:val="000000"/>
          <w:sz w:val="32"/>
          <w:szCs w:val="32"/>
          <w:highlight w:val="none"/>
          <w:u w:val="none" w:color="auto"/>
          <w:lang w:val="en-US" w:eastAsia="zh-CN"/>
        </w:rPr>
        <w:t>支出</w:t>
      </w:r>
      <w:r>
        <w:rPr>
          <w:rFonts w:hint="eastAsia" w:ascii="仿宋_GB2312" w:hAnsi="仿宋_GB2312" w:eastAsia="仿宋_GB2312" w:cs="仿宋_GB2312"/>
          <w:b w:val="0"/>
          <w:bCs w:val="0"/>
          <w:color w:val="000000"/>
          <w:sz w:val="32"/>
          <w:szCs w:val="32"/>
          <w:highlight w:val="none"/>
          <w:u w:val="none" w:color="auto"/>
          <w:lang w:eastAsia="zh-CN"/>
        </w:rPr>
        <w:t>、结转和结余</w:t>
      </w:r>
      <w:r>
        <w:rPr>
          <w:rFonts w:hint="eastAsia" w:ascii="仿宋_GB2312" w:hAnsi="仿宋_GB2312" w:eastAsia="仿宋_GB2312" w:cs="仿宋_GB2312"/>
          <w:b w:val="0"/>
          <w:bCs w:val="0"/>
          <w:color w:val="000000"/>
          <w:sz w:val="32"/>
          <w:szCs w:val="32"/>
          <w:highlight w:val="none"/>
          <w:u w:val="none" w:color="auto"/>
          <w:lang w:val="en-US" w:eastAsia="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财政拨款“三公”经费支出决算情况说明</w:t>
      </w:r>
    </w:p>
    <w:p>
      <w:pPr>
        <w:widowControl/>
        <w:spacing w:line="590" w:lineRule="exact"/>
        <w:ind w:firstLine="643" w:firstLineChars="200"/>
        <w:outlineLvl w:val="2"/>
        <w:rPr>
          <w:rFonts w:hint="eastAsia" w:ascii="仿宋_GB2312" w:hAnsi="仿宋_GB2312" w:eastAsia="仿宋_GB2312" w:cs="仿宋_GB2312"/>
          <w:b/>
          <w:bCs/>
          <w:sz w:val="32"/>
          <w:szCs w:val="32"/>
          <w:highlight w:val="none"/>
        </w:rPr>
      </w:pPr>
      <w:r>
        <w:rPr>
          <w:rFonts w:hint="eastAsia" w:ascii="楷体" w:hAnsi="楷体" w:eastAsia="楷体" w:cs="楷体"/>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90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0.90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年度“三公”经费支出决算数与预算数</w:t>
      </w:r>
      <w:r>
        <w:rPr>
          <w:rFonts w:hint="eastAsia" w:ascii="仿宋_GB2312" w:hAnsi="仿宋_GB2312" w:eastAsia="仿宋_GB2312" w:cs="仿宋_GB2312"/>
          <w:sz w:val="32"/>
          <w:szCs w:val="32"/>
          <w:highlight w:val="none"/>
          <w:lang w:val="en-US"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3" w:firstLineChars="200"/>
        <w:outlineLvl w:val="2"/>
        <w:rPr>
          <w:rFonts w:hint="eastAsia" w:ascii="楷体" w:hAnsi="楷体" w:eastAsia="楷体" w:cs="楷体"/>
          <w:b/>
          <w:bCs/>
          <w:sz w:val="32"/>
          <w:szCs w:val="32"/>
          <w:highlight w:val="none"/>
        </w:rPr>
      </w:pPr>
      <w:r>
        <w:rPr>
          <w:rFonts w:hint="eastAsia" w:ascii="楷体" w:hAnsi="楷体" w:eastAsia="楷体" w:cs="楷体"/>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年度“三公”经费财政拨款支出决算中，因公出国（境）费支出决算0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；公务用车购置及运行费支出决算</w:t>
      </w:r>
      <w:r>
        <w:rPr>
          <w:rFonts w:hint="eastAsia" w:ascii="仿宋_GB2312" w:hAnsi="仿宋_GB2312" w:eastAsia="仿宋_GB2312" w:cs="仿宋_GB2312"/>
          <w:sz w:val="32"/>
          <w:szCs w:val="32"/>
          <w:lang w:val="en-US" w:eastAsia="zh-CN"/>
        </w:rPr>
        <w:t>0.90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100.00</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%；公务接待费支出决算0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。具体情况如下：</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rPr>
        <w:t>。决算数与预算数不存在差异。全年因公出国（境）团组0个，累计0人次。</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0.90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0.90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决算数与预算数不存在差异。</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0.90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rPr>
        <w:t>主要用于单位车辆燃油费、维修费和保险费。</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1辆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w:t>
      </w:r>
      <w:r>
        <w:rPr>
          <w:rFonts w:hint="eastAsia" w:ascii="仿宋_GB2312" w:hAnsi="仿宋_GB2312" w:eastAsia="仿宋_GB2312" w:cs="仿宋_GB2312"/>
          <w:sz w:val="32"/>
          <w:szCs w:val="32"/>
          <w:highlight w:val="none"/>
          <w:lang w:val="en-US" w:eastAsia="zh-CN"/>
        </w:rPr>
        <w:t>不</w:t>
      </w:r>
      <w:r>
        <w:rPr>
          <w:rFonts w:hint="eastAsia" w:ascii="仿宋_GB2312" w:hAnsi="仿宋_GB2312" w:eastAsia="仿宋_GB2312" w:cs="仿宋_GB2312"/>
          <w:sz w:val="32"/>
          <w:szCs w:val="32"/>
          <w:highlight w:val="none"/>
        </w:rPr>
        <w:t>存在差异。其中：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万元。202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年共接待国（境）外来访团组0个、来访外宾0人次（不包括陪同人员）。</w:t>
      </w:r>
    </w:p>
    <w:p>
      <w:pPr>
        <w:widowControl/>
        <w:spacing w:line="590" w:lineRule="exact"/>
        <w:ind w:firstLine="643" w:firstLineChars="200"/>
        <w:rPr>
          <w:rFonts w:hint="eastAsia" w:ascii="仿宋" w:hAnsi="仿宋" w:eastAsia="仿宋" w:cs="仿宋"/>
          <w:sz w:val="32"/>
          <w:szCs w:val="32"/>
          <w:highlight w:val="none"/>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万元。202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年共接待国内来访团组0个、来宾0人次（不包括陪同人员）。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十一</w:t>
      </w:r>
      <w:r>
        <w:rPr>
          <w:rFonts w:hint="eastAsia" w:ascii="黑体" w:hAnsi="黑体" w:eastAsia="黑体" w:cs="黑体"/>
          <w:sz w:val="32"/>
          <w:szCs w:val="32"/>
          <w:highlight w:val="none"/>
        </w:rPr>
        <w:t>、政府采购支出情况说明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rPr>
        <w:t>年度政府采购支出总额0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万元，其中：政府采购货物支出0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万元、政府采购工程支出0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万元、政府采购服务支出0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万元。授予中小企业合同金额0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其中：授予小微企业合同金额0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w:t>
      </w:r>
      <w:r>
        <w:rPr>
          <w:rFonts w:hint="eastAsia" w:ascii="黑体" w:hAnsi="黑体" w:eastAsia="黑体" w:cs="黑体"/>
          <w:sz w:val="32"/>
          <w:szCs w:val="32"/>
          <w:highlight w:val="none"/>
          <w:lang w:eastAsia="zh-CN"/>
        </w:rPr>
        <w:t>二</w:t>
      </w:r>
      <w:r>
        <w:rPr>
          <w:rFonts w:hint="eastAsia" w:ascii="黑体" w:hAnsi="黑体" w:eastAsia="黑体" w:cs="黑体"/>
          <w:sz w:val="32"/>
          <w:szCs w:val="32"/>
          <w:highlight w:val="none"/>
        </w:rPr>
        <w:t>、国有资产占用情况说明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rPr>
        <w:t>年期末，我单位共有车辆1辆，</w:t>
      </w:r>
      <w:r>
        <w:rPr>
          <w:rFonts w:hint="eastAsia" w:ascii="仿宋_GB2312" w:hAnsi="仿宋_GB2312" w:eastAsia="仿宋_GB2312" w:cs="仿宋_GB2312"/>
          <w:sz w:val="32"/>
          <w:szCs w:val="32"/>
          <w:highlight w:val="none"/>
        </w:rPr>
        <w:t>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eastAsia="zh-CN"/>
        </w:rPr>
        <w:t>1</w:t>
      </w:r>
      <w:r>
        <w:rPr>
          <w:rFonts w:hint="eastAsia" w:ascii="仿宋_GB2312" w:hAnsi="仿宋_GB2312" w:eastAsia="仿宋_GB2312" w:cs="仿宋_GB2312"/>
          <w:sz w:val="32"/>
          <w:szCs w:val="32"/>
          <w:highlight w:val="none"/>
        </w:rPr>
        <w:t>辆；单位价值100万元</w:t>
      </w:r>
      <w:r>
        <w:rPr>
          <w:rFonts w:hint="eastAsia" w:ascii="仿宋_GB2312" w:hAnsi="仿宋_GB2312" w:eastAsia="仿宋_GB2312" w:cs="仿宋_GB2312"/>
          <w:sz w:val="32"/>
          <w:szCs w:val="32"/>
          <w:highlight w:val="none"/>
          <w:lang w:val="en-US" w:eastAsia="zh-CN"/>
        </w:rPr>
        <w:t>(含)</w:t>
      </w:r>
      <w:r>
        <w:rPr>
          <w:rFonts w:hint="eastAsia" w:ascii="仿宋_GB2312" w:hAnsi="仿宋_GB2312" w:eastAsia="仿宋_GB2312" w:cs="仿宋_GB2312"/>
          <w:sz w:val="32"/>
          <w:szCs w:val="32"/>
          <w:highlight w:val="none"/>
        </w:rPr>
        <w:t>以上设备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w:t>
      </w:r>
      <w:r>
        <w:rPr>
          <w:rFonts w:hint="eastAsia" w:ascii="黑体" w:hAnsi="黑体" w:eastAsia="黑体" w:cs="黑体"/>
          <w:sz w:val="32"/>
          <w:szCs w:val="32"/>
          <w:highlight w:val="none"/>
          <w:lang w:eastAsia="zh-CN"/>
        </w:rPr>
        <w:t>三</w:t>
      </w:r>
      <w:r>
        <w:rPr>
          <w:rFonts w:hint="eastAsia" w:ascii="黑体" w:hAnsi="黑体" w:eastAsia="黑体" w:cs="黑体"/>
          <w:sz w:val="32"/>
          <w:szCs w:val="32"/>
          <w:highlight w:val="none"/>
        </w:rPr>
        <w:t>、预算绩效情况说明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许昌市人民政府关于全面实施预算绩效管理的实施意见》（许发〔2021〕13号）文件要求，对本单位整体支出和项目支出开展全过程预算绩效管理。我单位2022年绩效工作的组织和开展情况如下：</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2022年我单位加强了对预算执行和绩效目标等相关政策的学习，并根据预算进度，定期分析预算执行结果，并将预算执行结果作为预算指标调整的依据。</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对本单位整体绩效目标和项目支出绩效目标进行了自评。一是单位整体绩效自评情况：我单位预算绩效目标设置合理，严格按照预算使用资金，确保了单位年度工作和任务顺利完成。二是项目绩效自评情况。我单位共有0个项目批复了绩效目标，项目金额0.00万元。</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color w:val="auto"/>
          <w:sz w:val="32"/>
          <w:szCs w:val="32"/>
          <w:highlight w:val="yellow"/>
          <w:lang w:val="en-US" w:eastAsia="zh-CN"/>
        </w:rPr>
      </w:pPr>
      <w:r>
        <w:rPr>
          <w:rFonts w:hint="eastAsia" w:ascii="仿宋_GB2312" w:hAnsi="仿宋_GB2312" w:eastAsia="仿宋_GB2312" w:cs="仿宋_GB2312"/>
          <w:color w:val="auto"/>
          <w:sz w:val="32"/>
          <w:szCs w:val="32"/>
          <w:highlight w:val="none"/>
          <w:lang w:val="en-US" w:eastAsia="zh-CN"/>
        </w:rPr>
        <w:t xml:space="preserve">    基于项目预期目标的实现程度，对2022年度项目支出绩效进行自评。其中：0个项目评价等级为“优”、0个项目评价等级为“良”、0个项目评价等级为“中”、0个项目评价等级为“差”。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both"/>
        <w:outlineLvl w:val="0"/>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隶书">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79382F"/>
    <w:multiLevelType w:val="singleLevel"/>
    <w:tmpl w:val="E179382F"/>
    <w:lvl w:ilvl="0" w:tentative="0">
      <w:start w:val="8"/>
      <w:numFmt w:val="chineseCounting"/>
      <w:suff w:val="nothing"/>
      <w:lvlText w:val="%1、"/>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pPr>
        <w:ind w:left="-1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5MTI5N2E3MWRlZGY2YmVlNzQ4MGVkMWFkM2M2YjQifQ=="/>
  </w:docVars>
  <w:rsids>
    <w:rsidRoot w:val="000270E8"/>
    <w:rsid w:val="0001393C"/>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2978DD"/>
    <w:rsid w:val="01322275"/>
    <w:rsid w:val="01470910"/>
    <w:rsid w:val="01DC6F05"/>
    <w:rsid w:val="028C4376"/>
    <w:rsid w:val="02A3489A"/>
    <w:rsid w:val="02CA138D"/>
    <w:rsid w:val="033646FC"/>
    <w:rsid w:val="03C75F80"/>
    <w:rsid w:val="0478364D"/>
    <w:rsid w:val="053D4C0D"/>
    <w:rsid w:val="0557532E"/>
    <w:rsid w:val="0799329C"/>
    <w:rsid w:val="08397436"/>
    <w:rsid w:val="086F16A7"/>
    <w:rsid w:val="08B10981"/>
    <w:rsid w:val="0A0F7225"/>
    <w:rsid w:val="0A2B7D82"/>
    <w:rsid w:val="0ADC40E9"/>
    <w:rsid w:val="0AE607F4"/>
    <w:rsid w:val="0B386127"/>
    <w:rsid w:val="0B451598"/>
    <w:rsid w:val="0BEC73F4"/>
    <w:rsid w:val="0C392698"/>
    <w:rsid w:val="0DF86363"/>
    <w:rsid w:val="10BD36F6"/>
    <w:rsid w:val="11BF0649"/>
    <w:rsid w:val="123E3E08"/>
    <w:rsid w:val="126049AF"/>
    <w:rsid w:val="133212F4"/>
    <w:rsid w:val="138279B2"/>
    <w:rsid w:val="13D22E22"/>
    <w:rsid w:val="14573562"/>
    <w:rsid w:val="1458342C"/>
    <w:rsid w:val="145F5697"/>
    <w:rsid w:val="161C2DFF"/>
    <w:rsid w:val="16276039"/>
    <w:rsid w:val="16373578"/>
    <w:rsid w:val="16D3336B"/>
    <w:rsid w:val="16FE22BF"/>
    <w:rsid w:val="17200028"/>
    <w:rsid w:val="173667D0"/>
    <w:rsid w:val="176F23A1"/>
    <w:rsid w:val="17806C36"/>
    <w:rsid w:val="17A74F62"/>
    <w:rsid w:val="18A47774"/>
    <w:rsid w:val="1A741776"/>
    <w:rsid w:val="1A8D28EB"/>
    <w:rsid w:val="1A9F2D78"/>
    <w:rsid w:val="1B2E6FD8"/>
    <w:rsid w:val="1B877D21"/>
    <w:rsid w:val="1C4319A9"/>
    <w:rsid w:val="1E443B4B"/>
    <w:rsid w:val="1E994F4A"/>
    <w:rsid w:val="1EAF0224"/>
    <w:rsid w:val="1F2230A4"/>
    <w:rsid w:val="1FB125A4"/>
    <w:rsid w:val="20210932"/>
    <w:rsid w:val="202448E0"/>
    <w:rsid w:val="204D1B46"/>
    <w:rsid w:val="20F614FE"/>
    <w:rsid w:val="21302EEA"/>
    <w:rsid w:val="22376FB5"/>
    <w:rsid w:val="23E152D7"/>
    <w:rsid w:val="23EE2489"/>
    <w:rsid w:val="255D43C8"/>
    <w:rsid w:val="26714EF8"/>
    <w:rsid w:val="26876BDD"/>
    <w:rsid w:val="2714632A"/>
    <w:rsid w:val="27541E73"/>
    <w:rsid w:val="27B0539E"/>
    <w:rsid w:val="29365CF8"/>
    <w:rsid w:val="29377D95"/>
    <w:rsid w:val="2939555C"/>
    <w:rsid w:val="299469B3"/>
    <w:rsid w:val="2A805789"/>
    <w:rsid w:val="2ADC0D75"/>
    <w:rsid w:val="2B4A0E52"/>
    <w:rsid w:val="2C975890"/>
    <w:rsid w:val="2D88438C"/>
    <w:rsid w:val="2DEF21BB"/>
    <w:rsid w:val="2E4A2F05"/>
    <w:rsid w:val="2E70268A"/>
    <w:rsid w:val="2ECC1061"/>
    <w:rsid w:val="2FA476AD"/>
    <w:rsid w:val="303F7540"/>
    <w:rsid w:val="31DD00BF"/>
    <w:rsid w:val="3293174C"/>
    <w:rsid w:val="32BB38D4"/>
    <w:rsid w:val="32C9376D"/>
    <w:rsid w:val="33780472"/>
    <w:rsid w:val="33AF0905"/>
    <w:rsid w:val="355932F4"/>
    <w:rsid w:val="35611882"/>
    <w:rsid w:val="36746FC3"/>
    <w:rsid w:val="36797B04"/>
    <w:rsid w:val="368763AE"/>
    <w:rsid w:val="38472A4E"/>
    <w:rsid w:val="38617BEE"/>
    <w:rsid w:val="388E6220"/>
    <w:rsid w:val="395D59E7"/>
    <w:rsid w:val="3977B9E8"/>
    <w:rsid w:val="39A93932"/>
    <w:rsid w:val="3A915562"/>
    <w:rsid w:val="3B8D4765"/>
    <w:rsid w:val="3C000DBA"/>
    <w:rsid w:val="3D244737"/>
    <w:rsid w:val="3DC045D3"/>
    <w:rsid w:val="3DD275E3"/>
    <w:rsid w:val="3DE3450C"/>
    <w:rsid w:val="3E504FFB"/>
    <w:rsid w:val="3E615CD0"/>
    <w:rsid w:val="3E911DF4"/>
    <w:rsid w:val="3E9C47F6"/>
    <w:rsid w:val="3F78C4E8"/>
    <w:rsid w:val="3F8B0112"/>
    <w:rsid w:val="3FAB3095"/>
    <w:rsid w:val="3FC17282"/>
    <w:rsid w:val="3FE45947"/>
    <w:rsid w:val="3FF69388"/>
    <w:rsid w:val="41242965"/>
    <w:rsid w:val="420C19B0"/>
    <w:rsid w:val="430F7308"/>
    <w:rsid w:val="435671EA"/>
    <w:rsid w:val="436A6018"/>
    <w:rsid w:val="43E27007"/>
    <w:rsid w:val="440809E9"/>
    <w:rsid w:val="442407A6"/>
    <w:rsid w:val="44805EA1"/>
    <w:rsid w:val="45710696"/>
    <w:rsid w:val="46142B1B"/>
    <w:rsid w:val="47E60DD0"/>
    <w:rsid w:val="48735039"/>
    <w:rsid w:val="492C684B"/>
    <w:rsid w:val="49500594"/>
    <w:rsid w:val="49E7604E"/>
    <w:rsid w:val="4BF67CDD"/>
    <w:rsid w:val="4C2A0E5A"/>
    <w:rsid w:val="4D173441"/>
    <w:rsid w:val="4D603DD6"/>
    <w:rsid w:val="4E95AA43"/>
    <w:rsid w:val="4EBF010F"/>
    <w:rsid w:val="4F471EB0"/>
    <w:rsid w:val="4F6CC166"/>
    <w:rsid w:val="51331326"/>
    <w:rsid w:val="51740A7F"/>
    <w:rsid w:val="51A5541E"/>
    <w:rsid w:val="51C96242"/>
    <w:rsid w:val="52756B57"/>
    <w:rsid w:val="53140476"/>
    <w:rsid w:val="53906AE1"/>
    <w:rsid w:val="54240834"/>
    <w:rsid w:val="54531F36"/>
    <w:rsid w:val="54F46F60"/>
    <w:rsid w:val="55A37BEA"/>
    <w:rsid w:val="56362CD2"/>
    <w:rsid w:val="566634AD"/>
    <w:rsid w:val="567358A7"/>
    <w:rsid w:val="5784687B"/>
    <w:rsid w:val="57846959"/>
    <w:rsid w:val="578E6A87"/>
    <w:rsid w:val="57FF3D6F"/>
    <w:rsid w:val="586E0448"/>
    <w:rsid w:val="58D64ACE"/>
    <w:rsid w:val="5A224933"/>
    <w:rsid w:val="5AC2203A"/>
    <w:rsid w:val="5B204C8F"/>
    <w:rsid w:val="5B33749E"/>
    <w:rsid w:val="5BCB7DF1"/>
    <w:rsid w:val="5BFF6F63"/>
    <w:rsid w:val="5C381321"/>
    <w:rsid w:val="5CBB3334"/>
    <w:rsid w:val="5D115FAF"/>
    <w:rsid w:val="5DFB3FAC"/>
    <w:rsid w:val="5F025AEC"/>
    <w:rsid w:val="5F0756D2"/>
    <w:rsid w:val="5FBA9014"/>
    <w:rsid w:val="5FE6E96F"/>
    <w:rsid w:val="601C3B68"/>
    <w:rsid w:val="616B1F02"/>
    <w:rsid w:val="62811722"/>
    <w:rsid w:val="62E75A72"/>
    <w:rsid w:val="64571880"/>
    <w:rsid w:val="646E4FBE"/>
    <w:rsid w:val="649125B6"/>
    <w:rsid w:val="652F4C1A"/>
    <w:rsid w:val="6544384C"/>
    <w:rsid w:val="666D37F1"/>
    <w:rsid w:val="67087D8F"/>
    <w:rsid w:val="671F687E"/>
    <w:rsid w:val="67F415F8"/>
    <w:rsid w:val="682640D1"/>
    <w:rsid w:val="684B73E5"/>
    <w:rsid w:val="685954A4"/>
    <w:rsid w:val="6A047A2A"/>
    <w:rsid w:val="6A93A3F7"/>
    <w:rsid w:val="6A943615"/>
    <w:rsid w:val="6B7FB087"/>
    <w:rsid w:val="6C5D1784"/>
    <w:rsid w:val="6CA87DFD"/>
    <w:rsid w:val="6D2D359D"/>
    <w:rsid w:val="6DFF13CC"/>
    <w:rsid w:val="6EFB7548"/>
    <w:rsid w:val="6F3831C3"/>
    <w:rsid w:val="6F660E3D"/>
    <w:rsid w:val="6F8B71C1"/>
    <w:rsid w:val="6FBE5AD6"/>
    <w:rsid w:val="70753482"/>
    <w:rsid w:val="707B522A"/>
    <w:rsid w:val="71306E9C"/>
    <w:rsid w:val="72392A6E"/>
    <w:rsid w:val="73194D05"/>
    <w:rsid w:val="73A83B0E"/>
    <w:rsid w:val="744D3EF9"/>
    <w:rsid w:val="74794411"/>
    <w:rsid w:val="757F37A3"/>
    <w:rsid w:val="75867C40"/>
    <w:rsid w:val="75B10B26"/>
    <w:rsid w:val="76432199"/>
    <w:rsid w:val="76F44829"/>
    <w:rsid w:val="77A267C0"/>
    <w:rsid w:val="77D46B8A"/>
    <w:rsid w:val="78882278"/>
    <w:rsid w:val="78AF48BB"/>
    <w:rsid w:val="78B118A6"/>
    <w:rsid w:val="79135044"/>
    <w:rsid w:val="7A2F5B7D"/>
    <w:rsid w:val="7A7D0F99"/>
    <w:rsid w:val="7A7FD88E"/>
    <w:rsid w:val="7BFFF6B6"/>
    <w:rsid w:val="7CAA3729"/>
    <w:rsid w:val="7D9CC305"/>
    <w:rsid w:val="7DD019A4"/>
    <w:rsid w:val="7DF7E46A"/>
    <w:rsid w:val="7E4A0E7C"/>
    <w:rsid w:val="7E6C5823"/>
    <w:rsid w:val="7EFD449D"/>
    <w:rsid w:val="7EFE43A2"/>
    <w:rsid w:val="7F4951E9"/>
    <w:rsid w:val="7F4F5252"/>
    <w:rsid w:val="7F77159E"/>
    <w:rsid w:val="7F7EC512"/>
    <w:rsid w:val="7F9F21BF"/>
    <w:rsid w:val="937E4E03"/>
    <w:rsid w:val="977CAD2E"/>
    <w:rsid w:val="97F7AA43"/>
    <w:rsid w:val="ABDF4B42"/>
    <w:rsid w:val="AFBFE93C"/>
    <w:rsid w:val="AFF169BA"/>
    <w:rsid w:val="B5BD3043"/>
    <w:rsid w:val="BBF79D78"/>
    <w:rsid w:val="CD66FE34"/>
    <w:rsid w:val="CFEF71CB"/>
    <w:rsid w:val="CFF6E247"/>
    <w:rsid w:val="DC8F3AC3"/>
    <w:rsid w:val="DDBFEB2F"/>
    <w:rsid w:val="DFEF4BB2"/>
    <w:rsid w:val="E9F5FD22"/>
    <w:rsid w:val="EB9BEA41"/>
    <w:rsid w:val="EBF20F58"/>
    <w:rsid w:val="EC7CD58F"/>
    <w:rsid w:val="EDB77FB8"/>
    <w:rsid w:val="EDBBCB14"/>
    <w:rsid w:val="EDBDD157"/>
    <w:rsid w:val="EFDF343F"/>
    <w:rsid w:val="EFDFF658"/>
    <w:rsid w:val="F7DB7373"/>
    <w:rsid w:val="F7FE629A"/>
    <w:rsid w:val="FA7F9F96"/>
    <w:rsid w:val="FBF79441"/>
    <w:rsid w:val="FBFD560B"/>
    <w:rsid w:val="FCFB661D"/>
    <w:rsid w:val="FD677E08"/>
    <w:rsid w:val="FDF758D4"/>
    <w:rsid w:val="FF5A5BCB"/>
    <w:rsid w:val="FFBD4F39"/>
    <w:rsid w:val="FFED44C2"/>
    <w:rsid w:val="FFFB1814"/>
    <w:rsid w:val="FFFDABD0"/>
    <w:rsid w:val="FFFE1DFF"/>
    <w:rsid w:val="FFFF72FB"/>
    <w:rsid w:val="FFFFE2F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33</Pages>
  <Words>8603</Words>
  <Characters>11670</Characters>
  <Lines>60</Lines>
  <Paragraphs>16</Paragraphs>
  <TotalTime>23</TotalTime>
  <ScaleCrop>false</ScaleCrop>
  <LinksUpToDate>false</LinksUpToDate>
  <CharactersWithSpaces>11903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2007-11-30T11:41:00Z</dcterms:created>
  <dc:creator>管理者</dc:creator>
  <cp:lastModifiedBy>鹏程</cp:lastModifiedBy>
  <cp:lastPrinted>2018-07-25T18:50:00Z</cp:lastPrinted>
  <dcterms:modified xsi:type="dcterms:W3CDTF">2023-09-22T03:34:57Z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3844FAEA6AB844D0B05B05202ECD3B3F_13</vt:lpwstr>
  </property>
</Properties>
</file>