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rPr>
          <w:rFonts w:cs="Times New Roman"/>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hint="eastAsia" w:ascii="黑体" w:hAnsi="黑体" w:eastAsia="黑体"/>
          <w:sz w:val="52"/>
          <w:szCs w:val="52"/>
        </w:rPr>
      </w:pPr>
      <w:r>
        <w:rPr>
          <w:rFonts w:hint="eastAsia" w:ascii="黑体" w:hAnsi="黑体" w:eastAsia="黑体"/>
          <w:sz w:val="52"/>
          <w:szCs w:val="52"/>
        </w:rPr>
        <w:t>202</w:t>
      </w:r>
      <w:r>
        <w:rPr>
          <w:rFonts w:hint="eastAsia" w:ascii="黑体" w:hAnsi="黑体" w:eastAsia="黑体"/>
          <w:sz w:val="52"/>
          <w:szCs w:val="52"/>
          <w:lang w:val="en-US" w:eastAsia="zh-CN"/>
        </w:rPr>
        <w:t>2</w:t>
      </w:r>
      <w:r>
        <w:rPr>
          <w:rFonts w:hint="eastAsia" w:ascii="黑体" w:hAnsi="黑体" w:eastAsia="黑体"/>
          <w:sz w:val="52"/>
          <w:szCs w:val="52"/>
        </w:rPr>
        <w:t>年度</w:t>
      </w:r>
    </w:p>
    <w:p>
      <w:pPr>
        <w:rPr>
          <w:rFonts w:hint="eastAsia" w:ascii="黑体" w:hAnsi="黑体" w:eastAsia="黑体"/>
          <w:sz w:val="52"/>
          <w:szCs w:val="52"/>
        </w:rPr>
      </w:pPr>
      <w:r>
        <w:rPr>
          <w:rFonts w:hint="eastAsia" w:ascii="黑体" w:hAnsi="黑体" w:eastAsia="黑体"/>
          <w:sz w:val="52"/>
          <w:szCs w:val="52"/>
        </w:rPr>
        <w:t xml:space="preserve">   许昌市国土资源局东城区分局</w:t>
      </w:r>
    </w:p>
    <w:p>
      <w:pPr>
        <w:rPr>
          <w:rFonts w:ascii="黑体" w:hAnsi="黑体" w:eastAsia="黑体"/>
          <w:sz w:val="52"/>
          <w:szCs w:val="52"/>
        </w:rPr>
      </w:pPr>
      <w:r>
        <w:rPr>
          <w:rFonts w:hint="eastAsia" w:ascii="黑体" w:hAnsi="黑体" w:eastAsia="黑体"/>
          <w:sz w:val="52"/>
          <w:szCs w:val="52"/>
        </w:rPr>
        <w:t xml:space="preserve">         邓庄所</w:t>
      </w:r>
      <w:r>
        <w:rPr>
          <w:rFonts w:hint="eastAsia" w:ascii="黑体" w:hAnsi="黑体" w:eastAsia="黑体"/>
          <w:sz w:val="52"/>
          <w:szCs w:val="52"/>
          <w:lang w:eastAsia="zh-CN"/>
        </w:rPr>
        <w:t>单位</w:t>
      </w:r>
      <w:r>
        <w:rPr>
          <w:rFonts w:hint="eastAsia" w:ascii="黑体" w:hAnsi="黑体" w:eastAsia="黑体"/>
          <w:sz w:val="52"/>
          <w:szCs w:val="52"/>
        </w:rPr>
        <w:t>决算</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sz w:val="32"/>
          <w:szCs w:val="32"/>
        </w:rPr>
        <w:t>二〇二</w:t>
      </w:r>
      <w:r>
        <w:rPr>
          <w:rFonts w:hint="eastAsia" w:ascii="黑体" w:hAnsi="黑体" w:eastAsia="黑体"/>
          <w:sz w:val="32"/>
          <w:szCs w:val="32"/>
          <w:lang w:eastAsia="zh-CN"/>
        </w:rPr>
        <w:t>三</w:t>
      </w:r>
      <w:r>
        <w:rPr>
          <w:rFonts w:hint="eastAsia" w:ascii="黑体" w:hAnsi="黑体" w:eastAsia="黑体"/>
          <w:sz w:val="32"/>
          <w:szCs w:val="32"/>
        </w:rPr>
        <w:t>年九月</w:t>
      </w:r>
    </w:p>
    <w:p>
      <w:pPr>
        <w:jc w:val="center"/>
        <w:rPr>
          <w:rFonts w:ascii="黑体" w:hAnsi="黑体" w:eastAsia="黑体"/>
          <w:sz w:val="36"/>
          <w:szCs w:val="36"/>
        </w:rPr>
      </w:pPr>
      <w:r>
        <w:rPr>
          <w:rFonts w:hint="eastAsia" w:ascii="黑体" w:hAnsi="黑体" w:eastAsia="黑体"/>
          <w:sz w:val="36"/>
          <w:szCs w:val="36"/>
        </w:rPr>
        <w:t>目　　录</w:t>
      </w:r>
    </w:p>
    <w:p>
      <w:pPr>
        <w:jc w:val="left"/>
        <w:rPr>
          <w:rFonts w:ascii="黑体" w:hAnsi="黑体" w:eastAsia="黑体"/>
          <w:sz w:val="32"/>
          <w:szCs w:val="32"/>
        </w:rPr>
      </w:pPr>
      <w:r>
        <w:rPr>
          <w:rFonts w:hint="eastAsia" w:ascii="黑体" w:hAnsi="黑体" w:eastAsia="黑体"/>
          <w:sz w:val="32"/>
          <w:szCs w:val="32"/>
        </w:rPr>
        <w:t>第一部分　　许昌市国土资源局东城区分局邓庄所概况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sz w:val="32"/>
          <w:szCs w:val="32"/>
        </w:rPr>
      </w:pPr>
      <w:r>
        <w:rPr>
          <w:rFonts w:hint="eastAsia" w:ascii="黑体" w:hAnsi="黑体" w:eastAsia="黑体"/>
          <w:sz w:val="32"/>
          <w:szCs w:val="32"/>
        </w:rPr>
        <w:t>第二部分　　202</w:t>
      </w:r>
      <w:r>
        <w:rPr>
          <w:rFonts w:hint="eastAsia" w:ascii="黑体" w:hAnsi="黑体" w:eastAsia="黑体"/>
          <w:sz w:val="32"/>
          <w:szCs w:val="32"/>
          <w:lang w:val="en-US" w:eastAsia="zh-CN"/>
        </w:rPr>
        <w:t>2</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七、政府性基金预算财政拨款收入支出决算表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八、国有</w:t>
      </w:r>
      <w:r>
        <w:rPr>
          <w:rFonts w:ascii="宋体" w:hAnsi="宋体" w:cs="黑体"/>
          <w:sz w:val="32"/>
          <w:szCs w:val="32"/>
          <w:highlight w:val="none"/>
        </w:rPr>
        <w:t>资本经营预算财政拨款</w:t>
      </w:r>
      <w:r>
        <w:rPr>
          <w:rFonts w:hint="eastAsia" w:ascii="宋体" w:hAnsi="宋体" w:cs="黑体"/>
          <w:sz w:val="32"/>
          <w:szCs w:val="32"/>
          <w:highlight w:val="none"/>
        </w:rPr>
        <w:t>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九、财政拨款“三公”经费支出决算表</w:t>
      </w:r>
    </w:p>
    <w:p>
      <w:pPr>
        <w:jc w:val="left"/>
        <w:rPr>
          <w:rFonts w:ascii="黑体" w:hAnsi="黑体" w:eastAsia="黑体"/>
          <w:sz w:val="32"/>
          <w:szCs w:val="32"/>
        </w:rPr>
      </w:pPr>
      <w:r>
        <w:rPr>
          <w:rFonts w:hint="eastAsia" w:ascii="黑体" w:hAnsi="黑体" w:eastAsia="黑体"/>
          <w:sz w:val="32"/>
          <w:szCs w:val="32"/>
        </w:rPr>
        <w:t>第三部分　　202</w:t>
      </w:r>
      <w:r>
        <w:rPr>
          <w:rFonts w:hint="eastAsia" w:ascii="黑体" w:hAnsi="黑体" w:eastAsia="黑体"/>
          <w:sz w:val="32"/>
          <w:szCs w:val="32"/>
          <w:lang w:val="en-US" w:eastAsia="zh-CN"/>
        </w:rPr>
        <w:t>2</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七、政府性基金预算财政拨款支出决算情况说明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八、国有资本</w:t>
      </w:r>
      <w:r>
        <w:rPr>
          <w:rFonts w:ascii="宋体" w:hAnsi="宋体" w:cs="宋体"/>
          <w:sz w:val="32"/>
          <w:szCs w:val="32"/>
          <w:highlight w:val="none"/>
        </w:rPr>
        <w:t>经营</w:t>
      </w:r>
      <w:r>
        <w:rPr>
          <w:rFonts w:hint="eastAsia" w:ascii="宋体" w:hAnsi="宋体" w:cs="宋体"/>
          <w:sz w:val="32"/>
          <w:szCs w:val="32"/>
          <w:highlight w:val="none"/>
        </w:rPr>
        <w:t>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九、财政拨款“三公”经费支出决算情况说明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十一、政府采购支出情况说明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十二、国有资产占用情况说明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十三、预算绩效情况说明</w:t>
      </w:r>
    </w:p>
    <w:p>
      <w:pPr>
        <w:jc w:val="left"/>
        <w:rPr>
          <w:rFonts w:hint="eastAsia" w:ascii="黑体" w:hAnsi="黑体" w:eastAsia="黑体"/>
          <w:sz w:val="32"/>
          <w:szCs w:val="32"/>
        </w:rPr>
      </w:pPr>
      <w:r>
        <w:rPr>
          <w:rFonts w:hint="eastAsia" w:ascii="黑体" w:hAnsi="黑体" w:eastAsia="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黑体" w:eastAsia="黑体"/>
          <w:sz w:val="48"/>
          <w:szCs w:val="4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sz w:val="48"/>
          <w:szCs w:val="48"/>
        </w:rPr>
        <w:t>第一部分  许昌市国土资源局东城区分局邓庄所概况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kern w:val="0"/>
          <w:sz w:val="32"/>
          <w:szCs w:val="32"/>
          <w:lang w:eastAsia="zh-CN"/>
        </w:rPr>
        <w:t>单位</w:t>
      </w:r>
      <w:r>
        <w:rPr>
          <w:rFonts w:hint="eastAsia" w:ascii="黑体" w:hAnsi="黑体" w:eastAsia="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许昌市国土资源局东城区分局邓庄所职责任务是：贯彻执行国土资源管理法律、法规、政策；修编乡镇土地利用总体规划，划定和管理基本农田保护区；加强对本区域内国土资源开发、利用情况的监督检查，调查处理国土资源违法案件和权属纠纷案件；组织实施本区域内土地资源调查、土地统计和对国土资源的动态监测；接待处理人民群众来信来访等。</w:t>
      </w:r>
    </w:p>
    <w:p>
      <w:pPr>
        <w:widowControl/>
        <w:ind w:firstLine="640" w:firstLineChars="200"/>
        <w:jc w:val="left"/>
        <w:outlineLvl w:val="1"/>
        <w:rPr>
          <w:rFonts w:ascii="黑体" w:hAnsi="黑体" w:eastAsia="黑体"/>
          <w:kern w:val="0"/>
          <w:sz w:val="32"/>
          <w:szCs w:val="32"/>
        </w:rPr>
      </w:pPr>
      <w:r>
        <w:rPr>
          <w:rFonts w:hint="eastAsia" w:ascii="黑体" w:hAnsi="黑体" w:eastAsia="黑体"/>
          <w:kern w:val="0"/>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许昌市</w:t>
      </w:r>
      <w:r>
        <w:rPr>
          <w:rFonts w:hint="eastAsia" w:ascii="仿宋_GB2312" w:hAnsi="宋体" w:eastAsia="仿宋_GB2312" w:cs="宋体"/>
          <w:kern w:val="0"/>
          <w:sz w:val="32"/>
          <w:szCs w:val="32"/>
        </w:rPr>
        <w:t>国土资源局东城区分局邓庄所</w:t>
      </w:r>
      <w:r>
        <w:rPr>
          <w:rFonts w:hint="eastAsia" w:ascii="仿宋_GB2312" w:hAnsi="仿宋_GB2312" w:eastAsia="仿宋_GB2312" w:cs="仿宋_GB2312"/>
          <w:kern w:val="0"/>
          <w:sz w:val="32"/>
          <w:szCs w:val="32"/>
        </w:rPr>
        <w:t>内设机构1个，包括：</w:t>
      </w:r>
      <w:r>
        <w:rPr>
          <w:rFonts w:hint="eastAsia" w:ascii="仿宋_GB2312" w:hAnsi="仿宋_GB2312" w:eastAsia="仿宋_GB2312" w:cs="仿宋_GB2312"/>
          <w:sz w:val="32"/>
          <w:szCs w:val="32"/>
        </w:rPr>
        <w:t>办公室。</w:t>
      </w:r>
    </w:p>
    <w:p>
      <w:pPr>
        <w:widowControl/>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w:t>
      </w:r>
      <w:r>
        <w:rPr>
          <w:rFonts w:hint="eastAsia" w:ascii="仿宋_GB2312" w:hAnsi="宋体" w:eastAsia="仿宋_GB2312" w:cs="宋体"/>
          <w:kern w:val="0"/>
          <w:sz w:val="32"/>
          <w:szCs w:val="32"/>
        </w:rPr>
        <w:t>国土资源局东城区分局邓庄所</w:t>
      </w:r>
      <w:r>
        <w:rPr>
          <w:rFonts w:hint="eastAsia" w:ascii="仿宋_GB2312" w:hAnsi="仿宋_GB2312" w:eastAsia="仿宋_GB2312" w:cs="仿宋_GB2312"/>
          <w:sz w:val="32"/>
          <w:szCs w:val="32"/>
        </w:rPr>
        <w:t>单位决算包括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sz w:val="32"/>
          <w:szCs w:val="32"/>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sz w:val="32"/>
          <w:szCs w:val="32"/>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w:t>
      </w:r>
      <w:r>
        <w:rPr>
          <w:rFonts w:hint="eastAsia" w:ascii="仿宋_GB2312" w:hAnsi="宋体" w:eastAsia="仿宋_GB2312" w:cs="宋体"/>
          <w:kern w:val="0"/>
          <w:sz w:val="32"/>
          <w:szCs w:val="32"/>
        </w:rPr>
        <w:t>国土资源局东城区分局邓庄所</w:t>
      </w:r>
    </w:p>
    <w:p>
      <w:pPr>
        <w:widowControl/>
        <w:ind w:firstLine="480" w:firstLineChars="150"/>
        <w:jc w:val="left"/>
        <w:rPr>
          <w:rFonts w:hint="eastAsia" w:ascii="仿宋_GB2312" w:hAnsi="仿宋_GB2312" w:eastAsia="仿宋_GB2312" w:cs="仿宋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sz w:val="48"/>
          <w:szCs w:val="48"/>
        </w:rPr>
      </w:pPr>
      <w:r>
        <w:rPr>
          <w:rFonts w:hint="eastAsia" w:ascii="黑体" w:hAnsi="黑体" w:eastAsia="黑体"/>
          <w:sz w:val="48"/>
          <w:szCs w:val="48"/>
        </w:rPr>
        <w:t>第二部分  202</w:t>
      </w:r>
      <w:r>
        <w:rPr>
          <w:rFonts w:hint="eastAsia" w:ascii="黑体" w:hAnsi="黑体" w:eastAsia="黑体"/>
          <w:sz w:val="48"/>
          <w:szCs w:val="48"/>
          <w:lang w:val="en-US" w:eastAsia="zh-CN"/>
        </w:rPr>
        <w:t>2</w:t>
      </w:r>
      <w:r>
        <w:rPr>
          <w:rFonts w:hint="eastAsia" w:ascii="黑体" w:hAnsi="黑体" w:eastAsia="黑体"/>
          <w:sz w:val="48"/>
          <w:szCs w:val="48"/>
        </w:rPr>
        <w:t>年度</w:t>
      </w:r>
      <w:r>
        <w:rPr>
          <w:rFonts w:hint="eastAsia" w:ascii="黑体" w:hAnsi="黑体" w:eastAsia="黑体"/>
          <w:sz w:val="48"/>
          <w:szCs w:val="48"/>
          <w:lang w:eastAsia="zh-CN"/>
        </w:rPr>
        <w:t>单位</w:t>
      </w:r>
      <w:r>
        <w:rPr>
          <w:rFonts w:hint="eastAsia" w:ascii="黑体" w:hAnsi="黑体" w:eastAsia="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69"/>
        <w:gridCol w:w="876"/>
        <w:gridCol w:w="1174"/>
        <w:gridCol w:w="4703"/>
        <w:gridCol w:w="8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94" w:type="pct"/>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30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413"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5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23"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94" w:type="pct"/>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30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413"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5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23"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2617" w:type="pct"/>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382" w:type="pct"/>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13"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1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9" w:type="pct"/>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9" w:type="pct"/>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1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59" w:type="pct"/>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14"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4"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1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165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1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 xml:space="preserve">本年度的总收支和年末结转结余情况。 </w:t>
            </w:r>
            <w:r>
              <w:rPr>
                <w:rFonts w:hint="eastAsia" w:ascii="宋体" w:hAnsi="宋体" w:cs="宋体"/>
                <w:color w:val="000000"/>
                <w:kern w:val="0"/>
                <w:sz w:val="22"/>
                <w:szCs w:val="22"/>
                <w:highlight w:val="none"/>
                <w:lang w:bidi="ar"/>
              </w:rPr>
              <w:t>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576"/>
        <w:gridCol w:w="1434"/>
        <w:gridCol w:w="1434"/>
        <w:gridCol w:w="1271"/>
        <w:gridCol w:w="1170"/>
        <w:gridCol w:w="1078"/>
        <w:gridCol w:w="1143"/>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0" w:type="dxa"/>
            <w:gridSpan w:val="11"/>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1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1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7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0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5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7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1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w:t>
            </w:r>
            <w:r>
              <w:rPr>
                <w:rFonts w:hint="eastAsia" w:ascii="宋体" w:hAnsi="宋体" w:cs="宋体"/>
                <w:color w:val="000000"/>
                <w:kern w:val="0"/>
                <w:sz w:val="22"/>
                <w:szCs w:val="22"/>
                <w:highlight w:val="none"/>
                <w:lang w:bidi="ar"/>
              </w:rPr>
              <w:t>本表金额转换为万元时，因四舍五入可能存在尾差。</w:t>
            </w:r>
          </w:p>
        </w:tc>
      </w:tr>
    </w:tbl>
    <w:p>
      <w:pPr>
        <w:spacing w:line="240" w:lineRule="auto"/>
        <w:rPr>
          <w:rFonts w:hint="eastAsia" w:ascii="宋体" w:hAnsi="宋体" w:cs="仿宋_GB2312"/>
          <w:sz w:val="20"/>
          <w:szCs w:val="32"/>
        </w:rPr>
        <w:sectPr>
          <w:pgSz w:w="16838" w:h="11906" w:orient="landscape"/>
          <w:pgMar w:top="1134" w:right="1440" w:bottom="1134" w:left="1440" w:header="720" w:footer="720" w:gutter="0"/>
          <w:pgNumType w:fmt="numberInDash"/>
          <w:cols w:space="720" w:num="1"/>
          <w:docGrid w:type="lines" w:linePitch="312" w:charSpace="0"/>
        </w:sect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2"/>
        <w:gridCol w:w="363"/>
        <w:gridCol w:w="366"/>
        <w:gridCol w:w="4955"/>
        <w:gridCol w:w="1607"/>
        <w:gridCol w:w="1449"/>
        <w:gridCol w:w="1313"/>
        <w:gridCol w:w="1222"/>
        <w:gridCol w:w="1273"/>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2"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133" w:type="pct"/>
            <w:gridSpan w:val="4"/>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567"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11"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431"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92"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33"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7"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11"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63"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31"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49"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443"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47"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67"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31"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385" w:type="pct"/>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47"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567"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31"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85" w:type="pct"/>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47"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567"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31"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33"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67"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1"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4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33"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110.33</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110.33</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5"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74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51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46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w:t>
            </w:r>
            <w:r>
              <w:rPr>
                <w:rFonts w:hint="eastAsia" w:ascii="宋体" w:hAnsi="宋体" w:cs="宋体"/>
                <w:color w:val="000000"/>
                <w:kern w:val="0"/>
                <w:sz w:val="22"/>
                <w:szCs w:val="22"/>
                <w:highlight w:val="none"/>
                <w:lang w:bidi="ar"/>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1236" w:right="1440" w:bottom="1236" w:left="1440" w:header="720" w:footer="720" w:gutter="0"/>
          <w:pgNumType w:fmt="numberInDash"/>
          <w:cols w:space="720" w:num="1"/>
          <w:docGrid w:type="lines" w:linePitch="312" w:charSpace="0"/>
        </w:sect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6"/>
        <w:gridCol w:w="578"/>
        <w:gridCol w:w="939"/>
        <w:gridCol w:w="3516"/>
        <w:gridCol w:w="563"/>
        <w:gridCol w:w="867"/>
        <w:gridCol w:w="980"/>
        <w:gridCol w:w="2736"/>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1" w:type="pct"/>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00"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24"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06"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9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00"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3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01"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56" w:type="pct"/>
            <w:gridSpan w:val="3"/>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1206"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9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00"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3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01"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656" w:type="pct"/>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343" w:type="pct"/>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31" w:type="pct"/>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00"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2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06"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5"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00"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4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356"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31" w:type="pct"/>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0"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6"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5"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00"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0" w:type="pct"/>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2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5" w:type="pct"/>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6" w:type="pct"/>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0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6" w:type="pct"/>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0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6" w:type="pct"/>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0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1" w:type="pc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00"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1206"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9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0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33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110.33</w:t>
            </w:r>
          </w:p>
        </w:tc>
        <w:tc>
          <w:tcPr>
            <w:tcW w:w="94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643"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w:t>
            </w:r>
          </w:p>
        </w:tc>
        <w:tc>
          <w:tcPr>
            <w:tcW w:w="35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ascii="仿宋_GB2312" w:hAnsi="仿宋_GB2312" w:eastAsia="仿宋_GB2312" w:cs="仿宋_GB2312"/>
          <w:sz w:val="22"/>
          <w:szCs w:val="2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2"/>
          <w:szCs w:val="22"/>
          <w:highlight w:val="none"/>
          <w:lang w:bidi="ar"/>
        </w:rPr>
        <w:t>本表金额转换为万元时，因四舍五入可能存在尾差。</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5"/>
        <w:gridCol w:w="425"/>
        <w:gridCol w:w="431"/>
        <w:gridCol w:w="6075"/>
        <w:gridCol w:w="2350"/>
        <w:gridCol w:w="2350"/>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5"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95" w:type="pct"/>
            <w:gridSpan w:val="4"/>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829"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75"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5"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04" w:type="pct"/>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42"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2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45"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52" w:type="pct"/>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42"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2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2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42"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2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2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5"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2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5"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110.33</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110.33</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88.24</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1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8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7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w:t>
            </w:r>
            <w:r>
              <w:rPr>
                <w:rFonts w:hint="eastAsia" w:ascii="宋体" w:hAnsi="宋体" w:cs="宋体"/>
                <w:color w:val="000000"/>
                <w:kern w:val="0"/>
                <w:sz w:val="22"/>
                <w:szCs w:val="22"/>
                <w:highlight w:val="none"/>
                <w:lang w:bidi="ar"/>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1236" w:right="1440" w:bottom="1236" w:left="1440" w:header="720" w:footer="720" w:gutter="0"/>
          <w:pgNumType w:fmt="numberInDash"/>
          <w:cols w:space="720" w:num="1"/>
          <w:docGrid w:type="lines" w:linePitch="312" w:charSpace="0"/>
        </w:sectPr>
      </w:pPr>
    </w:p>
    <w:tbl>
      <w:tblPr>
        <w:tblStyle w:val="9"/>
        <w:tblW w:w="14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3296"/>
        <w:gridCol w:w="884"/>
        <w:gridCol w:w="766"/>
        <w:gridCol w:w="2416"/>
        <w:gridCol w:w="664"/>
        <w:gridCol w:w="774"/>
        <w:gridCol w:w="4396"/>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62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46"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46"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679"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29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1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6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7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39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6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8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7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6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8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105.15</w:t>
            </w:r>
          </w:p>
        </w:tc>
        <w:tc>
          <w:tcPr>
            <w:tcW w:w="9016"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w:t>
            </w:r>
            <w:r>
              <w:rPr>
                <w:rFonts w:hint="eastAsia" w:ascii="宋体" w:hAnsi="宋体" w:cs="宋体"/>
                <w:color w:val="000000"/>
                <w:kern w:val="0"/>
                <w:sz w:val="22"/>
                <w:szCs w:val="22"/>
                <w:highlight w:val="none"/>
                <w:lang w:bidi="ar"/>
              </w:rPr>
              <w:t>本表金额转换为万元时，因四舍五入可能存在尾差。</w:t>
            </w:r>
          </w:p>
        </w:tc>
      </w:tr>
    </w:tbl>
    <w:p>
      <w:pPr>
        <w:rPr>
          <w:rFonts w:hint="eastAsia" w:ascii="宋体" w:hAnsi="宋体" w:cs="仿宋_GB2312"/>
          <w:sz w:val="22"/>
          <w:szCs w:val="32"/>
        </w:rPr>
        <w:sectPr>
          <w:pgSz w:w="16838" w:h="11906" w:orient="landscape"/>
          <w:pgMar w:top="1800" w:right="1020" w:bottom="1800" w:left="1020" w:header="720" w:footer="720" w:gutter="0"/>
          <w:pgNumType w:fmt="numberInDash"/>
          <w:cols w:space="720" w:num="1"/>
          <w:docGrid w:type="lines" w:linePitch="312" w:charSpace="0"/>
        </w:sectPr>
      </w:pPr>
    </w:p>
    <w:tbl>
      <w:tblPr>
        <w:tblStyle w:val="9"/>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5"/>
        <w:gridCol w:w="385"/>
        <w:gridCol w:w="385"/>
        <w:gridCol w:w="1899"/>
        <w:gridCol w:w="1833"/>
        <w:gridCol w:w="1703"/>
        <w:gridCol w:w="1639"/>
        <w:gridCol w:w="1717"/>
        <w:gridCol w:w="1587"/>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6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3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39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5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9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w:t>
            </w:r>
            <w:r>
              <w:rPr>
                <w:rFonts w:hint="eastAsia" w:ascii="宋体" w:hAnsi="宋体" w:cs="宋体"/>
                <w:color w:val="000000"/>
                <w:kern w:val="0"/>
                <w:sz w:val="22"/>
                <w:szCs w:val="22"/>
                <w:highlight w:val="none"/>
                <w:lang w:bidi="ar"/>
              </w:rPr>
              <w:t>本表金额转换为万元时，因四舍五入可能存在尾差。</w:t>
            </w:r>
          </w:p>
        </w:tc>
      </w:tr>
    </w:tbl>
    <w:p>
      <w:pPr>
        <w:widowControl/>
        <w:jc w:val="left"/>
        <w:textAlignment w:val="center"/>
        <w:rPr>
          <w:rFonts w:hint="eastAsia" w:ascii="仿宋_GB2312" w:hAnsi="仿宋_GB2312" w:eastAsia="仿宋_GB2312" w:cs="仿宋_GB2312"/>
          <w:color w:val="000000"/>
          <w:sz w:val="28"/>
          <w:szCs w:val="2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000000"/>
          <w:sz w:val="28"/>
          <w:szCs w:val="28"/>
          <w:highlight w:val="none"/>
        </w:rPr>
        <w:t>说明：我单位本年度没有政府性基金收入、支出、结转和结余，故本表无数据</w:t>
      </w:r>
      <w:bookmarkStart w:id="0" w:name="_GoBack"/>
      <w:bookmarkEnd w:id="0"/>
      <w:r>
        <w:rPr>
          <w:rFonts w:hint="eastAsia" w:ascii="仿宋_GB2312" w:hAnsi="仿宋_GB2312" w:eastAsia="仿宋_GB2312" w:cs="仿宋_GB2312"/>
          <w:color w:val="000000"/>
          <w:sz w:val="28"/>
          <w:szCs w:val="28"/>
          <w:highlight w:val="none"/>
        </w:rPr>
        <w:t>。</w:t>
      </w:r>
    </w:p>
    <w:p>
      <w:pPr>
        <w:rPr>
          <w:rFonts w:hint="eastAsia" w:ascii="仿宋_GB2312" w:hAnsi="仿宋_GB2312" w:eastAsia="仿宋_GB2312" w:cs="仿宋_GB2312"/>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686"/>
        <w:gridCol w:w="692"/>
        <w:gridCol w:w="3396"/>
        <w:gridCol w:w="2903"/>
        <w:gridCol w:w="2903"/>
        <w:gridCol w:w="2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9"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26" w:type="pct"/>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10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9"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6"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73" w:type="pct"/>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98"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2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2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8"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8"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6"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2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6"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9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9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9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9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9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9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本年度国有资本经营预算财政拨款支出情况。</w:t>
            </w:r>
            <w:r>
              <w:rPr>
                <w:rFonts w:hint="eastAsia" w:ascii="宋体" w:hAnsi="宋体" w:cs="宋体"/>
                <w:color w:val="000000"/>
                <w:kern w:val="0"/>
                <w:sz w:val="22"/>
                <w:szCs w:val="22"/>
                <w:highlight w:val="none"/>
                <w:lang w:bidi="ar"/>
              </w:rPr>
              <w:t>本表金额转换为万元时，因四舍五入可能存在尾差。</w:t>
            </w:r>
          </w:p>
        </w:tc>
      </w:tr>
    </w:tbl>
    <w:p>
      <w:p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单位本年度</w:t>
      </w:r>
      <w:r>
        <w:rPr>
          <w:rFonts w:hint="eastAsia" w:ascii="仿宋_GB2312" w:hAnsi="仿宋_GB2312" w:eastAsia="仿宋_GB2312" w:cs="仿宋_GB2312"/>
          <w:sz w:val="32"/>
          <w:szCs w:val="32"/>
          <w:highlight w:val="none"/>
        </w:rPr>
        <w:t>没有国有资本经营预算财政拨款支出，故本表无数据</w:t>
      </w:r>
      <w:r>
        <w:rPr>
          <w:rFonts w:hint="eastAsia" w:ascii="仿宋_GB2312" w:hAnsi="仿宋_GB2312" w:eastAsia="仿宋_GB2312" w:cs="仿宋_GB2312"/>
          <w:sz w:val="28"/>
          <w:szCs w:val="28"/>
          <w:highlight w:val="none"/>
        </w:rPr>
        <w:t>。</w:t>
      </w: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10"/>
        <w:gridCol w:w="1134"/>
        <w:gridCol w:w="887"/>
        <w:gridCol w:w="845"/>
        <w:gridCol w:w="882"/>
        <w:gridCol w:w="797"/>
        <w:gridCol w:w="799"/>
        <w:gridCol w:w="1259"/>
        <w:gridCol w:w="856"/>
        <w:gridCol w:w="856"/>
        <w:gridCol w:w="870"/>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5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5"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5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：许昌市国土资源局东城区分局邓庄所</w:t>
            </w:r>
          </w:p>
        </w:tc>
        <w:tc>
          <w:tcPr>
            <w:tcW w:w="400" w:type="pct"/>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298" w:type="pct"/>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3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5" w:type="pct"/>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5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947" w:type="pct"/>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0" w:type="pct"/>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0"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922" w:type="pct"/>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27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82"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4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911" w:type="pct"/>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30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50" w:type="pct"/>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98"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10"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7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2"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0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0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30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0" w:type="pc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0"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3"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8"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0"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8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44"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0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0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6"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09"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50" w:type="pct"/>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44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cs="宋体"/>
                <w:color w:val="000000"/>
                <w:kern w:val="0"/>
                <w:sz w:val="22"/>
                <w:szCs w:val="22"/>
                <w:highlight w:val="none"/>
                <w:lang w:bidi="ar"/>
              </w:rPr>
              <w:t>本表金额转换为万元时，因四舍五入可能存在尾差。</w:t>
            </w:r>
          </w:p>
        </w:tc>
      </w:tr>
    </w:tbl>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rPr>
        <w:t>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单位本年度</w:t>
      </w:r>
      <w:r>
        <w:rPr>
          <w:rFonts w:hint="eastAsia" w:ascii="仿宋_GB2312" w:hAnsi="仿宋_GB2312" w:eastAsia="仿宋_GB2312" w:cs="仿宋_GB2312"/>
          <w:sz w:val="32"/>
          <w:szCs w:val="32"/>
          <w:highlight w:val="none"/>
        </w:rPr>
        <w:t>没有三公经费</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，也没有三公支出，故本表无数据</w:t>
      </w:r>
      <w:r>
        <w:rPr>
          <w:rFonts w:hint="eastAsia" w:ascii="仿宋_GB2312" w:hAnsi="仿宋_GB2312" w:eastAsia="仿宋_GB2312" w:cs="仿宋_GB2312"/>
          <w:sz w:val="32"/>
          <w:szCs w:val="32"/>
          <w:highlight w:val="none"/>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w:t>
      </w:r>
      <w:r>
        <w:rPr>
          <w:rFonts w:hint="eastAsia" w:ascii="黑体" w:hAnsi="黑体" w:eastAsia="黑体" w:cs="黑体"/>
          <w:sz w:val="48"/>
          <w:szCs w:val="48"/>
          <w:highlight w:val="none"/>
          <w:lang w:val="en-US" w:eastAsia="zh-CN"/>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黑体" w:hAnsi="黑体" w:eastAsia="黑体"/>
          <w:sz w:val="32"/>
          <w:szCs w:val="32"/>
        </w:rPr>
      </w:pPr>
      <w:r>
        <w:rPr>
          <w:rFonts w:hint="eastAsia" w:ascii="黑体" w:hAnsi="黑体" w:eastAsia="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万元。与上年度相比，收、支总计各增加</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万元，增</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主要原因是</w:t>
      </w:r>
      <w:r>
        <w:rPr>
          <w:rFonts w:hint="eastAsia" w:ascii="仿宋" w:hAnsi="仿宋" w:eastAsia="仿宋" w:cs="仿宋_GB2312"/>
          <w:color w:val="000000"/>
          <w:kern w:val="0"/>
          <w:sz w:val="32"/>
          <w:szCs w:val="32"/>
          <w:lang w:val="en-US" w:eastAsia="zh-CN"/>
        </w:rPr>
        <w:t>原因是</w:t>
      </w:r>
      <w:r>
        <w:rPr>
          <w:rFonts w:hint="eastAsia" w:ascii="仿宋" w:hAnsi="仿宋" w:eastAsia="仿宋" w:cs="仿宋_GB2312"/>
          <w:color w:val="000000"/>
          <w:kern w:val="0"/>
          <w:sz w:val="32"/>
          <w:szCs w:val="32"/>
          <w:highlight w:val="none"/>
          <w:lang w:val="en-US" w:eastAsia="zh-CN"/>
        </w:rPr>
        <w:t>在职人员工资调标，人员经费增加</w:t>
      </w:r>
      <w:r>
        <w:rPr>
          <w:rFonts w:hint="eastAsia" w:ascii="仿宋" w:hAnsi="仿宋" w:eastAsia="仿宋" w:cs="仿宋_GB2312"/>
          <w:color w:val="000000"/>
          <w:kern w:val="0"/>
          <w:sz w:val="32"/>
          <w:szCs w:val="32"/>
          <w:lang w:val="en-US" w:eastAsia="zh-CN"/>
        </w:rPr>
        <w:t>。</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黑体" w:hAnsi="黑体" w:eastAsia="黑体"/>
          <w:sz w:val="32"/>
          <w:szCs w:val="32"/>
        </w:rPr>
      </w:pPr>
      <w:r>
        <w:rPr>
          <w:rFonts w:hint="eastAsia" w:ascii="黑体" w:hAnsi="黑体" w:eastAsia="黑体"/>
          <w:sz w:val="32"/>
          <w:szCs w:val="32"/>
        </w:rPr>
        <w:t>二、收入决算情况说明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黑体" w:hAnsi="黑体" w:eastAsia="黑体"/>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年度收入合计</w:t>
      </w:r>
      <w:r>
        <w:rPr>
          <w:rFonts w:hint="eastAsia" w:ascii="仿宋_GB2312" w:hAnsi="仿宋_GB2312" w:eastAsia="仿宋_GB2312" w:cs="仿宋_GB2312"/>
          <w:color w:val="auto"/>
          <w:sz w:val="32"/>
          <w:szCs w:val="32"/>
          <w:lang w:val="en-US" w:eastAsia="zh-CN"/>
        </w:rPr>
        <w:t>110.33</w:t>
      </w:r>
      <w:r>
        <w:rPr>
          <w:rFonts w:hint="eastAsia" w:ascii="仿宋_GB2312" w:hAnsi="仿宋_GB2312" w:eastAsia="仿宋_GB2312" w:cs="仿宋_GB2312"/>
          <w:color w:val="auto"/>
          <w:sz w:val="32"/>
          <w:szCs w:val="32"/>
        </w:rPr>
        <w:t>万元，其中：财政拨款收入</w:t>
      </w:r>
      <w:r>
        <w:rPr>
          <w:rFonts w:hint="eastAsia" w:ascii="仿宋_GB2312" w:hAnsi="仿宋_GB2312" w:eastAsia="仿宋_GB2312" w:cs="仿宋_GB2312"/>
          <w:color w:val="auto"/>
          <w:sz w:val="32"/>
          <w:szCs w:val="32"/>
          <w:lang w:val="en-US" w:eastAsia="zh-CN"/>
        </w:rPr>
        <w:t>110.33</w:t>
      </w:r>
      <w:r>
        <w:rPr>
          <w:rFonts w:hint="eastAsia" w:ascii="仿宋_GB2312" w:hAnsi="仿宋_GB2312" w:eastAsia="仿宋_GB2312" w:cs="仿宋_GB2312"/>
          <w:color w:val="auto"/>
          <w:sz w:val="32"/>
          <w:szCs w:val="32"/>
        </w:rPr>
        <w:t>万元，占100%；上级补助收入0万元，占0%；事业收入0万元，占0%；经营收入0万元，占0%；附属单位上缴收入0万元，占0%；其他收入0万元，占0%。</w:t>
      </w:r>
    </w:p>
    <w:p>
      <w:pPr>
        <w:keepLines w:val="0"/>
        <w:pageBreakBefore w:val="0"/>
        <w:widowControl/>
        <w:kinsoku/>
        <w:wordWrap/>
        <w:overflowPunct/>
        <w:topLinePunct w:val="0"/>
        <w:autoSpaceDN/>
        <w:bidi w:val="0"/>
        <w:adjustRightInd/>
        <w:snapToGrid/>
        <w:spacing w:line="680" w:lineRule="exact"/>
        <w:textAlignment w:val="auto"/>
        <w:outlineLvl w:val="1"/>
        <w:rPr>
          <w:rFonts w:ascii="黑体" w:hAnsi="黑体" w:eastAsia="黑体"/>
          <w:color w:val="auto"/>
          <w:sz w:val="32"/>
          <w:szCs w:val="32"/>
        </w:rPr>
      </w:pPr>
      <w:r>
        <w:rPr>
          <w:rFonts w:hint="eastAsia" w:ascii="黑体" w:hAnsi="黑体" w:eastAsia="黑体"/>
          <w:color w:val="auto"/>
          <w:sz w:val="32"/>
          <w:szCs w:val="32"/>
        </w:rPr>
        <w:t xml:space="preserve">    三、支出决算情况说明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万元，占100%；项目支出0万元，占0%；上缴上级支出0万元，占0%；经营支出0万元，占0%；对附属单位补助支出0万元，占0%。</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黑体" w:hAnsi="黑体" w:eastAsia="黑体"/>
          <w:sz w:val="32"/>
          <w:szCs w:val="32"/>
        </w:rPr>
      </w:pPr>
      <w:r>
        <w:rPr>
          <w:rFonts w:hint="eastAsia" w:ascii="黑体" w:hAnsi="黑体" w:eastAsia="黑体"/>
          <w:sz w:val="32"/>
          <w:szCs w:val="32"/>
        </w:rPr>
        <w:t>四、财政拨款收入支出决算总体情况说明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万元，增</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主要原因是</w:t>
      </w:r>
      <w:r>
        <w:rPr>
          <w:rFonts w:hint="eastAsia" w:ascii="仿宋" w:hAnsi="仿宋" w:eastAsia="仿宋" w:cs="仿宋_GB2312"/>
          <w:color w:val="000000"/>
          <w:kern w:val="0"/>
          <w:sz w:val="32"/>
          <w:szCs w:val="32"/>
          <w:lang w:val="en-US" w:eastAsia="zh-CN"/>
        </w:rPr>
        <w:t>原因是</w:t>
      </w:r>
      <w:r>
        <w:rPr>
          <w:rFonts w:hint="eastAsia" w:ascii="仿宋" w:hAnsi="仿宋" w:eastAsia="仿宋" w:cs="仿宋_GB2312"/>
          <w:color w:val="000000"/>
          <w:kern w:val="0"/>
          <w:sz w:val="32"/>
          <w:szCs w:val="32"/>
          <w:highlight w:val="none"/>
          <w:lang w:val="en-US" w:eastAsia="zh-CN"/>
        </w:rPr>
        <w:t>在职人员工资调标，人员经费增加</w:t>
      </w:r>
      <w:r>
        <w:rPr>
          <w:rFonts w:hint="eastAsia" w:ascii="仿宋" w:hAnsi="仿宋" w:eastAsia="仿宋" w:cs="仿宋_GB2312"/>
          <w:color w:val="000000"/>
          <w:kern w:val="0"/>
          <w:sz w:val="32"/>
          <w:szCs w:val="32"/>
          <w:lang w:val="en-US" w:eastAsia="zh-CN"/>
        </w:rPr>
        <w:t>。</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黑体" w:hAnsi="黑体" w:eastAsia="黑体"/>
          <w:sz w:val="32"/>
          <w:szCs w:val="32"/>
        </w:rPr>
      </w:pPr>
      <w:r>
        <w:rPr>
          <w:rFonts w:hint="eastAsia" w:ascii="黑体" w:hAnsi="黑体" w:eastAsia="黑体"/>
          <w:sz w:val="32"/>
          <w:szCs w:val="32"/>
        </w:rPr>
        <w:t>五、一般公共预算财政拨款支出决算情况说明</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万元，占本年支出合计的100%。与上年度相比，一般公共预算财政拨款支出增加</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主要原因是</w:t>
      </w:r>
      <w:r>
        <w:rPr>
          <w:rFonts w:hint="eastAsia" w:ascii="仿宋" w:hAnsi="仿宋" w:eastAsia="仿宋" w:cs="仿宋_GB2312"/>
          <w:color w:val="000000"/>
          <w:kern w:val="0"/>
          <w:sz w:val="32"/>
          <w:szCs w:val="32"/>
          <w:lang w:val="en-US" w:eastAsia="zh-CN"/>
        </w:rPr>
        <w:t>原因是</w:t>
      </w:r>
      <w:r>
        <w:rPr>
          <w:rFonts w:hint="eastAsia" w:ascii="仿宋" w:hAnsi="仿宋" w:eastAsia="仿宋" w:cs="仿宋_GB2312"/>
          <w:color w:val="000000"/>
          <w:kern w:val="0"/>
          <w:sz w:val="32"/>
          <w:szCs w:val="32"/>
          <w:highlight w:val="none"/>
          <w:lang w:val="en-US" w:eastAsia="zh-CN"/>
        </w:rPr>
        <w:t>在职人员工资调标，人员经费增加</w:t>
      </w:r>
      <w:r>
        <w:rPr>
          <w:rFonts w:hint="eastAsia" w:ascii="仿宋" w:hAnsi="仿宋" w:eastAsia="仿宋" w:cs="仿宋_GB2312"/>
          <w:color w:val="000000"/>
          <w:kern w:val="0"/>
          <w:sz w:val="32"/>
          <w:szCs w:val="32"/>
          <w:lang w:val="en-US" w:eastAsia="zh-CN"/>
        </w:rPr>
        <w:t>。</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3.23</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6.27</w:t>
      </w:r>
      <w:r>
        <w:rPr>
          <w:rFonts w:hint="eastAsia" w:ascii="仿宋_GB2312" w:hAnsi="仿宋_GB2312" w:eastAsia="仿宋_GB2312" w:cs="仿宋_GB2312"/>
          <w:sz w:val="32"/>
          <w:szCs w:val="32"/>
        </w:rPr>
        <w:t>万元，占5.</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6.19</w:t>
      </w:r>
      <w:r>
        <w:rPr>
          <w:rFonts w:hint="eastAsia" w:ascii="仿宋_GB2312" w:hAnsi="仿宋_GB2312" w:eastAsia="仿宋_GB2312" w:cs="仿宋_GB2312"/>
          <w:sz w:val="32"/>
          <w:szCs w:val="32"/>
        </w:rPr>
        <w:t>万元，占5.</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%；城乡社区（类）支出</w:t>
      </w:r>
      <w:r>
        <w:rPr>
          <w:rFonts w:hint="eastAsia" w:ascii="仿宋_GB2312" w:hAnsi="仿宋_GB2312" w:eastAsia="仿宋_GB2312" w:cs="仿宋_GB2312"/>
          <w:sz w:val="32"/>
          <w:szCs w:val="32"/>
          <w:lang w:val="en-US" w:eastAsia="zh-CN"/>
        </w:rPr>
        <w:t>88.24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79.98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6.08万元，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5.51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108.26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101.91</w:t>
      </w:r>
      <w:r>
        <w:rPr>
          <w:rFonts w:hint="eastAsia" w:ascii="仿宋_GB2312" w:hAnsi="仿宋_GB2312" w:eastAsia="仿宋_GB2312" w:cs="仿宋_GB2312"/>
          <w:sz w:val="32"/>
          <w:szCs w:val="32"/>
        </w:rPr>
        <w:t>%。其中：</w:t>
      </w:r>
    </w:p>
    <w:p>
      <w:pPr>
        <w:keepNext w:val="0"/>
        <w:keepLines w:val="0"/>
        <w:pageBreakBefore w:val="0"/>
        <w:widowControl/>
        <w:numPr>
          <w:ilvl w:val="0"/>
          <w:numId w:val="0"/>
        </w:numPr>
        <w:kinsoku/>
        <w:wordWrap/>
        <w:overflowPunct/>
        <w:topLinePunct w:val="0"/>
        <w:autoSpaceDE/>
        <w:autoSpaceDN/>
        <w:bidi w:val="0"/>
        <w:adjustRightInd/>
        <w:snapToGrid/>
        <w:spacing w:line="6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（类）群众团体事务（款）</w:t>
      </w:r>
      <w:r>
        <w:rPr>
          <w:rFonts w:hint="eastAsia" w:ascii="仿宋_GB2312" w:hAnsi="仿宋_GB2312" w:eastAsia="仿宋_GB2312" w:cs="仿宋_GB2312"/>
          <w:b/>
          <w:bCs/>
          <w:sz w:val="32"/>
          <w:szCs w:val="32"/>
          <w:lang w:eastAsia="zh-CN"/>
        </w:rPr>
        <w:t>工会事务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年初预算为0.5</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万元，支出决算为0.5</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万元。完成年初预算的100%。决算数与年初预算数不存在差异。</w:t>
      </w:r>
    </w:p>
    <w:p>
      <w:pPr>
        <w:keepLines w:val="0"/>
        <w:pageBreakBefore w:val="0"/>
        <w:widowControl/>
        <w:numPr>
          <w:ilvl w:val="0"/>
          <w:numId w:val="0"/>
        </w:numPr>
        <w:kinsoku/>
        <w:wordWrap/>
        <w:overflowPunct/>
        <w:topLinePunct w:val="0"/>
        <w:autoSpaceDN/>
        <w:bidi w:val="0"/>
        <w:adjustRightInd/>
        <w:snapToGrid/>
        <w:spacing w:line="68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（类）其他一般公共服务支出</w:t>
      </w:r>
      <w:r>
        <w:rPr>
          <w:rFonts w:hint="eastAsia" w:ascii="仿宋_GB2312" w:hAnsi="仿宋_GB2312" w:eastAsia="仿宋_GB2312" w:cs="仿宋_GB2312"/>
          <w:b/>
          <w:bCs/>
          <w:color w:val="auto"/>
          <w:sz w:val="32"/>
          <w:szCs w:val="32"/>
          <w:highlight w:val="none"/>
          <w:lang w:eastAsia="zh-CN"/>
        </w:rPr>
        <w:t>（款）</w:t>
      </w:r>
      <w:r>
        <w:rPr>
          <w:rFonts w:hint="eastAsia" w:ascii="仿宋_GB2312" w:hAnsi="仿宋_GB2312" w:eastAsia="仿宋_GB2312" w:cs="仿宋_GB2312"/>
          <w:b/>
          <w:bCs/>
          <w:color w:val="auto"/>
          <w:sz w:val="32"/>
          <w:szCs w:val="32"/>
          <w:highlight w:val="none"/>
        </w:rPr>
        <w:t>其他一般公共服务支出（项）。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0万</w:t>
      </w:r>
      <w:r>
        <w:rPr>
          <w:rFonts w:hint="eastAsia" w:ascii="仿宋_GB2312" w:hAnsi="仿宋_GB2312" w:eastAsia="仿宋_GB2312" w:cs="仿宋_GB2312"/>
          <w:color w:val="auto"/>
          <w:sz w:val="32"/>
          <w:szCs w:val="32"/>
        </w:rPr>
        <w:t>元，支出决算为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5万元。</w:t>
      </w:r>
      <w:r>
        <w:rPr>
          <w:rFonts w:hint="eastAsia" w:ascii="仿宋_GB2312" w:hAnsi="仿宋_GB2312" w:eastAsia="仿宋_GB2312" w:cs="仿宋_GB2312"/>
          <w:b w:val="0"/>
          <w:bCs w:val="0"/>
          <w:color w:val="auto"/>
          <w:sz w:val="32"/>
          <w:szCs w:val="32"/>
          <w:highlight w:val="none"/>
        </w:rPr>
        <w:t>决算数与年初预算数存在差异原因是</w:t>
      </w:r>
      <w:r>
        <w:rPr>
          <w:rFonts w:hint="eastAsia" w:ascii="仿宋_GB2312" w:hAnsi="仿宋_GB2312" w:eastAsia="仿宋_GB2312" w:cs="仿宋_GB2312"/>
          <w:b w:val="0"/>
          <w:bCs w:val="0"/>
          <w:color w:val="auto"/>
          <w:sz w:val="32"/>
          <w:szCs w:val="32"/>
          <w:highlight w:val="none"/>
          <w:lang w:eastAsia="zh-CN"/>
        </w:rPr>
        <w:t>追加人员经费，发放</w:t>
      </w:r>
      <w:r>
        <w:rPr>
          <w:rFonts w:hint="eastAsia" w:ascii="仿宋_GB2312" w:hAnsi="仿宋_GB2312" w:eastAsia="仿宋_GB2312" w:cs="仿宋_GB2312"/>
          <w:b w:val="0"/>
          <w:bCs w:val="0"/>
          <w:color w:val="auto"/>
          <w:sz w:val="32"/>
          <w:szCs w:val="32"/>
          <w:highlight w:val="none"/>
          <w:lang w:val="en-US" w:eastAsia="zh-CN"/>
        </w:rPr>
        <w:t>2020年未休假工资福利支出</w:t>
      </w:r>
      <w:r>
        <w:rPr>
          <w:rFonts w:hint="eastAsia" w:ascii="仿宋_GB2312" w:hAnsi="仿宋_GB2312" w:eastAsia="仿宋_GB2312" w:cs="仿宋_GB2312"/>
          <w:color w:val="auto"/>
          <w:sz w:val="32"/>
          <w:szCs w:val="32"/>
          <w:highlight w:val="none"/>
          <w:lang w:eastAsia="zh-CN"/>
        </w:rPr>
        <w:t>。</w:t>
      </w:r>
    </w:p>
    <w:p>
      <w:pPr>
        <w:keepLines w:val="0"/>
        <w:pageBreakBefore w:val="0"/>
        <w:widowControl/>
        <w:kinsoku/>
        <w:wordWrap/>
        <w:overflowPunct/>
        <w:topLinePunct w:val="0"/>
        <w:autoSpaceDN/>
        <w:bidi w:val="0"/>
        <w:adjustRightInd/>
        <w:snapToGrid/>
        <w:spacing w:line="680" w:lineRule="exact"/>
        <w:ind w:firstLine="481"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（类）行政事业单位养老支出（款）机关事业单位基本养老保险缴费</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年初预算为6.</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万元，支出决算为6.</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不存在差异</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．卫生健康（类）行政事业单位医疗（款）事业单位医疗（项）。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3.19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99.69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highlight w:val="none"/>
        </w:rPr>
        <w:t>决算数与</w:t>
      </w:r>
      <w:r>
        <w:rPr>
          <w:rFonts w:hint="eastAsia" w:ascii="仿宋_GB2312" w:hAnsi="仿宋_GB2312" w:eastAsia="仿宋_GB2312" w:cs="仿宋_GB2312"/>
          <w:color w:val="000000"/>
          <w:sz w:val="32"/>
          <w:szCs w:val="32"/>
          <w:highlight w:val="none"/>
          <w:lang w:eastAsia="zh-CN"/>
        </w:rPr>
        <w:t>年初</w:t>
      </w:r>
      <w:r>
        <w:rPr>
          <w:rFonts w:hint="eastAsia" w:ascii="仿宋_GB2312" w:hAnsi="仿宋_GB2312" w:eastAsia="仿宋_GB2312" w:cs="仿宋_GB2312"/>
          <w:color w:val="000000"/>
          <w:sz w:val="32"/>
          <w:szCs w:val="32"/>
          <w:highlight w:val="none"/>
        </w:rPr>
        <w:t>预算数</w:t>
      </w:r>
      <w:r>
        <w:rPr>
          <w:rFonts w:hint="eastAsia" w:ascii="仿宋_GB2312" w:hAnsi="仿宋_GB2312" w:eastAsia="仿宋_GB2312" w:cs="仿宋_GB2312"/>
          <w:color w:val="000000"/>
          <w:sz w:val="32"/>
          <w:szCs w:val="32"/>
          <w:highlight w:val="none"/>
          <w:lang w:eastAsia="zh-CN"/>
        </w:rPr>
        <w:t>存在</w:t>
      </w:r>
      <w:r>
        <w:rPr>
          <w:rFonts w:hint="eastAsia" w:ascii="仿宋_GB2312" w:hAnsi="仿宋_GB2312" w:eastAsia="仿宋_GB2312" w:cs="仿宋_GB2312"/>
          <w:color w:val="000000"/>
          <w:sz w:val="32"/>
          <w:szCs w:val="32"/>
          <w:highlight w:val="none"/>
        </w:rPr>
        <w:t>差异原</w:t>
      </w:r>
      <w:r>
        <w:rPr>
          <w:rFonts w:hint="eastAsia" w:ascii="仿宋_GB2312" w:hAnsi="仿宋_GB2312" w:eastAsia="仿宋_GB2312" w:cs="仿宋_GB2312"/>
          <w:color w:val="000000"/>
          <w:sz w:val="32"/>
          <w:szCs w:val="32"/>
          <w:highlight w:val="none"/>
          <w:lang w:eastAsia="zh-CN"/>
        </w:rPr>
        <w:t>因是因年初预算数四舍五入原因导致差异。</w:t>
      </w:r>
    </w:p>
    <w:p>
      <w:pPr>
        <w:widowControl/>
        <w:spacing w:line="590" w:lineRule="exact"/>
        <w:ind w:firstLine="642"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sz w:val="32"/>
          <w:szCs w:val="32"/>
          <w:highlight w:val="none"/>
          <w:lang w:val="en-US" w:eastAsia="zh-CN"/>
        </w:rPr>
        <w:t>5.卫生健康支出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99.01</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color w:val="000000"/>
          <w:sz w:val="32"/>
          <w:szCs w:val="32"/>
          <w:lang w:eastAsia="zh-CN"/>
        </w:rPr>
        <w:t>人员工资调标，</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eastAsia="zh-CN"/>
        </w:rPr>
        <w:t>缴费</w:t>
      </w:r>
      <w:r>
        <w:rPr>
          <w:rFonts w:hint="eastAsia" w:ascii="仿宋_GB2312" w:hAnsi="仿宋_GB2312" w:eastAsia="仿宋_GB2312" w:cs="仿宋_GB2312"/>
          <w:color w:val="000000"/>
          <w:sz w:val="32"/>
          <w:szCs w:val="32"/>
        </w:rPr>
        <w:t>部分增加。</w:t>
      </w:r>
    </w:p>
    <w:p>
      <w:pPr>
        <w:widowControl/>
        <w:spacing w:line="590" w:lineRule="exact"/>
        <w:ind w:firstLine="642"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．城乡社区（类）城乡社区管理事务（款）其他城乡社区管理事务（项）。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89.18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88.24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98.95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lang w:val="en-US" w:eastAsia="zh-CN"/>
        </w:rPr>
        <w:t>贯彻落实上级过紧日子要求</w:t>
      </w:r>
      <w:r>
        <w:rPr>
          <w:rFonts w:hint="eastAsia" w:ascii="仿宋_GB2312" w:hAnsi="仿宋_GB2312" w:eastAsia="仿宋_GB2312" w:cs="仿宋_GB2312"/>
          <w:sz w:val="32"/>
          <w:szCs w:val="32"/>
        </w:rPr>
        <w:t>厉行节约，压</w:t>
      </w:r>
      <w:r>
        <w:rPr>
          <w:rFonts w:hint="eastAsia" w:ascii="仿宋_GB2312" w:hAnsi="仿宋_GB2312" w:eastAsia="仿宋_GB2312" w:cs="仿宋_GB2312"/>
          <w:sz w:val="32"/>
          <w:szCs w:val="32"/>
          <w:lang w:val="en-US" w:eastAsia="zh-CN"/>
        </w:rPr>
        <w:t>缩</w:t>
      </w:r>
      <w:r>
        <w:rPr>
          <w:rFonts w:hint="eastAsia" w:ascii="仿宋_GB2312" w:hAnsi="仿宋_GB2312" w:eastAsia="仿宋_GB2312" w:cs="仿宋_GB2312"/>
          <w:sz w:val="32"/>
          <w:szCs w:val="32"/>
        </w:rPr>
        <w:t>开支</w:t>
      </w:r>
      <w:r>
        <w:rPr>
          <w:rFonts w:hint="eastAsia" w:ascii="仿宋_GB2312" w:hAnsi="仿宋_GB2312" w:eastAsia="仿宋_GB2312" w:cs="仿宋_GB2312"/>
          <w:sz w:val="32"/>
          <w:szCs w:val="32"/>
          <w:lang w:eastAsia="zh-CN"/>
        </w:rPr>
        <w:t>。</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．住房保障支出（类）住房改革支出（款）住房公积金（项）。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6.08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6.08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决算数与年初预算数</w:t>
      </w:r>
      <w:r>
        <w:rPr>
          <w:rFonts w:hint="eastAsia" w:ascii="仿宋_GB2312" w:hAnsi="仿宋_GB2312" w:eastAsia="仿宋_GB2312" w:cs="仿宋_GB2312"/>
          <w:color w:val="auto"/>
          <w:sz w:val="32"/>
          <w:szCs w:val="32"/>
          <w:lang w:eastAsia="zh-CN"/>
        </w:rPr>
        <w:t>不存在差异</w:t>
      </w:r>
      <w:r>
        <w:rPr>
          <w:rFonts w:hint="eastAsia" w:ascii="仿宋_GB2312" w:hAnsi="仿宋_GB2312" w:eastAsia="仿宋_GB2312" w:cs="仿宋_GB2312"/>
          <w:color w:val="auto"/>
          <w:sz w:val="32"/>
          <w:szCs w:val="32"/>
        </w:rPr>
        <w:t>。</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黑体" w:hAnsi="黑体" w:eastAsia="黑体"/>
          <w:sz w:val="32"/>
          <w:szCs w:val="32"/>
        </w:rPr>
        <w:t>六、一般公共预算财政拨款基本支出决算情况说明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105.15</w:t>
      </w:r>
      <w:r>
        <w:rPr>
          <w:rFonts w:hint="eastAsia" w:ascii="仿宋_GB2312" w:hAnsi="仿宋_GB2312" w:eastAsia="仿宋_GB2312" w:cs="仿宋_GB2312"/>
          <w:sz w:val="32"/>
          <w:szCs w:val="32"/>
        </w:rPr>
        <w:t>万元，主要包括：基本工资、津贴补贴、奖金、 机关事业单位基本养老保险缴费、职工基本医疗保险缴费、公务员医疗补助缴费、其他社会保障缴费、住房公积金；公用经费</w:t>
      </w:r>
      <w:r>
        <w:rPr>
          <w:rFonts w:hint="eastAsia" w:ascii="仿宋_GB2312" w:hAnsi="仿宋_GB2312" w:eastAsia="仿宋_GB2312" w:cs="仿宋_GB2312"/>
          <w:sz w:val="32"/>
          <w:szCs w:val="32"/>
          <w:lang w:val="en-US" w:eastAsia="zh-CN"/>
        </w:rPr>
        <w:t>5.18</w:t>
      </w:r>
      <w:r>
        <w:rPr>
          <w:rFonts w:hint="eastAsia" w:ascii="仿宋_GB2312" w:hAnsi="仿宋_GB2312" w:eastAsia="仿宋_GB2312" w:cs="仿宋_GB2312"/>
          <w:sz w:val="32"/>
          <w:szCs w:val="32"/>
        </w:rPr>
        <w:t>万元，主要包括：办公费、印刷费、</w:t>
      </w:r>
      <w:r>
        <w:rPr>
          <w:rFonts w:hint="eastAsia" w:ascii="仿宋_GB2312" w:hAnsi="仿宋_GB2312" w:eastAsia="仿宋_GB2312" w:cs="仿宋_GB2312"/>
          <w:sz w:val="32"/>
          <w:szCs w:val="32"/>
          <w:lang w:eastAsia="zh-CN"/>
        </w:rPr>
        <w:t>差旅费、培训费、</w:t>
      </w:r>
      <w:r>
        <w:rPr>
          <w:rFonts w:hint="eastAsia" w:ascii="仿宋_GB2312" w:hAnsi="仿宋_GB2312" w:eastAsia="仿宋_GB2312" w:cs="仿宋_GB2312"/>
          <w:sz w:val="32"/>
          <w:szCs w:val="32"/>
        </w:rPr>
        <w:t>工会经费、福利费。</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2"/>
        <w:rPr>
          <w:rFonts w:ascii="仿宋_GB2312" w:hAnsi="仿宋_GB2312" w:eastAsia="仿宋_GB2312" w:cs="仿宋_GB2312"/>
          <w:sz w:val="32"/>
          <w:szCs w:val="32"/>
        </w:rPr>
      </w:pPr>
      <w:r>
        <w:rPr>
          <w:rFonts w:hint="eastAsia" w:ascii="黑体" w:hAnsi="黑体" w:eastAsia="黑体"/>
          <w:sz w:val="32"/>
          <w:szCs w:val="32"/>
          <w:lang w:eastAsia="zh-CN"/>
        </w:rPr>
        <w:t>七</w:t>
      </w:r>
      <w:r>
        <w:rPr>
          <w:rFonts w:hint="eastAsia" w:ascii="黑体" w:hAnsi="黑体" w:eastAsia="黑体"/>
          <w:sz w:val="32"/>
          <w:szCs w:val="32"/>
        </w:rPr>
        <w:t>、政府性基金预算财政拨款支出决算情况说明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年度政府性基金预算财政拨款支出年初预算为0万元，支出决算为0万元。情况说明：我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年度没有政府性基金</w:t>
      </w:r>
      <w:r>
        <w:rPr>
          <w:rFonts w:hint="eastAsia" w:ascii="仿宋_GB2312" w:hAnsi="仿宋_GB2312" w:eastAsia="仿宋_GB2312" w:cs="仿宋_GB2312"/>
          <w:sz w:val="32"/>
          <w:szCs w:val="32"/>
          <w:lang w:eastAsia="zh-CN"/>
        </w:rPr>
        <w:t>预算财政拨款</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、支出、结转和结余</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八、国有资本</w:t>
      </w:r>
      <w:r>
        <w:rPr>
          <w:rFonts w:ascii="黑体" w:hAnsi="黑体" w:eastAsia="黑体" w:cs="黑体"/>
          <w:sz w:val="32"/>
          <w:szCs w:val="32"/>
          <w:highlight w:val="none"/>
        </w:rPr>
        <w:t>经营</w:t>
      </w:r>
      <w:r>
        <w:rPr>
          <w:rFonts w:hint="eastAsia" w:ascii="黑体" w:hAnsi="黑体" w:eastAsia="黑体" w:cs="黑体"/>
          <w:sz w:val="32"/>
          <w:szCs w:val="32"/>
          <w:highlight w:val="none"/>
        </w:rPr>
        <w:t>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年度没有</w:t>
      </w:r>
      <w:r>
        <w:rPr>
          <w:rFonts w:hint="eastAsia" w:ascii="仿宋_GB2312" w:hAnsi="仿宋_GB2312" w:eastAsia="仿宋_GB2312" w:cs="仿宋_GB2312"/>
          <w:sz w:val="32"/>
          <w:szCs w:val="32"/>
          <w:highlight w:val="none"/>
        </w:rPr>
        <w:t>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、支出、结转和结余</w:t>
      </w:r>
      <w:r>
        <w:rPr>
          <w:rFonts w:hint="eastAsia" w:ascii="仿宋_GB2312" w:hAnsi="仿宋_GB2312" w:eastAsia="仿宋_GB2312" w:cs="仿宋_GB2312"/>
          <w:sz w:val="32"/>
          <w:szCs w:val="32"/>
        </w:rPr>
        <w:t>。</w:t>
      </w:r>
    </w:p>
    <w:p>
      <w:pPr>
        <w:keepLines w:val="0"/>
        <w:pageBreakBefore w:val="0"/>
        <w:widowControl/>
        <w:numPr>
          <w:ilvl w:val="0"/>
          <w:numId w:val="0"/>
        </w:numPr>
        <w:kinsoku/>
        <w:wordWrap/>
        <w:overflowPunct/>
        <w:topLinePunct w:val="0"/>
        <w:autoSpaceDN/>
        <w:bidi w:val="0"/>
        <w:adjustRightInd/>
        <w:snapToGrid/>
        <w:spacing w:line="680" w:lineRule="exact"/>
        <w:ind w:firstLine="640" w:firstLineChars="200"/>
        <w:textAlignment w:val="auto"/>
        <w:outlineLvl w:val="2"/>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财政拨款“三公”经费支出决算情况说明</w:t>
      </w:r>
    </w:p>
    <w:p>
      <w:pPr>
        <w:keepLines w:val="0"/>
        <w:pageBreakBefore w:val="0"/>
        <w:widowControl/>
        <w:numPr>
          <w:ilvl w:val="0"/>
          <w:numId w:val="0"/>
        </w:numPr>
        <w:kinsoku/>
        <w:wordWrap/>
        <w:overflowPunct/>
        <w:topLinePunct w:val="0"/>
        <w:autoSpaceDN/>
        <w:bidi w:val="0"/>
        <w:adjustRightInd/>
        <w:snapToGrid/>
        <w:spacing w:line="680" w:lineRule="exact"/>
        <w:ind w:firstLine="642"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年度“三公”经费财政拨款支出预算为0万元，支出决算为0万元。</w:t>
      </w:r>
      <w:r>
        <w:rPr>
          <w:rFonts w:hint="eastAsia" w:ascii="仿宋_GB2312" w:hAnsi="仿宋_GB2312" w:eastAsia="仿宋_GB2312" w:cs="仿宋_GB2312"/>
          <w:sz w:val="32"/>
          <w:szCs w:val="32"/>
          <w:lang w:val="en-US" w:eastAsia="zh-CN"/>
        </w:rPr>
        <w:t>2022年度“三公”经费支出</w:t>
      </w:r>
      <w:r>
        <w:rPr>
          <w:rFonts w:hint="eastAsia" w:ascii="仿宋_GB2312" w:hAnsi="仿宋_GB2312" w:eastAsia="仿宋_GB2312" w:cs="仿宋_GB2312"/>
          <w:sz w:val="32"/>
          <w:szCs w:val="32"/>
        </w:rPr>
        <w:t xml:space="preserve">决算数与预算数不存在差异。 </w:t>
      </w:r>
    </w:p>
    <w:p>
      <w:pPr>
        <w:keepLines w:val="0"/>
        <w:pageBreakBefore w:val="0"/>
        <w:widowControl/>
        <w:kinsoku/>
        <w:wordWrap/>
        <w:overflowPunct/>
        <w:topLinePunct w:val="0"/>
        <w:autoSpaceDN/>
        <w:bidi w:val="0"/>
        <w:adjustRightInd/>
        <w:snapToGrid/>
        <w:spacing w:line="680" w:lineRule="exact"/>
        <w:ind w:firstLine="642"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年度“三公”经费财政拨款支出决算中，因公出国（境）费支出决算0万元；公务用车购置及运行费支出决算0万元；公务接待费支出决算0万元。具体情况如下：</w:t>
      </w:r>
    </w:p>
    <w:p>
      <w:pPr>
        <w:keepLines w:val="0"/>
        <w:pageBreakBefore w:val="0"/>
        <w:widowControl/>
        <w:numPr>
          <w:ilvl w:val="0"/>
          <w:numId w:val="2"/>
        </w:numPr>
        <w:kinsoku/>
        <w:wordWrap/>
        <w:overflowPunct/>
        <w:topLinePunct w:val="0"/>
        <w:autoSpaceDN/>
        <w:bidi w:val="0"/>
        <w:adjustRightInd/>
        <w:snapToGrid/>
        <w:spacing w:line="6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lang w:val="en-US" w:eastAsia="zh-CN"/>
        </w:rPr>
        <w:t>2022年度“三公”经费支出</w:t>
      </w:r>
      <w:r>
        <w:rPr>
          <w:rFonts w:hint="eastAsia" w:ascii="仿宋_GB2312" w:hAnsi="仿宋_GB2312" w:eastAsia="仿宋_GB2312" w:cs="仿宋_GB2312"/>
          <w:sz w:val="32"/>
          <w:szCs w:val="32"/>
        </w:rPr>
        <w:t>决算数与预算数不存在差异。全年因公出国（境）团组0个，累计0人次。</w:t>
      </w:r>
    </w:p>
    <w:p>
      <w:pPr>
        <w:keepLines w:val="0"/>
        <w:pageBreakBefore w:val="0"/>
        <w:widowControl/>
        <w:kinsoku/>
        <w:wordWrap/>
        <w:overflowPunct/>
        <w:topLinePunct w:val="0"/>
        <w:autoSpaceDN/>
        <w:bidi w:val="0"/>
        <w:adjustRightInd/>
        <w:snapToGrid/>
        <w:spacing w:line="6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lang w:val="en-US" w:eastAsia="zh-CN"/>
        </w:rPr>
        <w:t>2022年度“三公”经费支出</w:t>
      </w:r>
      <w:r>
        <w:rPr>
          <w:rFonts w:hint="eastAsia" w:ascii="仿宋_GB2312" w:hAnsi="仿宋_GB2312" w:eastAsia="仿宋_GB2312" w:cs="仿宋_GB2312"/>
          <w:sz w:val="32"/>
          <w:szCs w:val="32"/>
        </w:rPr>
        <w:t>决算数与预算数不存在差异。 其中：</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年期末，单位开支财政拨款的公务用车保有量为0辆。</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lang w:val="en-US" w:eastAsia="zh-CN"/>
        </w:rPr>
        <w:t>2022年度“三公”经费支出</w:t>
      </w:r>
      <w:r>
        <w:rPr>
          <w:rFonts w:hint="eastAsia" w:ascii="仿宋_GB2312" w:hAnsi="仿宋_GB2312" w:eastAsia="仿宋_GB2312" w:cs="仿宋_GB2312"/>
          <w:sz w:val="32"/>
          <w:szCs w:val="32"/>
        </w:rPr>
        <w:t xml:space="preserve">决算数与预算数不存在差异。其中： </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年共接待国（境）外来访团组0个、来访外宾0人次（不包括陪同人员）。</w:t>
      </w:r>
    </w:p>
    <w:p>
      <w:pPr>
        <w:keepLines w:val="0"/>
        <w:pageBreakBefore w:val="0"/>
        <w:widowControl/>
        <w:kinsoku/>
        <w:wordWrap/>
        <w:overflowPunct/>
        <w:topLinePunct w:val="0"/>
        <w:autoSpaceDN/>
        <w:bidi w:val="0"/>
        <w:adjustRightInd/>
        <w:snapToGrid/>
        <w:spacing w:line="6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年共接待国内来访团组0个、来宾0人次（不包括陪同人员）。</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、机关运行经费支出情况说明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黑体" w:hAnsi="黑体" w:eastAsia="黑体" w:cs="仿宋_GB2312"/>
          <w:b/>
          <w:bCs/>
          <w:sz w:val="32"/>
          <w:szCs w:val="32"/>
        </w:rPr>
      </w:pP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cs="仿宋_GB2312"/>
          <w:b/>
          <w:bCs/>
          <w:sz w:val="32"/>
          <w:szCs w:val="32"/>
        </w:rPr>
        <w:t>、政府采购支出情况说明</w:t>
      </w:r>
    </w:p>
    <w:p>
      <w:pPr>
        <w:keepLines w:val="0"/>
        <w:pageBreakBefore w:val="0"/>
        <w:kinsoku/>
        <w:wordWrap/>
        <w:overflowPunct/>
        <w:topLinePunct w:val="0"/>
        <w:autoSpaceDN/>
        <w:bidi w:val="0"/>
        <w:adjustRightInd/>
        <w:snapToGrid/>
        <w:spacing w:line="680" w:lineRule="exact"/>
        <w:ind w:firstLine="800" w:firstLineChars="250"/>
        <w:textAlignment w:val="auto"/>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年度政府采购支出总额0万元，其中：政府采购货物支出0万元、政府采购工程支出0万元、政府采购服务支出0万元。授予中小企业合同金额0万元，其中：授予小微企业合同金额0万元</w:t>
      </w:r>
      <w:r>
        <w:rPr>
          <w:rFonts w:hint="eastAsia" w:ascii="仿宋_GB2312" w:eastAsia="仿宋_GB2312"/>
          <w:sz w:val="32"/>
          <w:szCs w:val="32"/>
        </w:rPr>
        <w:t>。</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、国有资产占用情况说明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Lines w:val="0"/>
        <w:pageBreakBefore w:val="0"/>
        <w:widowControl/>
        <w:kinsoku/>
        <w:wordWrap/>
        <w:overflowPunct/>
        <w:topLinePunct w:val="0"/>
        <w:autoSpaceDN/>
        <w:bidi w:val="0"/>
        <w:adjustRightInd/>
        <w:snapToGrid/>
        <w:spacing w:line="6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w:t>
      </w:r>
      <w:r>
        <w:rPr>
          <w:rFonts w:hint="eastAsia" w:ascii="仿宋_GB2312" w:hAnsi="仿宋_GB2312" w:eastAsia="仿宋_GB2312" w:cs="仿宋_GB2312"/>
          <w:sz w:val="32"/>
          <w:szCs w:val="32"/>
        </w:rPr>
        <w:t>对本单位整体支出和项目支出开展全过程预算绩效管理。一是健全绩效工作机制、明确职责分工。二是做好事前目标绩效编制并及时报送。三是加强事中绩效跟踪监控，深入开展支出绩效评价。四是强化评价结果应用，对发现的问题及时改进。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年我单位纳入预算绩效管理的支出总额为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110.33</w:t>
      </w:r>
      <w:r>
        <w:rPr>
          <w:rFonts w:hint="eastAsia" w:ascii="仿宋_GB2312" w:hAnsi="仿宋_GB2312" w:eastAsia="仿宋_GB2312" w:cs="仿宋_GB2312"/>
          <w:sz w:val="32"/>
          <w:szCs w:val="32"/>
        </w:rPr>
        <w:t>万元；支出项目0个，支出金额0万元。开展项目绩效自评项目0个，自评金额0万元；纳入重点绩效评价0个，评价金额0万元。</w:t>
      </w:r>
    </w:p>
    <w:p>
      <w:pPr>
        <w:keepLines w:val="0"/>
        <w:pageBreakBefore w:val="0"/>
        <w:widowControl/>
        <w:kinsoku/>
        <w:wordWrap/>
        <w:overflowPunct/>
        <w:topLinePunct w:val="0"/>
        <w:autoSpaceDN/>
        <w:bidi w:val="0"/>
        <w:adjustRightInd/>
        <w:snapToGrid/>
        <w:spacing w:line="680" w:lineRule="exact"/>
        <w:ind w:firstLine="321" w:firstLineChars="1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sz w:val="32"/>
          <w:szCs w:val="32"/>
        </w:rPr>
        <w:t>项目绩效自评结果。</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良好,达到年初预期目标。二是项目绩效自评情况。我单位共有0个项目批复了绩效目标，项目金额0万元。</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年度项目支出绩效进行自评，绩效自评平均得分为/分。其中：0个项目评价等级为“优”、0个项目评价等级为“良”、0个项目评价等级为“中”、0个项目评价等级为“差”。</w:t>
      </w:r>
    </w:p>
    <w:p>
      <w:pPr>
        <w:widowControl/>
        <w:spacing w:line="360" w:lineRule="auto"/>
        <w:ind w:firstLine="642"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 xml:space="preserve"> </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黑体" w:hAnsi="黑体" w:eastAsia="黑体"/>
          <w:sz w:val="32"/>
          <w:szCs w:val="32"/>
        </w:rPr>
      </w:pPr>
      <w:r>
        <w:rPr>
          <w:rFonts w:hint="eastAsia" w:ascii="仿宋_GB2312" w:hAnsi="仿宋_GB2312" w:eastAsia="仿宋_GB2312" w:cs="仿宋_GB2312"/>
          <w:color w:val="FF0000"/>
          <w:sz w:val="32"/>
          <w:szCs w:val="32"/>
        </w:rPr>
        <w:t xml:space="preserve"> </w:t>
      </w:r>
    </w:p>
    <w:p>
      <w:pPr>
        <w:widowControl/>
        <w:spacing w:line="590" w:lineRule="exact"/>
        <w:ind w:firstLine="640" w:firstLineChars="200"/>
        <w:rPr>
          <w:rFonts w:hint="eastAsia" w:ascii="黑体" w:hAnsi="黑体" w:eastAsia="黑体"/>
          <w:sz w:val="32"/>
          <w:szCs w:val="32"/>
        </w:rPr>
      </w:pPr>
    </w:p>
    <w:p>
      <w:pPr>
        <w:widowControl/>
        <w:jc w:val="left"/>
        <w:rPr>
          <w:rFonts w:hint="eastAsia" w:ascii="黑体" w:hAnsi="宋体" w:eastAsia="黑体" w:cs="宋体"/>
          <w:kern w:val="0"/>
          <w:sz w:val="28"/>
          <w:szCs w:val="28"/>
        </w:rPr>
      </w:pPr>
      <w:r>
        <w:rPr>
          <w:rFonts w:hint="eastAsia" w:ascii="楷体_GB2312" w:hAnsi="楷体_GB2312" w:eastAsia="楷体_GB2312" w:cs="楷体_GB2312"/>
          <w:b/>
          <w:bCs/>
          <w:sz w:val="32"/>
          <w:szCs w:val="32"/>
        </w:rPr>
        <w:t xml:space="preserve"> </w:t>
      </w:r>
      <w:r>
        <w:rPr>
          <w:rFonts w:hint="eastAsia" w:ascii="黑体" w:hAnsi="黑体" w:eastAsia="黑体"/>
          <w:sz w:val="32"/>
          <w:szCs w:val="32"/>
        </w:rPr>
        <w:t xml:space="preserve"> </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sz w:val="48"/>
          <w:szCs w:val="48"/>
        </w:rPr>
      </w:pPr>
      <w:r>
        <w:rPr>
          <w:rFonts w:hint="eastAsia" w:ascii="黑体" w:hAnsi="黑体" w:eastAsia="黑体"/>
          <w:sz w:val="48"/>
          <w:szCs w:val="48"/>
        </w:rPr>
        <w:t>第四部分  名词解释</w:t>
      </w:r>
    </w:p>
    <w:p>
      <w:pPr>
        <w:jc w:val="center"/>
        <w:rPr>
          <w:rFonts w:ascii="黑体" w:hAnsi="黑体" w:eastAsia="黑体"/>
          <w:sz w:val="48"/>
          <w:szCs w:val="48"/>
        </w:rPr>
      </w:pPr>
    </w:p>
    <w:p>
      <w:pPr>
        <w:jc w:val="center"/>
        <w:outlineLvl w:val="0"/>
        <w:rPr>
          <w:rFonts w:ascii="黑体" w:hAnsi="黑体" w:eastAsia="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从同级政府财政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从主管</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和上级</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取得附属独立核算</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取得的除“财政拨款收入”、“事业收入”、“上级补助收入”、“附属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上缴收入”、“经营收入”以外的各项收入。</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w:t>
      </w:r>
      <w:r>
        <w:rPr>
          <w:rFonts w:ascii="仿宋_GB2312" w:hAnsi="仿宋_GB2312" w:eastAsia="仿宋_GB2312" w:cs="仿宋_GB2312"/>
          <w:sz w:val="32"/>
          <w:szCs w:val="32"/>
          <w:highlight w:val="none"/>
        </w:rPr>
        <w:t>年初结转和结余：指</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以前年度尚未完成、结转到本年仍按原规定用途继续使用的资金，或项目已完成等产生的结余资金。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w:t>
      </w:r>
      <w:r>
        <w:rPr>
          <w:rFonts w:ascii="仿宋_GB2312" w:hAnsi="仿宋_GB2312" w:eastAsia="仿宋_GB2312" w:cs="仿宋_GB2312"/>
          <w:sz w:val="32"/>
          <w:szCs w:val="32"/>
          <w:highlight w:val="none"/>
        </w:rPr>
        <w:t>、经营支出：指事业</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在专业业务活动及其辅助活动之外开展非独立核算经营活动发生的支出。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购买商品和服务的支出。</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w:t>
      </w:r>
      <w:r>
        <w:rPr>
          <w:rFonts w:ascii="仿宋_GB2312" w:hAnsi="仿宋_GB2312" w:eastAsia="仿宋_GB2312" w:cs="仿宋_GB2312"/>
          <w:sz w:val="32"/>
          <w:szCs w:val="32"/>
          <w:highlight w:val="none"/>
        </w:rPr>
        <w:t>结余分配：指事业</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按照会计制度规定缴纳的所得税、提取的专用结余以及转入非财政拨款结余的金额等。</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十六、年末结转和</w:t>
      </w:r>
      <w:r>
        <w:rPr>
          <w:rFonts w:ascii="仿宋_GB2312" w:hAnsi="仿宋_GB2312" w:eastAsia="仿宋_GB2312" w:cs="仿宋_GB2312"/>
          <w:sz w:val="32"/>
          <w:szCs w:val="32"/>
          <w:highlight w:val="none"/>
        </w:rPr>
        <w:t>结余</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按有关规定结转到下年或以后年度</w:t>
      </w:r>
      <w:r>
        <w:rPr>
          <w:rFonts w:hint="eastAsia" w:ascii="仿宋_GB2312" w:hAnsi="仿宋_GB2312" w:eastAsia="仿宋_GB2312" w:cs="仿宋_GB2312"/>
          <w:sz w:val="32"/>
          <w:szCs w:val="32"/>
          <w:highlight w:val="none"/>
        </w:rPr>
        <w:t>继续</w:t>
      </w:r>
      <w:r>
        <w:rPr>
          <w:rFonts w:ascii="仿宋_GB2312" w:hAnsi="仿宋_GB2312" w:eastAsia="仿宋_GB2312" w:cs="仿宋_GB2312"/>
          <w:sz w:val="32"/>
          <w:szCs w:val="32"/>
          <w:highlight w:val="none"/>
        </w:rPr>
        <w:t>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十七、“三公”经费：纳入同级财政预决算管理“三公”经费，指</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使用财政拨款安排的因公出国（境）费、公务用车购置及运行费和公务接待费。其中，因公出国（境）费反映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公务出国（境）的国际旅费、国外城市间交通费、住宿费、伙食费、培训费、公杂费等支出；公务用车购置及运行费反映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公务用车车辆购置支出（含车辆购置税）及租用费、燃料费、维修费、过路过桥费、保险费、安全奖励费用等支出；公务接待费反映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按规定开支的各类公务接待（含外宾接待）支出。</w:t>
      </w:r>
    </w:p>
    <w:p>
      <w:pPr>
        <w:widowControl/>
        <w:spacing w:line="540" w:lineRule="exact"/>
        <w:ind w:firstLine="640" w:firstLineChars="200"/>
        <w:jc w:val="left"/>
        <w:rPr>
          <w:rFonts w:ascii="仿宋_GB2312" w:eastAsia="仿宋_GB2312"/>
          <w:sz w:val="32"/>
          <w:szCs w:val="32"/>
        </w:rPr>
      </w:pPr>
      <w:r>
        <w:rPr>
          <w:rFonts w:hint="eastAsia" w:ascii="仿宋_GB2312" w:hAnsi="仿宋_GB2312" w:eastAsia="仿宋_GB2312" w:cs="仿宋_GB2312"/>
          <w:sz w:val="32"/>
          <w:szCs w:val="32"/>
          <w:highlight w:val="none"/>
        </w:rPr>
        <w:t>十八、机关运行经费：为保障行政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（含参照公务员法管理的事业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wps:txbx>
                    <wps:bodyPr wrap="none" lIns="0" tIns="0" rIns="0" bIns="0" upright="true">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l1uVLQAAAABQEAAA8AAAAAAAAAAQAgAAAAOAAAAGRycy9kb3ducmV2LnhtbFBLAQIUABQAAAAI&#10;AIdO4kCPUJC3pgEAAEEDAAAOAAAAAAAAAAEAIAAAADU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true">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l1uVLQAAAABQEAAA8AAAAAAAAAAQAgAAAAOAAAAGRycy9kb3ducmV2LnhtbFBLAQIUABQAAAAI&#10;AIdO4kDuObCspgEAAEEDAAAOAAAAAAAAAAEAIAAAADUBAABkcnMvZTJvRG9jLnhtbFBLBQYAAAAA&#10;BgAGAFkBAABNBQ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true">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l1uVLQAAAABQEAAA8AAAAAAAAAAQAgAAAAOAAAAGRycy9kb3ducmV2LnhtbFBLAQIUABQAAAAI&#10;AIdO4kAs6/CapgEAAEEDAAAOAAAAAAAAAAEAIAAAADU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7490" cy="139700"/>
              <wp:effectExtent l="0" t="0" r="0" b="0"/>
              <wp:wrapNone/>
              <wp:docPr id="2" name="矩形 5"/>
              <wp:cNvGraphicFramePr/>
              <a:graphic xmlns:a="http://schemas.openxmlformats.org/drawingml/2006/main">
                <a:graphicData uri="http://schemas.microsoft.com/office/word/2010/wordprocessingShape">
                  <wps:wsp>
                    <wps:cNvSpPr/>
                    <wps:spPr>
                      <a:xfrm>
                        <a:off x="0" y="0"/>
                        <a:ext cx="23749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wps:txbx>
                    <wps:bodyPr wrap="none" lIns="0" tIns="0" rIns="0" bIns="0" upright="true">
                      <a:spAutoFit/>
                    </wps:bodyPr>
                  </wps:wsp>
                </a:graphicData>
              </a:graphic>
            </wp:anchor>
          </w:drawing>
        </mc:Choice>
        <mc:Fallback>
          <w:pict>
            <v:rect id="矩形 5" o:spid="_x0000_s1026" o:spt="1" style="position:absolute;left:0pt;margin-top:0pt;height:11pt;width:18.7pt;mso-position-horizontal:center;mso-position-horizontal-relative:margin;mso-wrap-style:none;z-index:251660288;mso-width-relative:page;mso-height-relative:page;" filled="f" stroked="f" coordsize="21600,21600" o:gfxdata="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Em0aC0gAAAAMBAAAPAAAAAAAAAAEAIAAAADgAAABkcnMvZG93bnJldi54bWxQSwEC&#10;FAAUAAAACACHTuJAfnABKasBAAA/AwAADgAAAAAAAAABACAAAAA3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1" name="矩形 6"/>
              <wp:cNvGraphicFramePr/>
              <a:graphic xmlns:a="http://schemas.openxmlformats.org/drawingml/2006/main">
                <a:graphicData uri="http://schemas.microsoft.com/office/word/2010/wordprocessingShape">
                  <wps:wsp>
                    <wps:cNvSpPr/>
                    <wps:spPr>
                      <a:xfrm>
                        <a:off x="0" y="0"/>
                        <a:ext cx="114935" cy="162560"/>
                      </a:xfrm>
                      <a:prstGeom prst="rect">
                        <a:avLst/>
                      </a:prstGeom>
                      <a:noFill/>
                      <a:ln>
                        <a:noFill/>
                      </a:ln>
                    </wps:spPr>
                    <wps:txbx>
                      <w:txbxContent>
                        <w:p/>
                      </w:txbxContent>
                    </wps:txbx>
                    <wps:bodyPr wrap="none" lIns="0" tIns="0" rIns="0" bIns="0" upright="true">
                      <a:spAutoFit/>
                    </wps:bodyPr>
                  </wps:wsp>
                </a:graphicData>
              </a:graphic>
            </wp:anchor>
          </w:drawing>
        </mc:Choice>
        <mc:Fallback>
          <w:pict>
            <v:rect id="矩形 6" o:spid="_x0000_s1026" o:spt="1" style="position:absolute;left:0pt;margin-top:0pt;height:12.8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HPvuj7RAAAAAwEAAA8AAAAAAAAAAQAgAAAAOAAAAGRycy9kb3ducmV2LnhtbFBLAQIU&#10;ABQAAAAIAIdO4kBQKDrtqwEAAD8DAAAOAAAAAAAAAAEAIAAAADYBAABkcnMvZTJvRG9jLnhtbFBL&#10;BQYAAAAABgAGAFkBAABTBQAAAAA=&#10;">
              <v:fill on="f" focussize="0,0"/>
              <v:stroke on="f"/>
              <v:imagedata o:title=""/>
              <o:lock v:ext="edit" aspectratio="f"/>
              <v:textbox inset="0mm,0mm,0mm,0mm" style="mso-fit-shape-to-text:t;">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37490" cy="139700"/>
              <wp:effectExtent l="0" t="0" r="0" b="0"/>
              <wp:wrapNone/>
              <wp:docPr id="3" name="矩形 4"/>
              <wp:cNvGraphicFramePr/>
              <a:graphic xmlns:a="http://schemas.openxmlformats.org/drawingml/2006/main">
                <a:graphicData uri="http://schemas.microsoft.com/office/word/2010/wordprocessingShape">
                  <wps:wsp>
                    <wps:cNvSpPr/>
                    <wps:spPr>
                      <a:xfrm>
                        <a:off x="0" y="0"/>
                        <a:ext cx="23749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true">
                      <a:spAutoFit/>
                    </wps:bodyPr>
                  </wps:wsp>
                </a:graphicData>
              </a:graphic>
            </wp:anchor>
          </w:drawing>
        </mc:Choice>
        <mc:Fallback>
          <w:pict>
            <v:rect id="矩形 4" o:spid="_x0000_s1026" o:spt="1" style="position:absolute;left:0pt;margin-top:0pt;height:11pt;width:18.7pt;mso-position-horizontal:center;mso-position-horizontal-relative:margin;mso-wrap-style:none;z-index:251661312;mso-width-relative:page;mso-height-relative:page;" filled="f" stroked="f" coordsize="21600,21600" o:gfxdata="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Em0aC0gAAAAMBAAAPAAAAAAAAAAEAIAAAADgAAABkcnMvZG93bnJldi54bWxQSwEC&#10;FAAUAAAACACHTuJASpDvUasBAAA/AwAADgAAAAAAAAABACAAAAA3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N2MzMWQ5NmQ3NTM5NTIyNDY2MDg0ZmUxNDk5ZjgifQ=="/>
  </w:docVars>
  <w:rsids>
    <w:rsidRoot w:val="00172A27"/>
    <w:rsid w:val="0006011C"/>
    <w:rsid w:val="000F7361"/>
    <w:rsid w:val="001155B6"/>
    <w:rsid w:val="00163CA3"/>
    <w:rsid w:val="00201A93"/>
    <w:rsid w:val="00204939"/>
    <w:rsid w:val="00250750"/>
    <w:rsid w:val="002C58D7"/>
    <w:rsid w:val="00363497"/>
    <w:rsid w:val="003B22FC"/>
    <w:rsid w:val="00401D7E"/>
    <w:rsid w:val="004B1C18"/>
    <w:rsid w:val="004D679B"/>
    <w:rsid w:val="005C21CA"/>
    <w:rsid w:val="00637D9E"/>
    <w:rsid w:val="00787D46"/>
    <w:rsid w:val="007B742E"/>
    <w:rsid w:val="007D039E"/>
    <w:rsid w:val="00840088"/>
    <w:rsid w:val="008B526C"/>
    <w:rsid w:val="009C3A8A"/>
    <w:rsid w:val="009E52CC"/>
    <w:rsid w:val="00A31E18"/>
    <w:rsid w:val="00A37A78"/>
    <w:rsid w:val="00B96640"/>
    <w:rsid w:val="00BA6F13"/>
    <w:rsid w:val="00BF33B7"/>
    <w:rsid w:val="00D378B8"/>
    <w:rsid w:val="00D927B3"/>
    <w:rsid w:val="00DE79F9"/>
    <w:rsid w:val="00EE02AE"/>
    <w:rsid w:val="00F06B53"/>
    <w:rsid w:val="00F15981"/>
    <w:rsid w:val="00F3473E"/>
    <w:rsid w:val="00F34B28"/>
    <w:rsid w:val="00F758ED"/>
    <w:rsid w:val="00FC02CC"/>
    <w:rsid w:val="00FD63F7"/>
    <w:rsid w:val="022C3231"/>
    <w:rsid w:val="04096F7B"/>
    <w:rsid w:val="04220779"/>
    <w:rsid w:val="06157C66"/>
    <w:rsid w:val="06C47189"/>
    <w:rsid w:val="08D12032"/>
    <w:rsid w:val="09AC118D"/>
    <w:rsid w:val="0A6D5541"/>
    <w:rsid w:val="0ACC6A5E"/>
    <w:rsid w:val="0FF02D9D"/>
    <w:rsid w:val="12C2652C"/>
    <w:rsid w:val="163962EB"/>
    <w:rsid w:val="167519E3"/>
    <w:rsid w:val="17013AE2"/>
    <w:rsid w:val="1A9779FF"/>
    <w:rsid w:val="1C5B7FA9"/>
    <w:rsid w:val="20FC0173"/>
    <w:rsid w:val="21A734D8"/>
    <w:rsid w:val="22D73397"/>
    <w:rsid w:val="230C282D"/>
    <w:rsid w:val="2394125A"/>
    <w:rsid w:val="243B4AD7"/>
    <w:rsid w:val="27C9523F"/>
    <w:rsid w:val="27FF86EB"/>
    <w:rsid w:val="28D313EF"/>
    <w:rsid w:val="2A9D36CA"/>
    <w:rsid w:val="2B93335F"/>
    <w:rsid w:val="2FD47B8E"/>
    <w:rsid w:val="30220404"/>
    <w:rsid w:val="30F26840"/>
    <w:rsid w:val="336456CD"/>
    <w:rsid w:val="336C2FF2"/>
    <w:rsid w:val="34784F8C"/>
    <w:rsid w:val="34CB3258"/>
    <w:rsid w:val="378C0D4E"/>
    <w:rsid w:val="39D0586A"/>
    <w:rsid w:val="3B862D9E"/>
    <w:rsid w:val="3D864BBD"/>
    <w:rsid w:val="3E1C72D0"/>
    <w:rsid w:val="3E8F711B"/>
    <w:rsid w:val="3F544847"/>
    <w:rsid w:val="3F9F1F66"/>
    <w:rsid w:val="3FFF4D25"/>
    <w:rsid w:val="40B84D47"/>
    <w:rsid w:val="429338D8"/>
    <w:rsid w:val="430622FC"/>
    <w:rsid w:val="43734710"/>
    <w:rsid w:val="44223166"/>
    <w:rsid w:val="4557033B"/>
    <w:rsid w:val="465869CB"/>
    <w:rsid w:val="46AD5B67"/>
    <w:rsid w:val="490E3C8C"/>
    <w:rsid w:val="4B7D61A6"/>
    <w:rsid w:val="4D9F7BB9"/>
    <w:rsid w:val="4E1915DB"/>
    <w:rsid w:val="4F712CF8"/>
    <w:rsid w:val="508A3156"/>
    <w:rsid w:val="554E27EB"/>
    <w:rsid w:val="561F2748"/>
    <w:rsid w:val="568D0913"/>
    <w:rsid w:val="575E2A44"/>
    <w:rsid w:val="577B336C"/>
    <w:rsid w:val="58F92290"/>
    <w:rsid w:val="5CFA0384"/>
    <w:rsid w:val="5D973E25"/>
    <w:rsid w:val="5D9A3915"/>
    <w:rsid w:val="5F1F1FEF"/>
    <w:rsid w:val="5F3E7EB5"/>
    <w:rsid w:val="61B4400C"/>
    <w:rsid w:val="6269532A"/>
    <w:rsid w:val="665E7BD6"/>
    <w:rsid w:val="676254A4"/>
    <w:rsid w:val="67EB7A4A"/>
    <w:rsid w:val="68020747"/>
    <w:rsid w:val="6B564534"/>
    <w:rsid w:val="6B691759"/>
    <w:rsid w:val="6BFC7480"/>
    <w:rsid w:val="6C8242FE"/>
    <w:rsid w:val="711627AF"/>
    <w:rsid w:val="71641386"/>
    <w:rsid w:val="71AF3116"/>
    <w:rsid w:val="72B958F6"/>
    <w:rsid w:val="744E6153"/>
    <w:rsid w:val="74EA0887"/>
    <w:rsid w:val="757D16A0"/>
    <w:rsid w:val="77E856CA"/>
    <w:rsid w:val="78BD76FB"/>
    <w:rsid w:val="79E268DE"/>
    <w:rsid w:val="79F366D4"/>
    <w:rsid w:val="7A2B3E1B"/>
    <w:rsid w:val="7BF6A3D6"/>
    <w:rsid w:val="7FFF0E5D"/>
    <w:rsid w:val="7FFF6F8F"/>
    <w:rsid w:val="9F7F37A7"/>
    <w:rsid w:val="A5F79C82"/>
    <w:rsid w:val="B37B151A"/>
    <w:rsid w:val="BBFC25C1"/>
    <w:rsid w:val="CF6BAC64"/>
    <w:rsid w:val="D2FEB45C"/>
    <w:rsid w:val="DD7FD61B"/>
    <w:rsid w:val="FF6B9030"/>
    <w:rsid w:val="FF6CB3E1"/>
    <w:rsid w:val="FF7FB1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0"/>
    <w:pPr>
      <w:keepNext/>
      <w:keepLines/>
      <w:spacing w:before="340" w:beforeLines="0" w:after="330" w:afterLines="0" w:line="576" w:lineRule="auto"/>
      <w:outlineLvl w:val="0"/>
    </w:pPr>
    <w:rPr>
      <w:rFonts w:ascii="Calibri" w:hAnsi="Calibri" w:eastAsia="宋体" w:cs="Times New Roman"/>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Calibri" w:hAnsi="Calibri" w:eastAsia="宋体" w:cs="Times New Roman"/>
    </w:rPr>
  </w:style>
  <w:style w:type="paragraph" w:styleId="5">
    <w:name w:val="Balloon Text"/>
    <w:basedOn w:val="1"/>
    <w:link w:val="17"/>
    <w:qFormat/>
    <w:uiPriority w:val="0"/>
    <w:rPr>
      <w:rFonts w:ascii="Times New Roman" w:hAnsi="Times New Roman" w:cs="Times New Roman"/>
      <w:kern w:val="0"/>
      <w:sz w:val="18"/>
      <w:szCs w:val="18"/>
    </w:rPr>
  </w:style>
  <w:style w:type="paragraph" w:styleId="6">
    <w:name w:val="footer"/>
    <w:basedOn w:val="1"/>
    <w:link w:val="18"/>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8">
    <w:name w:val="footnote text"/>
    <w:basedOn w:val="1"/>
    <w:link w:val="20"/>
    <w:qFormat/>
    <w:uiPriority w:val="0"/>
    <w:pPr>
      <w:snapToGrid w:val="0"/>
      <w:jc w:val="left"/>
    </w:pPr>
    <w:rPr>
      <w:rFonts w:ascii="Calibri" w:hAnsi="Calibri" w:eastAsia="宋体" w:cs="Times New Roman"/>
      <w:sz w:val="18"/>
    </w:rPr>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styleId="13">
    <w:name w:val="footnote reference"/>
    <w:qFormat/>
    <w:uiPriority w:val="0"/>
    <w:rPr>
      <w:vertAlign w:val="superscript"/>
    </w:rPr>
  </w:style>
  <w:style w:type="character" w:customStyle="1" w:styleId="14">
    <w:name w:val="标题 1 Char"/>
    <w:basedOn w:val="10"/>
    <w:link w:val="2"/>
    <w:qFormat/>
    <w:uiPriority w:val="0"/>
    <w:rPr>
      <w:rFonts w:ascii="Calibri" w:hAnsi="Calibri" w:eastAsia="宋体" w:cs="Times New Roman"/>
      <w:b/>
      <w:bCs/>
      <w:kern w:val="44"/>
      <w:sz w:val="44"/>
      <w:szCs w:val="44"/>
    </w:rPr>
  </w:style>
  <w:style w:type="character" w:customStyle="1" w:styleId="15">
    <w:name w:val="标题 2 Char"/>
    <w:basedOn w:val="10"/>
    <w:link w:val="3"/>
    <w:qFormat/>
    <w:uiPriority w:val="9"/>
    <w:rPr>
      <w:rFonts w:ascii="Cambria" w:hAnsi="Cambria" w:eastAsia="宋体" w:cs="Times New Roman"/>
      <w:b/>
      <w:bCs/>
      <w:kern w:val="2"/>
      <w:sz w:val="32"/>
      <w:szCs w:val="32"/>
    </w:rPr>
  </w:style>
  <w:style w:type="character" w:customStyle="1" w:styleId="16">
    <w:name w:val="批注文字 Char"/>
    <w:basedOn w:val="10"/>
    <w:link w:val="4"/>
    <w:qFormat/>
    <w:uiPriority w:val="0"/>
    <w:rPr>
      <w:rFonts w:ascii="Calibri" w:hAnsi="Calibri" w:eastAsia="宋体" w:cs="Times New Roman"/>
    </w:rPr>
  </w:style>
  <w:style w:type="character" w:customStyle="1" w:styleId="17">
    <w:name w:val="批注框文本 Char"/>
    <w:link w:val="5"/>
    <w:qFormat/>
    <w:uiPriority w:val="0"/>
    <w:rPr>
      <w:sz w:val="18"/>
      <w:szCs w:val="18"/>
    </w:rPr>
  </w:style>
  <w:style w:type="character" w:customStyle="1" w:styleId="18">
    <w:name w:val="页脚 Char"/>
    <w:link w:val="6"/>
    <w:qFormat/>
    <w:uiPriority w:val="0"/>
    <w:rPr>
      <w:sz w:val="18"/>
      <w:szCs w:val="18"/>
    </w:rPr>
  </w:style>
  <w:style w:type="character" w:customStyle="1" w:styleId="19">
    <w:name w:val="页眉 Char"/>
    <w:link w:val="7"/>
    <w:qFormat/>
    <w:uiPriority w:val="0"/>
    <w:rPr>
      <w:sz w:val="18"/>
      <w:szCs w:val="18"/>
    </w:rPr>
  </w:style>
  <w:style w:type="character" w:customStyle="1" w:styleId="20">
    <w:name w:val="脚注文本 Char"/>
    <w:basedOn w:val="10"/>
    <w:link w:val="8"/>
    <w:qFormat/>
    <w:uiPriority w:val="0"/>
    <w:rPr>
      <w:rFonts w:ascii="Calibri" w:hAnsi="Calibri" w:eastAsia="宋体" w:cs="Times New Roman"/>
      <w:sz w:val="18"/>
    </w:rPr>
  </w:style>
  <w:style w:type="character" w:customStyle="1" w:styleId="21">
    <w:name w:val="font21"/>
    <w:qFormat/>
    <w:uiPriority w:val="0"/>
    <w:rPr>
      <w:rFonts w:hint="eastAsia" w:ascii="宋体" w:hAnsi="宋体" w:eastAsia="宋体" w:cs="宋体"/>
      <w:color w:val="000000"/>
      <w:sz w:val="22"/>
      <w:szCs w:val="22"/>
      <w:u w:val="none"/>
    </w:rPr>
  </w:style>
  <w:style w:type="character" w:customStyle="1" w:styleId="22">
    <w:name w:val="font11"/>
    <w:qFormat/>
    <w:uiPriority w:val="0"/>
    <w:rPr>
      <w:rFonts w:hint="eastAsia" w:ascii="宋体" w:hAnsi="宋体" w:eastAsia="宋体" w:cs="宋体"/>
      <w:color w:val="000000"/>
      <w:sz w:val="20"/>
      <w:szCs w:val="20"/>
      <w:u w:val="none"/>
    </w:rPr>
  </w:style>
  <w:style w:type="character" w:customStyle="1" w:styleId="23">
    <w:name w:val="font51"/>
    <w:qFormat/>
    <w:uiPriority w:val="0"/>
    <w:rPr>
      <w:rFonts w:hint="eastAsia" w:ascii="宋体" w:hAnsi="宋体" w:eastAsia="宋体" w:cs="宋体"/>
      <w:color w:val="000000"/>
      <w:sz w:val="24"/>
      <w:szCs w:val="24"/>
      <w:u w:val="none"/>
    </w:rPr>
  </w:style>
  <w:style w:type="character" w:customStyle="1" w:styleId="24">
    <w:name w:val="font01"/>
    <w:qFormat/>
    <w:uiPriority w:val="0"/>
    <w:rPr>
      <w:rFonts w:hint="eastAsia" w:ascii="宋体" w:hAnsi="宋体" w:eastAsia="宋体" w:cs="宋体"/>
      <w:color w:val="000000"/>
      <w:sz w:val="22"/>
      <w:szCs w:val="22"/>
      <w:u w:val="none"/>
    </w:rPr>
  </w:style>
  <w:style w:type="character" w:customStyle="1" w:styleId="25">
    <w:name w:val="font41"/>
    <w:qFormat/>
    <w:uiPriority w:val="0"/>
    <w:rPr>
      <w:rFonts w:hint="eastAsia" w:ascii="宋体" w:hAnsi="宋体" w:eastAsia="宋体" w:cs="宋体"/>
      <w:color w:val="000000"/>
      <w:sz w:val="24"/>
      <w:szCs w:val="24"/>
      <w:u w:val="none"/>
    </w:rPr>
  </w:style>
  <w:style w:type="character" w:customStyle="1" w:styleId="26">
    <w:name w:val="批注框文本 Char1"/>
    <w:basedOn w:val="10"/>
    <w:qFormat/>
    <w:uiPriority w:val="0"/>
    <w:rPr>
      <w:sz w:val="18"/>
      <w:szCs w:val="18"/>
    </w:rPr>
  </w:style>
  <w:style w:type="character" w:customStyle="1" w:styleId="27">
    <w:name w:val="页眉 Char1"/>
    <w:basedOn w:val="10"/>
    <w:qFormat/>
    <w:uiPriority w:val="0"/>
    <w:rPr>
      <w:sz w:val="18"/>
      <w:szCs w:val="18"/>
    </w:rPr>
  </w:style>
  <w:style w:type="character" w:customStyle="1" w:styleId="28">
    <w:name w:val="页脚 Char1"/>
    <w:basedOn w:val="10"/>
    <w:qFormat/>
    <w:uiPriority w:val="0"/>
    <w:rPr>
      <w:sz w:val="18"/>
      <w:szCs w:val="18"/>
    </w:rPr>
  </w:style>
  <w:style w:type="paragraph" w:customStyle="1" w:styleId="29">
    <w:name w:val="List Paragraph"/>
    <w:basedOn w:val="1"/>
    <w:qFormat/>
    <w:uiPriority w:val="0"/>
    <w:pPr>
      <w:ind w:firstLine="420" w:firstLineChars="200"/>
    </w:pPr>
  </w:style>
  <w:style w:type="paragraph" w:customStyle="1" w:styleId="30">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31">
    <w:name w:val="标题1"/>
    <w:basedOn w:val="2"/>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7946</Words>
  <Characters>9795</Characters>
  <Lines>84</Lines>
  <Paragraphs>23</Paragraphs>
  <TotalTime>2</TotalTime>
  <ScaleCrop>false</ScaleCrop>
  <LinksUpToDate>false</LinksUpToDate>
  <CharactersWithSpaces>10097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2022-09-08T08:24:00Z</dcterms:created>
  <dc:creator>User</dc:creator>
  <cp:lastModifiedBy>Psir</cp:lastModifiedBy>
  <cp:lastPrinted>2023-09-21T23:38:00Z</cp:lastPrinted>
  <dcterms:modified xsi:type="dcterms:W3CDTF">2023-09-28T11:28:21Z</dcterms:modified>
  <dc:title>悟の</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A99AD852714D4E4BAAF96B720A2FFF08_13</vt:lpwstr>
  </property>
</Properties>
</file>