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22</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许昌市供排水监管中心单位</w:t>
      </w:r>
      <w:r>
        <w:rPr>
          <w:rFonts w:hint="eastAsia" w:ascii="黑体" w:hAnsi="黑体" w:eastAsia="黑体" w:cs="黑体"/>
          <w:sz w:val="52"/>
          <w:szCs w:val="52"/>
          <w:highlight w:val="none"/>
        </w:rPr>
        <w:t>决算</w:t>
      </w: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二〇二三年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hint="eastAsia" w:ascii="黑体" w:hAnsi="黑体" w:eastAsia="黑体" w:cs="黑体"/>
          <w:sz w:val="32"/>
          <w:szCs w:val="3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7"/>
        </w:sectPr>
      </w:pP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许昌市供排水监管</w:t>
      </w:r>
      <w:r>
        <w:rPr>
          <w:rFonts w:hint="eastAsia" w:ascii="黑体" w:hAnsi="黑体" w:eastAsia="黑体" w:cs="黑体"/>
          <w:sz w:val="32"/>
          <w:szCs w:val="32"/>
          <w:highlight w:val="none"/>
          <w:lang w:val="en-US" w:eastAsia="zh-CN"/>
        </w:rPr>
        <w:t>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w:t>
      </w:r>
      <w:r>
        <w:rPr>
          <w:rFonts w:ascii="黑体" w:hAnsi="黑体" w:eastAsia="黑体" w:cs="黑体"/>
          <w:sz w:val="32"/>
          <w:szCs w:val="32"/>
          <w:highlight w:val="none"/>
        </w:rPr>
        <w:t>2</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七、政府性基金预算财政拨款收入支出决算表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八、国有</w:t>
      </w:r>
      <w:r>
        <w:rPr>
          <w:rFonts w:ascii="宋体" w:hAnsi="宋体" w:cs="黑体"/>
          <w:sz w:val="32"/>
          <w:szCs w:val="32"/>
          <w:highlight w:val="none"/>
        </w:rPr>
        <w:t>资本经营预算财政拨款</w:t>
      </w:r>
      <w:r>
        <w:rPr>
          <w:rFonts w:hint="eastAsia" w:ascii="宋体" w:hAnsi="宋体" w:cs="黑体"/>
          <w:sz w:val="32"/>
          <w:szCs w:val="32"/>
          <w:highlight w:val="none"/>
        </w:rPr>
        <w:t>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九、财政拨款“三公”经费支出决算表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2022</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七、政府性基金预算财政拨款支出决算情况说明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八、国有资本</w:t>
      </w:r>
      <w:r>
        <w:rPr>
          <w:rFonts w:ascii="宋体" w:hAnsi="宋体" w:cs="宋体"/>
          <w:sz w:val="32"/>
          <w:szCs w:val="32"/>
          <w:highlight w:val="none"/>
        </w:rPr>
        <w:t>经营</w:t>
      </w:r>
      <w:r>
        <w:rPr>
          <w:rFonts w:hint="eastAsia" w:ascii="宋体" w:hAnsi="宋体" w:cs="宋体"/>
          <w:sz w:val="32"/>
          <w:szCs w:val="32"/>
          <w:highlight w:val="none"/>
        </w:rPr>
        <w:t>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九、财政拨款“三公”经费支出决算情况说明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十一、政府采购支出情况说明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十二、国有资产占用情况说明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十三、预算绩效情况说明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4" w:type="default"/>
          <w:footerReference r:id="rId5" w:type="even"/>
          <w:pgSz w:w="11906" w:h="16838"/>
          <w:pgMar w:top="1440" w:right="1800" w:bottom="1440" w:left="180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p>
      <w:pPr>
        <w:widowControl/>
        <w:jc w:val="center"/>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许昌市供排水监管</w:t>
      </w:r>
      <w:r>
        <w:rPr>
          <w:rFonts w:hint="eastAsia" w:ascii="黑体" w:hAnsi="黑体" w:eastAsia="黑体" w:cs="黑体"/>
          <w:sz w:val="48"/>
          <w:szCs w:val="48"/>
          <w:highlight w:val="none"/>
          <w:lang w:val="en-US" w:eastAsia="zh-CN"/>
        </w:rPr>
        <w:t>中心</w:t>
      </w:r>
      <w:r>
        <w:rPr>
          <w:rFonts w:hint="eastAsia" w:ascii="黑体" w:hAnsi="黑体" w:eastAsia="黑体" w:cs="黑体"/>
          <w:sz w:val="48"/>
          <w:szCs w:val="48"/>
          <w:highlight w:val="none"/>
        </w:rPr>
        <w:t>概况</w:t>
      </w: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ind w:firstLine="640" w:firstLineChars="200"/>
        <w:jc w:val="left"/>
        <w:outlineLvl w:val="1"/>
        <w:rPr>
          <w:rFonts w:ascii="黑体" w:hAnsi="黑体" w:eastAsia="黑体" w:cs="黑体"/>
          <w:kern w:val="0"/>
          <w:sz w:val="32"/>
          <w:szCs w:val="32"/>
          <w:highlight w:val="none"/>
        </w:rPr>
        <w:sectPr>
          <w:pgSz w:w="11906" w:h="16838"/>
          <w:pgMar w:top="1440" w:right="1800" w:bottom="1440" w:left="180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p>
      <w:pPr>
        <w:widowControl/>
        <w:numPr>
          <w:ilvl w:val="0"/>
          <w:numId w:val="2"/>
        </w:numPr>
        <w:ind w:firstLine="640" w:firstLineChars="200"/>
        <w:jc w:val="left"/>
        <w:outlineLvl w:val="1"/>
        <w:rPr>
          <w:rFonts w:hint="eastAsia" w:ascii="黑体" w:hAnsi="黑体" w:eastAsia="黑体" w:cs="黑体"/>
          <w:bCs/>
          <w:sz w:val="32"/>
          <w:szCs w:val="32"/>
          <w:highlight w:val="none"/>
        </w:rPr>
      </w:pPr>
      <w:r>
        <w:rPr>
          <w:rFonts w:hint="eastAsia" w:ascii="黑体" w:hAnsi="黑体" w:eastAsia="黑体" w:cs="黑体"/>
          <w:kern w:val="0"/>
          <w:sz w:val="32"/>
          <w:szCs w:val="32"/>
          <w:highlight w:val="none"/>
          <w:lang w:eastAsia="zh-CN"/>
        </w:rPr>
        <w:t>许昌市供排水监管中心</w:t>
      </w:r>
      <w:r>
        <w:rPr>
          <w:rFonts w:hint="eastAsia" w:ascii="黑体" w:hAnsi="黑体" w:eastAsia="黑体" w:cs="黑体"/>
          <w:bCs/>
          <w:sz w:val="32"/>
          <w:szCs w:val="32"/>
          <w:highlight w:val="none"/>
        </w:rPr>
        <w:t>职责</w:t>
      </w:r>
    </w:p>
    <w:p>
      <w:pPr>
        <w:widowControl/>
        <w:numPr>
          <w:numId w:val="0"/>
        </w:numPr>
        <w:ind w:firstLine="321" w:firstLineChars="100"/>
        <w:jc w:val="left"/>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（一）</w:t>
      </w:r>
      <w:r>
        <w:rPr>
          <w:rFonts w:hint="eastAsia" w:ascii="仿宋_GB2312" w:hAnsi="仿宋_GB2312" w:eastAsia="仿宋_GB2312" w:cs="仿宋_GB2312"/>
          <w:b w:val="0"/>
          <w:bCs w:val="0"/>
          <w:sz w:val="32"/>
          <w:szCs w:val="32"/>
        </w:rPr>
        <w:t>对城市供水、污水处理等特许经营企业履行特许经营协议情况检查评估；对供水企业水质、水量、水压和污水处理企业的进、出口水质、水量进行检查评估；</w:t>
      </w:r>
    </w:p>
    <w:p>
      <w:pPr>
        <w:numPr>
          <w:numId w:val="0"/>
        </w:numPr>
        <w:adjustRightInd w:val="0"/>
        <w:snapToGrid w:val="0"/>
        <w:spacing w:line="620" w:lineRule="exact"/>
        <w:rPr>
          <w:rFonts w:hint="eastAsia" w:ascii="黑体" w:hAnsi="黑体" w:eastAsia="黑体" w:cs="黑体"/>
          <w:sz w:val="44"/>
          <w:szCs w:val="44"/>
          <w:lang w:eastAsia="zh-CN"/>
        </w:rPr>
      </w:pPr>
      <w:r>
        <w:rPr>
          <w:rFonts w:hint="eastAsia" w:ascii="楷体_GB2312" w:hAnsi="楷体_GB2312" w:eastAsia="楷体_GB2312" w:cs="楷体_GB2312"/>
          <w:b w:val="0"/>
          <w:bCs w:val="0"/>
          <w:sz w:val="32"/>
          <w:szCs w:val="32"/>
          <w:lang w:val="en-US" w:eastAsia="zh-CN"/>
        </w:rPr>
        <w:t xml:space="preserve">   （二）</w:t>
      </w:r>
      <w:r>
        <w:rPr>
          <w:rFonts w:hint="eastAsia" w:ascii="仿宋_GB2312" w:hAnsi="仿宋_GB2312" w:eastAsia="仿宋_GB2312" w:cs="仿宋_GB2312"/>
          <w:b w:val="0"/>
          <w:bCs w:val="0"/>
          <w:sz w:val="32"/>
          <w:szCs w:val="32"/>
        </w:rPr>
        <w:t>负</w:t>
      </w:r>
      <w:r>
        <w:rPr>
          <w:rFonts w:hint="eastAsia" w:ascii="仿宋_GB2312" w:hAnsi="仿宋_GB2312" w:eastAsia="仿宋_GB2312" w:cs="仿宋_GB2312"/>
          <w:sz w:val="32"/>
          <w:szCs w:val="32"/>
        </w:rPr>
        <w:t>责中心城区雨污水管网、供排水设施、市政排水泵站、内河岸线以下河道及附属设施建设和管理。</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numPr>
          <w:numId w:val="0"/>
        </w:numPr>
        <w:adjustRightInd w:val="0"/>
        <w:snapToGrid w:val="0"/>
        <w:spacing w:line="620" w:lineRule="exact"/>
        <w:ind w:firstLine="640" w:firstLineChars="200"/>
        <w:rPr>
          <w:rFonts w:hint="default" w:ascii="黑体" w:hAnsi="黑体" w:eastAsia="黑体" w:cs="黑体"/>
          <w:b/>
          <w:bCs/>
          <w:sz w:val="32"/>
          <w:szCs w:val="32"/>
          <w:lang w:val="en-US" w:eastAsia="zh-CN"/>
        </w:rPr>
      </w:pPr>
      <w:r>
        <w:rPr>
          <w:rFonts w:hint="eastAsia" w:ascii="仿宋_GB2312" w:hAnsi="仿宋_GB2312" w:eastAsia="仿宋_GB2312" w:cs="仿宋_GB2312"/>
          <w:sz w:val="32"/>
          <w:szCs w:val="32"/>
          <w:lang w:val="en-US" w:eastAsia="zh-CN"/>
        </w:rPr>
        <w:t>许昌市供排水监管中心隶属于许昌市水利局管理，内设科室6个，包括：综合办公室、人事财务科、供水管理科、污水管理科、排水管理科、泵站管理所。</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构成看，</w:t>
      </w:r>
      <w:r>
        <w:rPr>
          <w:rFonts w:hint="eastAsia" w:ascii="仿宋_GB2312" w:hAnsi="仿宋_GB2312" w:eastAsia="仿宋_GB2312" w:cs="仿宋_GB2312"/>
          <w:sz w:val="32"/>
          <w:szCs w:val="32"/>
          <w:lang w:val="en-US" w:eastAsia="zh-CN"/>
        </w:rPr>
        <w:t>许昌市供排水监管中心</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纳入本单位</w:t>
      </w:r>
      <w:r>
        <w:rPr>
          <w:rFonts w:hint="eastAsia" w:ascii="仿宋_GB2312" w:hAnsi="仿宋_GB2312" w:eastAsia="仿宋_GB2312" w:cs="仿宋_GB2312"/>
          <w:kern w:val="0"/>
          <w:sz w:val="32"/>
          <w:szCs w:val="32"/>
          <w:highlight w:val="none"/>
          <w:lang w:val="en-US" w:eastAsia="zh-CN"/>
        </w:rPr>
        <w:t>2022年度单位决算编制范围的单位共1个，具体是:</w:t>
      </w:r>
    </w:p>
    <w:p>
      <w:pPr>
        <w:widowControl/>
        <w:ind w:firstLine="640" w:firstLineChars="200"/>
        <w:jc w:val="left"/>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sz w:val="32"/>
          <w:szCs w:val="32"/>
          <w:lang w:val="en-US" w:eastAsia="zh-CN"/>
        </w:rPr>
        <w:t>许昌市供排水监管中心</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numPr>
          <w:ilvl w:val="0"/>
          <w:numId w:val="3"/>
        </w:num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 xml:space="preserve"> 202</w:t>
      </w:r>
      <w:r>
        <w:rPr>
          <w:rFonts w:ascii="黑体" w:hAnsi="黑体" w:eastAsia="黑体" w:cs="黑体"/>
          <w:sz w:val="48"/>
          <w:szCs w:val="48"/>
          <w:highlight w:val="none"/>
        </w:rPr>
        <w:t>2</w:t>
      </w:r>
      <w:r>
        <w:rPr>
          <w:rFonts w:hint="eastAsia" w:ascii="黑体" w:hAnsi="黑体" w:eastAsia="黑体" w:cs="黑体"/>
          <w:sz w:val="48"/>
          <w:szCs w:val="48"/>
          <w:highlight w:val="none"/>
        </w:rPr>
        <w:t>年度</w:t>
      </w:r>
      <w:r>
        <w:rPr>
          <w:rFonts w:hint="eastAsia" w:ascii="黑体" w:hAnsi="黑体" w:eastAsia="黑体" w:cs="黑体"/>
          <w:sz w:val="48"/>
          <w:szCs w:val="48"/>
          <w:highlight w:val="none"/>
          <w:lang w:eastAsia="zh-CN"/>
        </w:rPr>
        <w:t>许昌市供排水监管中心</w:t>
      </w:r>
      <w:r>
        <w:rPr>
          <w:rFonts w:hint="eastAsia" w:ascii="黑体" w:hAnsi="黑体" w:eastAsia="黑体" w:cs="黑体"/>
          <w:sz w:val="48"/>
          <w:szCs w:val="48"/>
          <w:highlight w:val="none"/>
        </w:rPr>
        <w:t>决算表</w:t>
      </w:r>
    </w:p>
    <w:p>
      <w:pPr>
        <w:widowControl w:val="0"/>
        <w:numPr>
          <w:numId w:val="0"/>
        </w:numPr>
        <w:jc w:val="center"/>
        <w:outlineLvl w:val="0"/>
        <w:rPr>
          <w:rFonts w:hint="eastAsia" w:ascii="黑体" w:hAnsi="黑体" w:eastAsia="黑体" w:cs="黑体"/>
          <w:sz w:val="48"/>
          <w:szCs w:val="48"/>
          <w:highlight w:val="none"/>
        </w:rPr>
      </w:pPr>
    </w:p>
    <w:p>
      <w:pPr>
        <w:widowControl w:val="0"/>
        <w:numPr>
          <w:numId w:val="0"/>
        </w:numPr>
        <w:jc w:val="center"/>
        <w:outlineLvl w:val="0"/>
        <w:rPr>
          <w:rFonts w:hint="eastAsia" w:ascii="黑体" w:hAnsi="黑体" w:eastAsia="黑体" w:cs="黑体"/>
          <w:sz w:val="48"/>
          <w:szCs w:val="48"/>
          <w:highlight w:val="none"/>
        </w:rPr>
      </w:pPr>
    </w:p>
    <w:p>
      <w:pPr>
        <w:widowControl w:val="0"/>
        <w:numPr>
          <w:numId w:val="0"/>
        </w:numPr>
        <w:jc w:val="center"/>
        <w:outlineLvl w:val="0"/>
        <w:rPr>
          <w:rFonts w:hint="eastAsia" w:ascii="黑体" w:hAnsi="黑体" w:eastAsia="黑体" w:cs="黑体"/>
          <w:sz w:val="48"/>
          <w:szCs w:val="48"/>
          <w:highlight w:val="none"/>
        </w:rPr>
      </w:pPr>
    </w:p>
    <w:p>
      <w:pPr>
        <w:widowControl w:val="0"/>
        <w:numPr>
          <w:numId w:val="0"/>
        </w:numPr>
        <w:jc w:val="center"/>
        <w:outlineLvl w:val="0"/>
        <w:rPr>
          <w:rFonts w:hint="eastAsia" w:ascii="黑体" w:hAnsi="黑体" w:eastAsia="黑体" w:cs="黑体"/>
          <w:sz w:val="48"/>
          <w:szCs w:val="48"/>
          <w:highlight w:val="none"/>
        </w:rPr>
      </w:pPr>
    </w:p>
    <w:p>
      <w:pPr>
        <w:widowControl w:val="0"/>
        <w:numPr>
          <w:numId w:val="0"/>
        </w:numPr>
        <w:jc w:val="center"/>
        <w:outlineLvl w:val="0"/>
        <w:rPr>
          <w:rFonts w:hint="eastAsia" w:ascii="黑体" w:hAnsi="黑体" w:eastAsia="黑体" w:cs="黑体"/>
          <w:sz w:val="48"/>
          <w:szCs w:val="48"/>
          <w:highlight w:val="none"/>
        </w:rPr>
      </w:pPr>
    </w:p>
    <w:p>
      <w:pPr>
        <w:widowControl w:val="0"/>
        <w:numPr>
          <w:numId w:val="0"/>
        </w:numPr>
        <w:jc w:val="center"/>
        <w:outlineLvl w:val="0"/>
        <w:rPr>
          <w:rFonts w:hint="eastAsia" w:ascii="黑体" w:hAnsi="黑体" w:eastAsia="黑体" w:cs="黑体"/>
          <w:sz w:val="48"/>
          <w:szCs w:val="48"/>
          <w:highlight w:val="none"/>
        </w:rPr>
      </w:pPr>
    </w:p>
    <w:p>
      <w:pPr>
        <w:widowControl w:val="0"/>
        <w:numPr>
          <w:numId w:val="0"/>
        </w:numPr>
        <w:jc w:val="center"/>
        <w:outlineLvl w:val="0"/>
        <w:rPr>
          <w:rFonts w:hint="eastAsia" w:ascii="黑体" w:hAnsi="黑体" w:eastAsia="黑体" w:cs="黑体"/>
          <w:sz w:val="48"/>
          <w:szCs w:val="48"/>
          <w:highlight w:val="none"/>
        </w:rPr>
      </w:pPr>
    </w:p>
    <w:p>
      <w:pPr>
        <w:widowControl w:val="0"/>
        <w:numPr>
          <w:numId w:val="0"/>
        </w:numPr>
        <w:jc w:val="center"/>
        <w:outlineLvl w:val="0"/>
        <w:rPr>
          <w:rFonts w:hint="eastAsia" w:ascii="黑体" w:hAnsi="黑体" w:eastAsia="黑体" w:cs="黑体"/>
          <w:sz w:val="48"/>
          <w:szCs w:val="48"/>
          <w:highlight w:val="none"/>
        </w:rPr>
      </w:pPr>
    </w:p>
    <w:p>
      <w:pPr>
        <w:widowControl w:val="0"/>
        <w:numPr>
          <w:numId w:val="0"/>
        </w:numPr>
        <w:jc w:val="center"/>
        <w:outlineLvl w:val="0"/>
        <w:rPr>
          <w:rFonts w:hint="eastAsia" w:ascii="黑体" w:hAnsi="黑体" w:eastAsia="黑体" w:cs="黑体"/>
          <w:sz w:val="48"/>
          <w:szCs w:val="4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p>
      <w:pPr>
        <w:rPr>
          <w:rFonts w:hint="eastAsia" w:ascii="仿宋_GB2312" w:hAnsi="仿宋_GB2312" w:eastAsia="仿宋_GB2312" w:cs="仿宋_GB2312"/>
          <w:sz w:val="32"/>
          <w:szCs w:val="32"/>
          <w:highlight w:val="none"/>
        </w:rPr>
      </w:pPr>
    </w:p>
    <w:tbl>
      <w:tblPr>
        <w:tblW w:w="133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42"/>
        <w:gridCol w:w="780"/>
        <w:gridCol w:w="1740"/>
        <w:gridCol w:w="3315"/>
        <w:gridCol w:w="720"/>
        <w:gridCol w:w="2565"/>
      </w:tblGrid>
      <w:tr>
        <w:trPr>
          <w:trHeight w:val="390" w:hRule="atLeast"/>
        </w:trPr>
        <w:tc>
          <w:tcPr>
            <w:tcW w:w="13362" w:type="dxa"/>
            <w:gridSpan w:val="6"/>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rPr>
          <w:trHeight w:val="255" w:hRule="atLeast"/>
        </w:trPr>
        <w:tc>
          <w:tcPr>
            <w:tcW w:w="4242"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78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74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6600" w:type="dxa"/>
            <w:gridSpan w:val="3"/>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rPr>
          <w:trHeight w:val="255" w:hRule="atLeast"/>
        </w:trPr>
        <w:tc>
          <w:tcPr>
            <w:tcW w:w="6762" w:type="dxa"/>
            <w:gridSpan w:val="3"/>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单位：许昌市供排水监管中心</w:t>
            </w:r>
          </w:p>
        </w:tc>
        <w:tc>
          <w:tcPr>
            <w:tcW w:w="6600" w:type="dxa"/>
            <w:gridSpan w:val="3"/>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676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6600"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74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31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256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780"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31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56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74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993.18</w:t>
            </w: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15.19</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74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74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74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74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74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74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74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47.33</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894.10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74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993.18</w:t>
            </w:r>
          </w:p>
        </w:tc>
        <w:tc>
          <w:tcPr>
            <w:tcW w:w="331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1,003.69</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74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74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10.50</w:t>
            </w:r>
          </w:p>
        </w:tc>
        <w:tc>
          <w:tcPr>
            <w:tcW w:w="33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74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2565"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r>
      <w:tr>
        <w:trPr>
          <w:trHeight w:val="308" w:hRule="atLeast"/>
        </w:trPr>
        <w:tc>
          <w:tcPr>
            <w:tcW w:w="424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74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1,003.69</w:t>
            </w:r>
          </w:p>
        </w:tc>
        <w:tc>
          <w:tcPr>
            <w:tcW w:w="331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256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1,003.69</w:t>
            </w:r>
          </w:p>
        </w:tc>
      </w:tr>
      <w:tr>
        <w:trPr>
          <w:trHeight w:val="308" w:hRule="atLeast"/>
        </w:trPr>
        <w:tc>
          <w:tcPr>
            <w:tcW w:w="13362" w:type="dxa"/>
            <w:gridSpan w:val="6"/>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注：本表反映单位本年度的总收支和年末结转结余情况。本表金额转换为万元时，因四舍五入可能存在尾差。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p>
      <w:pPr>
        <w:rPr>
          <w:rFonts w:hint="eastAsia" w:ascii="仿宋_GB2312" w:hAnsi="仿宋_GB2312" w:eastAsia="仿宋_GB2312" w:cs="仿宋_GB2312"/>
          <w:sz w:val="32"/>
          <w:szCs w:val="32"/>
          <w:highlight w:val="none"/>
        </w:rPr>
      </w:pPr>
    </w:p>
    <w:tbl>
      <w:tblPr>
        <w:tblW w:w="138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765"/>
        <w:gridCol w:w="1384"/>
        <w:gridCol w:w="1330"/>
        <w:gridCol w:w="1196"/>
        <w:gridCol w:w="1006"/>
        <w:gridCol w:w="1114"/>
        <w:gridCol w:w="1078"/>
        <w:gridCol w:w="961"/>
      </w:tblGrid>
      <w:tr>
        <w:trPr>
          <w:trHeight w:val="390" w:hRule="atLeast"/>
        </w:trPr>
        <w:tc>
          <w:tcPr>
            <w:tcW w:w="13821" w:type="dxa"/>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rPr>
          <w:trHeight w:val="255" w:hRule="atLeast"/>
        </w:trPr>
        <w:tc>
          <w:tcPr>
            <w:tcW w:w="32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76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8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3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0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153"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rPr>
          <w:trHeight w:val="255" w:hRule="atLeast"/>
        </w:trPr>
        <w:tc>
          <w:tcPr>
            <w:tcW w:w="8466" w:type="dxa"/>
            <w:gridSpan w:val="6"/>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单位：许昌市供排水监管中心</w:t>
            </w:r>
          </w:p>
        </w:tc>
        <w:tc>
          <w:tcPr>
            <w:tcW w:w="11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0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153"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5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38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33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196"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1006"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11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07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961"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rPr>
          <w:trHeight w:val="308" w:hRule="atLeast"/>
        </w:trPr>
        <w:tc>
          <w:tcPr>
            <w:tcW w:w="987"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476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8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9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0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1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7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76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8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9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0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1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7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76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8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9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0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1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7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5752"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38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33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9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0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1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7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96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rPr>
          <w:trHeight w:val="308" w:hRule="atLeast"/>
        </w:trPr>
        <w:tc>
          <w:tcPr>
            <w:tcW w:w="5752"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993.18</w:t>
            </w:r>
          </w:p>
        </w:tc>
        <w:tc>
          <w:tcPr>
            <w:tcW w:w="133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993.18</w:t>
            </w:r>
          </w:p>
        </w:tc>
        <w:tc>
          <w:tcPr>
            <w:tcW w:w="119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76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3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15.19</w:t>
            </w:r>
          </w:p>
        </w:tc>
        <w:tc>
          <w:tcPr>
            <w:tcW w:w="133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15.19</w:t>
            </w:r>
          </w:p>
        </w:tc>
        <w:tc>
          <w:tcPr>
            <w:tcW w:w="119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2.80</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2.80</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2.80</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2.80</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其他一般公共服务支出</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12.39</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12.39</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2019999</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其他一般公共服务支出</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12.39</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12.39</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47.33</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47.33</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47.33</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47.33</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14.39</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14.39</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32.94</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32.94</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885.29</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885.29</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水利</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885.29</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885.29</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2130304</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水利行业业务管理</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796.93</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796.93</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2130399</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其他水利支出</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88.37</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88.37</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住房保障支出</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住房改革支出</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2210201</w:t>
            </w:r>
          </w:p>
        </w:tc>
        <w:tc>
          <w:tcPr>
            <w:tcW w:w="47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1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13821"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注：本表反映单位本年度取得的各项收入情况。本表金额转换为万元时，因四舍五入可能存在尾差。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tbl>
      <w:tblPr>
        <w:tblW w:w="133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222"/>
        <w:gridCol w:w="222"/>
        <w:gridCol w:w="3956"/>
        <w:gridCol w:w="1256"/>
        <w:gridCol w:w="1013"/>
        <w:gridCol w:w="1012"/>
        <w:gridCol w:w="946"/>
        <w:gridCol w:w="840"/>
        <w:gridCol w:w="1080"/>
      </w:tblGrid>
      <w:tr>
        <w:trPr>
          <w:trHeight w:val="390" w:hRule="atLeast"/>
        </w:trPr>
        <w:tc>
          <w:tcPr>
            <w:tcW w:w="13363"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rPr>
          <w:trHeight w:val="255" w:hRule="atLeast"/>
        </w:trPr>
        <w:tc>
          <w:tcPr>
            <w:tcW w:w="281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1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1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4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2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rPr>
          <w:trHeight w:val="255" w:hRule="atLeast"/>
        </w:trPr>
        <w:tc>
          <w:tcPr>
            <w:tcW w:w="28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单位：许昌市供排水监管中心</w:t>
            </w: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1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1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4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2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256"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013"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012"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946"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84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08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rPr>
          <w:trHeight w:val="308" w:hRule="atLeast"/>
        </w:trPr>
        <w:tc>
          <w:tcPr>
            <w:tcW w:w="3260"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395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25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5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5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7216"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25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1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1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94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84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8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rPr>
          <w:trHeight w:val="308" w:hRule="atLeast"/>
        </w:trPr>
        <w:tc>
          <w:tcPr>
            <w:tcW w:w="7216"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5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1,003.69</w:t>
            </w:r>
          </w:p>
        </w:tc>
        <w:tc>
          <w:tcPr>
            <w:tcW w:w="101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552.23</w:t>
            </w:r>
          </w:p>
        </w:tc>
        <w:tc>
          <w:tcPr>
            <w:tcW w:w="101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451.46</w:t>
            </w:r>
          </w:p>
        </w:tc>
        <w:tc>
          <w:tcPr>
            <w:tcW w:w="94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25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15.19</w:t>
            </w:r>
          </w:p>
        </w:tc>
        <w:tc>
          <w:tcPr>
            <w:tcW w:w="101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15.19</w:t>
            </w:r>
          </w:p>
        </w:tc>
        <w:tc>
          <w:tcPr>
            <w:tcW w:w="101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4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2.80</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2.80</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2.80</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2.80</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其他一般公共服务支出</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12.39</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12.39</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2019999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其他一般公共服务支出</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12.39</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12.39</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47.33</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47.33</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47.33</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47.33</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14.39</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14.39</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32.94</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32.94</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城乡社区支出</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21201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城乡社区管理事务</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2120107</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市政公用行业市场监管</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894.10</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444.34</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449.76</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水利</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894.10</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444.34</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449.76</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2130304</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水利行业业务管理</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805.73</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429.97</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375.76</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2130399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其他水利支出</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88.37</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14.37</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74.00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住房保障支出</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住房改革支出</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12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0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0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13363"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注：本表反映单位本年度各项支出情况。本表金额转换为万元时，因四舍五入可能存在尾差。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tbl>
      <w:tblPr>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27"/>
        <w:gridCol w:w="601"/>
        <w:gridCol w:w="1187"/>
        <w:gridCol w:w="3835"/>
        <w:gridCol w:w="601"/>
        <w:gridCol w:w="1095"/>
        <w:gridCol w:w="1210"/>
        <w:gridCol w:w="950"/>
        <w:gridCol w:w="1075"/>
      </w:tblGrid>
      <w:tr>
        <w:trPr>
          <w:trHeight w:val="390" w:hRule="atLeast"/>
        </w:trPr>
        <w:tc>
          <w:tcPr>
            <w:tcW w:w="14081"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rPr>
          <w:trHeight w:val="255" w:hRule="atLeast"/>
        </w:trPr>
        <w:tc>
          <w:tcPr>
            <w:tcW w:w="3527"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60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8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83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0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235"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rPr>
          <w:trHeight w:val="255" w:hRule="atLeast"/>
        </w:trPr>
        <w:tc>
          <w:tcPr>
            <w:tcW w:w="5315"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单位：许昌市供排水监管中心</w:t>
            </w:r>
          </w:p>
        </w:tc>
        <w:tc>
          <w:tcPr>
            <w:tcW w:w="383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0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235"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53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8766"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rPr>
          <w:trHeight w:val="292" w:hRule="atLeast"/>
        </w:trPr>
        <w:tc>
          <w:tcPr>
            <w:tcW w:w="3527"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601"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87"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83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601"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09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1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95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07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rPr>
          <w:trHeight w:val="615" w:hRule="atLeast"/>
        </w:trPr>
        <w:tc>
          <w:tcPr>
            <w:tcW w:w="3527"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0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8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83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0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1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5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7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601"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83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601"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1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9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7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8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993.18</w:t>
            </w: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15.19</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15.19</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8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8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47.33</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47.33</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894.10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894.10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1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18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993.18</w:t>
            </w:r>
          </w:p>
        </w:tc>
        <w:tc>
          <w:tcPr>
            <w:tcW w:w="383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1,003.69</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1,003.69</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18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10.50</w:t>
            </w:r>
          </w:p>
        </w:tc>
        <w:tc>
          <w:tcPr>
            <w:tcW w:w="38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18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10.50</w:t>
            </w:r>
          </w:p>
        </w:tc>
        <w:tc>
          <w:tcPr>
            <w:tcW w:w="3835"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18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835"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18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835"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52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18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1,003.69</w:t>
            </w:r>
          </w:p>
        </w:tc>
        <w:tc>
          <w:tcPr>
            <w:tcW w:w="383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6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1,003.69</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1,003.69</w:t>
            </w:r>
          </w:p>
        </w:tc>
        <w:tc>
          <w:tcPr>
            <w:tcW w:w="9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14081"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tbl>
      <w:tblPr>
        <w:tblW w:w="137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222"/>
        <w:gridCol w:w="222"/>
        <w:gridCol w:w="4493"/>
        <w:gridCol w:w="2010"/>
        <w:gridCol w:w="1935"/>
        <w:gridCol w:w="2025"/>
      </w:tblGrid>
      <w:tr>
        <w:trPr>
          <w:trHeight w:val="390" w:hRule="atLeast"/>
        </w:trPr>
        <w:tc>
          <w:tcPr>
            <w:tcW w:w="13723" w:type="dxa"/>
            <w:gridSpan w:val="7"/>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rPr>
          <w:trHeight w:val="255" w:hRule="atLeast"/>
        </w:trPr>
        <w:tc>
          <w:tcPr>
            <w:tcW w:w="281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4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6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rPr>
          <w:trHeight w:val="255" w:hRule="atLeast"/>
        </w:trPr>
        <w:tc>
          <w:tcPr>
            <w:tcW w:w="28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单位：许昌市供排水监管中心</w:t>
            </w: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4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6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7753"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970"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rPr>
          <w:trHeight w:val="308" w:hRule="atLeast"/>
        </w:trPr>
        <w:tc>
          <w:tcPr>
            <w:tcW w:w="3260"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449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01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93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02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rPr>
          <w:trHeight w:val="277"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01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93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01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93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7753"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01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93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02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rPr>
          <w:trHeight w:val="308" w:hRule="atLeast"/>
        </w:trPr>
        <w:tc>
          <w:tcPr>
            <w:tcW w:w="7753"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0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1,003.69</w:t>
            </w:r>
          </w:p>
        </w:tc>
        <w:tc>
          <w:tcPr>
            <w:tcW w:w="193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552.23</w:t>
            </w:r>
          </w:p>
        </w:tc>
        <w:tc>
          <w:tcPr>
            <w:tcW w:w="20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451.46</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493"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20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15.19</w:t>
            </w:r>
          </w:p>
        </w:tc>
        <w:tc>
          <w:tcPr>
            <w:tcW w:w="193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15.19</w:t>
            </w:r>
          </w:p>
        </w:tc>
        <w:tc>
          <w:tcPr>
            <w:tcW w:w="20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2.80</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2.80</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2.80</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2.80</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其他一般公共服务支出</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12.39</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12.39</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2019999</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其他一般公共服务支出</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12.39</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12.39</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47.33</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47.33</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47.33</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47.33</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14.39</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14.39</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32.94</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32.94</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212</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城乡社区支出</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21201</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城乡社区管理事务</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2120107</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市政公用行业市场监管</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894.10</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444.34</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449.76</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水利</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894.10</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444.34</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449.76</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2130304</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水利行业业务管理</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805.73</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429.97</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375.76</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2130399</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其他水利支出</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88.37</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14.37</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住房保障支出</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住房改革支出</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2210201</w:t>
            </w:r>
          </w:p>
        </w:tc>
        <w:tc>
          <w:tcPr>
            <w:tcW w:w="449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19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13723"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注：本表反映单位本年度一般公共预算财政拨款支出情况。本表金额转换为万元时，因四舍五入可能存在尾差。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p>
      <w:pPr>
        <w:rPr>
          <w:rFonts w:hint="eastAsia" w:ascii="仿宋_GB2312" w:hAnsi="仿宋_GB2312" w:eastAsia="仿宋_GB2312" w:cs="仿宋_GB2312"/>
          <w:sz w:val="32"/>
          <w:szCs w:val="32"/>
          <w:highlight w:val="none"/>
        </w:rPr>
      </w:pPr>
    </w:p>
    <w:tbl>
      <w:tblPr>
        <w:tblW w:w="140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16"/>
        <w:gridCol w:w="876"/>
        <w:gridCol w:w="766"/>
        <w:gridCol w:w="2416"/>
        <w:gridCol w:w="766"/>
        <w:gridCol w:w="766"/>
        <w:gridCol w:w="3041"/>
        <w:gridCol w:w="1155"/>
      </w:tblGrid>
      <w:tr>
        <w:trPr>
          <w:trHeight w:val="390" w:hRule="atLeast"/>
        </w:trPr>
        <w:tc>
          <w:tcPr>
            <w:tcW w:w="14068"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一般公共预算财政拨款基本支出决算明细表</w:t>
            </w:r>
          </w:p>
        </w:tc>
      </w:tr>
      <w:tr>
        <w:trPr>
          <w:trHeight w:val="255" w:hRule="atLeast"/>
        </w:trPr>
        <w:tc>
          <w:tcPr>
            <w:tcW w:w="76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5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196"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rPr>
          <w:trHeight w:val="255" w:hRule="atLeast"/>
        </w:trPr>
        <w:tc>
          <w:tcPr>
            <w:tcW w:w="5158" w:type="dxa"/>
            <w:gridSpan w:val="3"/>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单位：许昌市供排水监管中心</w:t>
            </w: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196"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308" w:hRule="atLeast"/>
        </w:trPr>
        <w:tc>
          <w:tcPr>
            <w:tcW w:w="515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891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rPr>
          <w:trHeight w:val="308" w:hRule="atLeast"/>
        </w:trPr>
        <w:tc>
          <w:tcPr>
            <w:tcW w:w="766"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351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87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241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76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3041"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15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rPr>
          <w:trHeight w:val="308" w:hRule="atLeast"/>
        </w:trPr>
        <w:tc>
          <w:tcPr>
            <w:tcW w:w="766"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04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504.15</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32.10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163.20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10.23</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151.25</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27.48</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1.59</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68.66</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0.12</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1.59</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32.94</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1.51</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15.62</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0.64</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3.06</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2.87</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29.75</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2.51</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12.39</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14.39</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14.39</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0.13</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3.44</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39909</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经常性赠与</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2.52</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39910</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资本性赠与</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304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0.04</w:t>
            </w:r>
          </w:p>
        </w:tc>
        <w:tc>
          <w:tcPr>
            <w:tcW w:w="766"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3041"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4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7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3041"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282"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87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518.55</w:t>
            </w:r>
          </w:p>
        </w:tc>
        <w:tc>
          <w:tcPr>
            <w:tcW w:w="7755" w:type="dxa"/>
            <w:gridSpan w:val="5"/>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115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33.69</w:t>
            </w:r>
          </w:p>
        </w:tc>
      </w:tr>
      <w:tr>
        <w:trPr>
          <w:trHeight w:val="308" w:hRule="atLeast"/>
        </w:trPr>
        <w:tc>
          <w:tcPr>
            <w:tcW w:w="14068" w:type="dxa"/>
            <w:gridSpan w:val="9"/>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注：本表反映单位本年度一般公共预算财政拨款基本支出明细情况。本表金额转换为万元时，因四舍五入可能存在尾差。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tbl>
      <w:tblPr>
        <w:tblW w:w="141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222"/>
        <w:gridCol w:w="222"/>
        <w:gridCol w:w="1096"/>
        <w:gridCol w:w="1629"/>
        <w:gridCol w:w="1629"/>
        <w:gridCol w:w="1629"/>
        <w:gridCol w:w="1629"/>
        <w:gridCol w:w="1629"/>
        <w:gridCol w:w="1629"/>
      </w:tblGrid>
      <w:tr>
        <w:trPr>
          <w:trHeight w:val="390" w:hRule="atLeast"/>
        </w:trPr>
        <w:tc>
          <w:tcPr>
            <w:tcW w:w="14130"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rPr>
          <w:trHeight w:val="255" w:hRule="atLeast"/>
        </w:trPr>
        <w:tc>
          <w:tcPr>
            <w:tcW w:w="281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258"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公开07表</w:t>
            </w:r>
          </w:p>
        </w:tc>
      </w:tr>
      <w:tr>
        <w:trPr>
          <w:trHeight w:val="255" w:hRule="atLeast"/>
        </w:trPr>
        <w:tc>
          <w:tcPr>
            <w:tcW w:w="28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单位：许昌市供排水监管中心</w:t>
            </w: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258"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435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629"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629"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4887"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1629"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rPr>
          <w:trHeight w:val="308" w:hRule="atLeast"/>
        </w:trPr>
        <w:tc>
          <w:tcPr>
            <w:tcW w:w="3260"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109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62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2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29"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629"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629"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62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2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2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2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2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2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2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4356"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62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62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62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62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62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62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rPr>
          <w:trHeight w:val="308" w:hRule="atLeast"/>
        </w:trPr>
        <w:tc>
          <w:tcPr>
            <w:tcW w:w="4356"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4130"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注：本表反映单位本年度政府性基金预算财政拨款收入、支出及结转和结余情况。本表金额转换为万元时，因四舍五入可能存在尾差。</w:t>
            </w:r>
          </w:p>
        </w:tc>
      </w:tr>
    </w:tbl>
    <w:p>
      <w:pPr>
        <w:widowControl/>
        <w:jc w:val="left"/>
        <w:textAlignment w:val="center"/>
        <w:rPr>
          <w:rFonts w:hint="eastAsia" w:ascii="仿宋_GB2312" w:hAnsi="仿宋_GB2312" w:eastAsia="仿宋_GB2312" w:cs="仿宋_GB2312"/>
          <w:color w:val="000000"/>
          <w:sz w:val="28"/>
          <w:szCs w:val="28"/>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r>
        <w:rPr>
          <w:rFonts w:hint="eastAsia" w:ascii="仿宋_GB2312" w:hAnsi="仿宋_GB2312" w:eastAsia="仿宋_GB2312" w:cs="仿宋_GB2312"/>
          <w:color w:val="000000"/>
          <w:sz w:val="28"/>
          <w:szCs w:val="28"/>
          <w:highlight w:val="none"/>
        </w:rPr>
        <w:t>说明：我</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color w:val="000000"/>
          <w:sz w:val="28"/>
          <w:szCs w:val="28"/>
          <w:highlight w:val="none"/>
        </w:rPr>
        <w:t>没有政府性基金收入，也没有使用政府性基金安排的支出，故本表无数据。</w:t>
      </w:r>
    </w:p>
    <w:tbl>
      <w:tblPr>
        <w:tblW w:w="138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24"/>
        <w:gridCol w:w="238"/>
        <w:gridCol w:w="499"/>
        <w:gridCol w:w="1862"/>
        <w:gridCol w:w="2205"/>
        <w:gridCol w:w="3165"/>
        <w:gridCol w:w="2865"/>
      </w:tblGrid>
      <w:tr>
        <w:trPr>
          <w:trHeight w:val="390" w:hRule="atLeast"/>
        </w:trPr>
        <w:tc>
          <w:tcPr>
            <w:tcW w:w="13858" w:type="dxa"/>
            <w:gridSpan w:val="7"/>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国有资本经营预算财政拨款支出决算表</w:t>
            </w:r>
          </w:p>
        </w:tc>
      </w:tr>
      <w:tr>
        <w:trPr>
          <w:trHeight w:val="255" w:hRule="atLeast"/>
        </w:trPr>
        <w:tc>
          <w:tcPr>
            <w:tcW w:w="3024"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9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6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0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16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865"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公开08表</w:t>
            </w:r>
          </w:p>
        </w:tc>
      </w:tr>
      <w:tr>
        <w:trPr>
          <w:trHeight w:val="255" w:hRule="atLeast"/>
        </w:trPr>
        <w:tc>
          <w:tcPr>
            <w:tcW w:w="3024"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单位：许昌市供排水监管中心</w:t>
            </w:r>
          </w:p>
        </w:tc>
        <w:tc>
          <w:tcPr>
            <w:tcW w:w="2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9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6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0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16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865"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5623"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235"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rPr>
          <w:trHeight w:val="308" w:hRule="atLeast"/>
        </w:trPr>
        <w:tc>
          <w:tcPr>
            <w:tcW w:w="3761"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1862"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20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316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86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rPr>
          <w:trHeight w:val="308" w:hRule="atLeast"/>
        </w:trPr>
        <w:tc>
          <w:tcPr>
            <w:tcW w:w="3761"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86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20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16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86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761"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86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20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16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86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5623"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20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16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86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rPr>
          <w:trHeight w:val="308" w:hRule="atLeast"/>
        </w:trPr>
        <w:tc>
          <w:tcPr>
            <w:tcW w:w="5623"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2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31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28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rPr>
          <w:trHeight w:val="308" w:hRule="atLeast"/>
        </w:trPr>
        <w:tc>
          <w:tcPr>
            <w:tcW w:w="3761"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2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1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761"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2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1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761"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2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1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761"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2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1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761"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2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1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761"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2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1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3858"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注：本表反映单位本年度国有资本经营预算财政拨款支出情况。本表金额转换为万元时，因四舍五入可能存在尾差。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r>
        <w:rPr>
          <w:rFonts w:hint="eastAsia" w:ascii="仿宋_GB2312" w:hAnsi="仿宋_GB2312" w:eastAsia="仿宋_GB2312" w:cs="仿宋_GB2312"/>
          <w:sz w:val="32"/>
          <w:szCs w:val="32"/>
          <w:highlight w:val="none"/>
        </w:rPr>
        <w:t>说明：我</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没有使用国有资本经营预算安排的支出，故本表无数据。</w:t>
      </w:r>
    </w:p>
    <w:tbl>
      <w:tblPr>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财政拨款“三公”经费支出决算表</w:t>
            </w:r>
          </w:p>
        </w:tc>
      </w:tr>
      <w:tr>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w:t>
            </w:r>
            <w:r>
              <w:rPr>
                <w:rFonts w:ascii="宋体" w:hAnsi="宋体" w:cs="宋体"/>
                <w:color w:val="000000"/>
                <w:kern w:val="0"/>
                <w:sz w:val="20"/>
                <w:szCs w:val="20"/>
                <w:highlight w:val="none"/>
              </w:rPr>
              <w:t>9</w:t>
            </w:r>
            <w:r>
              <w:rPr>
                <w:rFonts w:hint="eastAsia" w:ascii="宋体" w:hAnsi="宋体" w:cs="宋体"/>
                <w:color w:val="000000"/>
                <w:kern w:val="0"/>
                <w:sz w:val="20"/>
                <w:szCs w:val="20"/>
                <w:highlight w:val="none"/>
              </w:rPr>
              <w:t>表</w:t>
            </w:r>
          </w:p>
        </w:tc>
      </w:tr>
      <w:tr>
        <w:trPr>
          <w:trHeight w:val="300" w:hRule="atLeast"/>
        </w:trPr>
        <w:tc>
          <w:tcPr>
            <w:tcW w:w="3450" w:type="dxa"/>
            <w:gridSpan w:val="3"/>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lang w:eastAsia="zh-CN"/>
              </w:rPr>
              <w:t>：许昌市供排水监管中心</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：万元</w:t>
            </w:r>
          </w:p>
        </w:tc>
      </w:tr>
      <w:tr>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公务用车购置及运行维护费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公务用车购置及运行维护费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r>
      <w:tr>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rPr>
            </w:pPr>
            <w:r>
              <w:rPr>
                <w:rFonts w:hint="eastAsia" w:ascii="宋体" w:hAnsi="宋体" w:cs="宋体"/>
                <w:color w:val="000000"/>
                <w:kern w:val="0"/>
                <w:sz w:val="20"/>
                <w:szCs w:val="20"/>
                <w:highlight w:val="none"/>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rPr>
            </w:pPr>
            <w:r>
              <w:rPr>
                <w:rFonts w:hint="eastAsia" w:ascii="宋体" w:hAnsi="宋体" w:cs="宋体"/>
                <w:color w:val="000000"/>
                <w:kern w:val="0"/>
                <w:sz w:val="20"/>
                <w:szCs w:val="20"/>
                <w:highlight w:val="none"/>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运行维护费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rPr>
            </w:pPr>
            <w:r>
              <w:rPr>
                <w:rFonts w:hint="eastAsia" w:ascii="宋体" w:hAnsi="宋体" w:cs="宋体"/>
                <w:color w:val="000000"/>
                <w:kern w:val="0"/>
                <w:sz w:val="20"/>
                <w:szCs w:val="20"/>
                <w:highlight w:val="none"/>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rPr>
            </w:pPr>
            <w:r>
              <w:rPr>
                <w:rFonts w:hint="eastAsia" w:ascii="宋体" w:hAnsi="宋体" w:cs="宋体"/>
                <w:color w:val="000000"/>
                <w:kern w:val="0"/>
                <w:sz w:val="20"/>
                <w:szCs w:val="20"/>
                <w:highlight w:val="none"/>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运行维护费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w:t>
            </w:r>
          </w:p>
        </w:tc>
      </w:tr>
      <w:tr>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rPr>
              <w:t>2.52</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rPr>
              <w:t>0.00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rPr>
              <w:t>2.52</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rPr>
              <w:t>2.52</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rPr>
              <w:t>2.52</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rPr>
              <w:t>2.52</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rPr>
              <w:t>0.00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rPr>
              <w:t>2.52</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rPr>
              <w:t>0.00</w:t>
            </w:r>
          </w:p>
        </w:tc>
      </w:tr>
      <w:tr>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本年度财政拨款“三公”经费支出预决算情况。其中，预算数为“三公”经费全年预算数，反映按规定程序调整后的预算数；决算数是包括当年财政拨款和以前年度结转资金安排的实际支出。</w:t>
            </w:r>
            <w:r>
              <w:rPr>
                <w:rFonts w:hint="eastAsia" w:ascii="宋体" w:hAnsi="宋体" w:cs="宋体"/>
                <w:color w:val="000000"/>
                <w:kern w:val="0"/>
                <w:sz w:val="20"/>
                <w:szCs w:val="20"/>
                <w:highlight w:val="none"/>
                <w:lang w:val="en-US" w:eastAsia="zh-CN"/>
              </w:rPr>
              <w:t>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p>
      <w:pPr>
        <w:tabs>
          <w:tab w:val="left" w:pos="5665"/>
        </w:tabs>
        <w:rPr>
          <w:rFonts w:ascii="仿宋_GB2312" w:hAnsi="仿宋_GB2312" w:eastAsia="仿宋_GB2312" w:cs="仿宋_GB2312"/>
          <w:sz w:val="32"/>
          <w:szCs w:val="32"/>
          <w:highlight w:val="none"/>
        </w:rPr>
      </w:pPr>
    </w:p>
    <w:p>
      <w:pPr>
        <w:tabs>
          <w:tab w:val="left" w:pos="5665"/>
        </w:tabs>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w:t>
      </w:r>
      <w:r>
        <w:rPr>
          <w:rFonts w:ascii="黑体" w:hAnsi="黑体" w:eastAsia="黑体" w:cs="黑体"/>
          <w:sz w:val="48"/>
          <w:szCs w:val="48"/>
          <w:highlight w:val="none"/>
        </w:rPr>
        <w:t>2</w:t>
      </w:r>
      <w:r>
        <w:rPr>
          <w:rFonts w:hint="eastAsia" w:ascii="黑体" w:hAnsi="黑体" w:eastAsia="黑体" w:cs="黑体"/>
          <w:sz w:val="48"/>
          <w:szCs w:val="48"/>
          <w:highlight w:val="none"/>
        </w:rPr>
        <w:t>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pPr>
    </w:p>
    <w:p>
      <w:pPr>
        <w:widowControl/>
        <w:jc w:val="left"/>
        <w:rPr>
          <w:rFonts w:hint="eastAsia" w:ascii="黑体" w:hAnsi="黑体" w:eastAsia="黑体" w:cs="黑体"/>
          <w:sz w:val="48"/>
          <w:szCs w:val="48"/>
          <w:highlight w:val="none"/>
        </w:rPr>
      </w:pPr>
    </w:p>
    <w:p>
      <w:pPr>
        <w:widowControl/>
        <w:jc w:val="left"/>
        <w:rPr>
          <w:rFonts w:hint="eastAsia" w:ascii="黑体" w:hAnsi="黑体" w:eastAsia="黑体" w:cs="黑体"/>
          <w:sz w:val="48"/>
          <w:szCs w:val="48"/>
          <w:highlight w:val="none"/>
        </w:rPr>
      </w:pPr>
    </w:p>
    <w:p>
      <w:pPr>
        <w:widowControl/>
        <w:jc w:val="left"/>
        <w:rPr>
          <w:rFonts w:hint="eastAsia" w:ascii="黑体" w:hAnsi="黑体" w:eastAsia="黑体" w:cs="黑体"/>
          <w:sz w:val="48"/>
          <w:szCs w:val="48"/>
          <w:highlight w:val="none"/>
        </w:rPr>
      </w:pP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1003.69</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1512.68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60.11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2021年安排</w:t>
      </w:r>
      <w:r>
        <w:rPr>
          <w:rFonts w:hint="eastAsia" w:ascii="仿宋_GB2312" w:hAnsi="仿宋_GB2312" w:eastAsia="仿宋_GB2312" w:cs="仿宋_GB2312"/>
          <w:sz w:val="32"/>
          <w:szCs w:val="32"/>
        </w:rPr>
        <w:t>供排水管网改造项目、积水点改造项目等城建重点项目支出</w:t>
      </w:r>
      <w:r>
        <w:rPr>
          <w:rFonts w:hint="eastAsia" w:ascii="仿宋_GB2312" w:hAnsi="仿宋_GB2312" w:eastAsia="仿宋_GB2312" w:cs="仿宋_GB2312"/>
          <w:sz w:val="32"/>
          <w:szCs w:val="32"/>
          <w:lang w:eastAsia="zh-CN"/>
        </w:rPr>
        <w:t>，而</w:t>
      </w:r>
      <w:r>
        <w:rPr>
          <w:rFonts w:hint="eastAsia" w:ascii="仿宋_GB2312" w:hAnsi="仿宋_GB2312" w:eastAsia="仿宋_GB2312" w:cs="仿宋_GB2312"/>
          <w:sz w:val="32"/>
          <w:szCs w:val="32"/>
          <w:lang w:val="en-US" w:eastAsia="zh-CN"/>
        </w:rPr>
        <w:t>2022年未安排项目支出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993.18</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993.18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上缴收</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1003.69</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552.23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55.02</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451.46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44.98%</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1003.69</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1512.68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60.11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2021年安排</w:t>
      </w:r>
      <w:r>
        <w:rPr>
          <w:rFonts w:hint="eastAsia" w:ascii="仿宋_GB2312" w:hAnsi="仿宋_GB2312" w:eastAsia="仿宋_GB2312" w:cs="仿宋_GB2312"/>
          <w:sz w:val="32"/>
          <w:szCs w:val="32"/>
        </w:rPr>
        <w:t>供排水管网改造项目、积水点改造项目等城建重点项目支出</w:t>
      </w:r>
      <w:r>
        <w:rPr>
          <w:rFonts w:hint="eastAsia" w:ascii="仿宋_GB2312" w:hAnsi="仿宋_GB2312" w:eastAsia="仿宋_GB2312" w:cs="仿宋_GB2312"/>
          <w:sz w:val="32"/>
          <w:szCs w:val="32"/>
          <w:lang w:eastAsia="zh-CN"/>
        </w:rPr>
        <w:t>，而</w:t>
      </w:r>
      <w:r>
        <w:rPr>
          <w:rFonts w:hint="eastAsia" w:ascii="仿宋_GB2312" w:hAnsi="仿宋_GB2312" w:eastAsia="仿宋_GB2312" w:cs="仿宋_GB2312"/>
          <w:sz w:val="32"/>
          <w:szCs w:val="32"/>
          <w:lang w:val="en-US" w:eastAsia="zh-CN"/>
        </w:rPr>
        <w:t>2022年未安排项目支出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1003.69</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1512.68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60.11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2021年安排</w:t>
      </w:r>
      <w:r>
        <w:rPr>
          <w:rFonts w:hint="eastAsia" w:ascii="仿宋_GB2312" w:hAnsi="仿宋_GB2312" w:eastAsia="仿宋_GB2312" w:cs="仿宋_GB2312"/>
          <w:sz w:val="32"/>
          <w:szCs w:val="32"/>
        </w:rPr>
        <w:t>供排水管网改造项目、积水点改造项目等城建重点项目支出</w:t>
      </w:r>
      <w:r>
        <w:rPr>
          <w:rFonts w:hint="eastAsia" w:ascii="仿宋_GB2312" w:hAnsi="仿宋_GB2312" w:eastAsia="仿宋_GB2312" w:cs="仿宋_GB2312"/>
          <w:sz w:val="32"/>
          <w:szCs w:val="32"/>
          <w:lang w:eastAsia="zh-CN"/>
        </w:rPr>
        <w:t>，而</w:t>
      </w:r>
      <w:r>
        <w:rPr>
          <w:rFonts w:hint="eastAsia" w:ascii="仿宋_GB2312" w:hAnsi="仿宋_GB2312" w:eastAsia="仿宋_GB2312" w:cs="仿宋_GB2312"/>
          <w:sz w:val="32"/>
          <w:szCs w:val="32"/>
          <w:lang w:val="en-US" w:eastAsia="zh-CN"/>
        </w:rPr>
        <w:t>2022年未安排项目支出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1003.69</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2"/>
          <w:lang w:val="en-US" w:eastAsia="zh-CN"/>
        </w:rPr>
        <w:t>15.19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1%；社会保障和就业支出47.</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3万元，占</w:t>
      </w:r>
      <w:r>
        <w:rPr>
          <w:rFonts w:hint="eastAsia" w:ascii="仿宋_GB2312" w:hAnsi="仿宋_GB2312" w:eastAsia="仿宋_GB2312" w:cs="仿宋_GB2312"/>
          <w:sz w:val="32"/>
          <w:szCs w:val="32"/>
          <w:lang w:val="en-US" w:eastAsia="zh-CN"/>
        </w:rPr>
        <w:t>4.72</w:t>
      </w:r>
      <w:r>
        <w:rPr>
          <w:rFonts w:hint="eastAsia" w:ascii="仿宋_GB2312" w:hAnsi="仿宋_GB2312" w:eastAsia="仿宋_GB2312" w:cs="仿宋_GB2312"/>
          <w:sz w:val="32"/>
          <w:szCs w:val="32"/>
        </w:rPr>
        <w:t>%；卫生健康支出1</w:t>
      </w:r>
      <w:r>
        <w:rPr>
          <w:rFonts w:hint="eastAsia" w:ascii="仿宋_GB2312" w:hAnsi="仿宋_GB2312" w:eastAsia="仿宋_GB2312" w:cs="仿宋_GB2312"/>
          <w:sz w:val="32"/>
          <w:szCs w:val="32"/>
          <w:lang w:val="en-US" w:eastAsia="zh-CN"/>
        </w:rPr>
        <w:t>5.62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1.56</w:t>
      </w:r>
      <w:r>
        <w:rPr>
          <w:rFonts w:hint="eastAsia" w:ascii="仿宋_GB2312" w:hAnsi="仿宋_GB2312" w:eastAsia="仿宋_GB2312" w:cs="仿宋_GB2312"/>
          <w:sz w:val="32"/>
          <w:szCs w:val="32"/>
        </w:rPr>
        <w:t>%；城乡社区支出</w:t>
      </w:r>
      <w:r>
        <w:rPr>
          <w:rFonts w:hint="eastAsia" w:ascii="仿宋_GB2312" w:hAnsi="仿宋_GB2312" w:eastAsia="仿宋_GB2312" w:cs="仿宋_GB2312"/>
          <w:sz w:val="32"/>
          <w:szCs w:val="32"/>
          <w:lang w:val="en-US" w:eastAsia="zh-CN"/>
        </w:rPr>
        <w:t>1.70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0.17</w:t>
      </w:r>
      <w:r>
        <w:rPr>
          <w:rFonts w:hint="eastAsia" w:ascii="仿宋_GB2312" w:hAnsi="仿宋_GB2312" w:eastAsia="仿宋_GB2312" w:cs="仿宋_GB2312"/>
          <w:sz w:val="32"/>
          <w:szCs w:val="32"/>
        </w:rPr>
        <w:t>%；农林水支出</w:t>
      </w:r>
      <w:r>
        <w:rPr>
          <w:rFonts w:hint="eastAsia" w:ascii="仿宋_GB2312" w:hAnsi="仿宋_GB2312" w:eastAsia="仿宋_GB2312" w:cs="仿宋_GB2312"/>
          <w:sz w:val="32"/>
          <w:szCs w:val="32"/>
          <w:lang w:val="en-US" w:eastAsia="zh-CN"/>
        </w:rPr>
        <w:t>894.10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89.08</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29.75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2.96</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年度一般公共预算财政拨款支出年初预算为</w:t>
      </w:r>
      <w:r>
        <w:rPr>
          <w:rFonts w:hint="eastAsia" w:ascii="仿宋_GB2312" w:hAnsi="仿宋_GB2312" w:eastAsia="仿宋_GB2312" w:cs="仿宋_GB2312"/>
          <w:sz w:val="32"/>
          <w:szCs w:val="32"/>
          <w:highlight w:val="none"/>
          <w:lang w:val="en-US" w:eastAsia="zh-CN"/>
        </w:rPr>
        <w:t>4640.10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1003.69</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21.63</w:t>
      </w:r>
      <w:r>
        <w:rPr>
          <w:rFonts w:hint="eastAsia" w:ascii="仿宋_GB2312" w:hAnsi="仿宋_GB2312" w:eastAsia="仿宋_GB2312" w:cs="仿宋_GB2312"/>
          <w:sz w:val="32"/>
          <w:szCs w:val="32"/>
          <w:highlight w:val="none"/>
        </w:rPr>
        <w:t>%。其中：</w:t>
      </w:r>
    </w:p>
    <w:p>
      <w:pPr>
        <w:widowControl/>
        <w:numPr>
          <w:numId w:val="0"/>
        </w:numPr>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2.80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2.80</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决算数与年初预算不存在差异。</w:t>
      </w:r>
    </w:p>
    <w:p>
      <w:pPr>
        <w:widowControl/>
        <w:numPr>
          <w:numId w:val="0"/>
        </w:numPr>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rPr>
        <w:t>一般公共服务支出（类）</w:t>
      </w:r>
      <w:r>
        <w:rPr>
          <w:rFonts w:hint="eastAsia" w:ascii="仿宋_GB2312" w:hAnsi="仿宋_GB2312" w:eastAsia="仿宋_GB2312" w:cs="仿宋_GB2312"/>
          <w:b/>
          <w:bCs/>
          <w:sz w:val="32"/>
          <w:szCs w:val="32"/>
          <w:highlight w:val="none"/>
        </w:rPr>
        <w:t>其他一般公共服务支出（款）其他一般公共服务支出（项）。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12.39</w:t>
      </w:r>
      <w:r>
        <w:rPr>
          <w:rFonts w:hint="eastAsia" w:ascii="仿宋_GB2312" w:hAnsi="仿宋_GB2312" w:eastAsia="仿宋_GB2312" w:cs="仿宋_GB2312"/>
          <w:sz w:val="32"/>
          <w:szCs w:val="32"/>
          <w:highlight w:val="none"/>
        </w:rPr>
        <w:t>万元。决算数与年初预算数存在差异的主要原因是</w:t>
      </w:r>
      <w:r>
        <w:rPr>
          <w:rFonts w:hint="eastAsia" w:ascii="仿宋_GB2312" w:hAnsi="仿宋_GB2312" w:eastAsia="仿宋_GB2312" w:cs="仿宋_GB2312"/>
          <w:sz w:val="32"/>
          <w:szCs w:val="32"/>
          <w:highlight w:val="none"/>
          <w:lang w:eastAsia="zh-CN"/>
        </w:rPr>
        <w:t>发放</w:t>
      </w:r>
      <w:r>
        <w:rPr>
          <w:rFonts w:hint="eastAsia" w:ascii="仿宋_GB2312" w:hAnsi="仿宋_GB2312" w:eastAsia="仿宋_GB2312" w:cs="仿宋_GB2312"/>
          <w:sz w:val="32"/>
          <w:szCs w:val="32"/>
          <w:highlight w:val="none"/>
          <w:lang w:val="en-US" w:eastAsia="zh-CN"/>
        </w:rPr>
        <w:t>2021年未休假资金12.39万元</w:t>
      </w:r>
      <w:r>
        <w:rPr>
          <w:rFonts w:hint="eastAsia" w:ascii="仿宋_GB2312" w:hAnsi="仿宋_GB2312" w:eastAsia="仿宋_GB2312" w:cs="仿宋_GB2312"/>
          <w:sz w:val="32"/>
          <w:szCs w:val="32"/>
          <w:highlight w:val="none"/>
        </w:rPr>
        <w:t>。</w:t>
      </w:r>
    </w:p>
    <w:p>
      <w:pPr>
        <w:widowControl/>
        <w:numPr>
          <w:numId w:val="0"/>
        </w:numPr>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rPr>
        <w:t>社会保障和就业支出（类）行政事业单位养老支出（款）事业单位离退休（项）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14.50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14.39</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99.24</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退休人员经费等发放减少</w:t>
      </w:r>
      <w:r>
        <w:rPr>
          <w:rFonts w:hint="eastAsia" w:ascii="仿宋_GB2312" w:hAnsi="仿宋_GB2312" w:eastAsia="仿宋_GB2312" w:cs="仿宋_GB2312"/>
          <w:sz w:val="32"/>
          <w:szCs w:val="32"/>
        </w:rPr>
        <w:t>。</w:t>
      </w:r>
    </w:p>
    <w:p>
      <w:pPr>
        <w:widowControl/>
        <w:numPr>
          <w:numId w:val="0"/>
        </w:numPr>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rPr>
        <w:t>社会保障和就业支出（类）行政事业单位养老支出（款）机关事业单位基本养老保险缴费支出（项）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33.30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32.94</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98.92</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下半年有在职人员调出</w:t>
      </w:r>
      <w:r>
        <w:rPr>
          <w:rFonts w:hint="eastAsia" w:ascii="仿宋_GB2312" w:hAnsi="仿宋_GB2312" w:eastAsia="仿宋_GB2312" w:cs="仿宋_GB2312"/>
          <w:sz w:val="32"/>
          <w:szCs w:val="32"/>
        </w:rPr>
        <w:t>。</w:t>
      </w:r>
    </w:p>
    <w:p>
      <w:pPr>
        <w:widowControl/>
        <w:numPr>
          <w:numId w:val="0"/>
        </w:numPr>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15.80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15.62</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98.86</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下半年有在职人员调出</w:t>
      </w:r>
      <w:r>
        <w:rPr>
          <w:rFonts w:hint="eastAsia" w:ascii="仿宋_GB2312" w:hAnsi="仿宋_GB2312" w:eastAsia="仿宋_GB2312" w:cs="仿宋_GB2312"/>
          <w:sz w:val="32"/>
          <w:szCs w:val="32"/>
        </w:rPr>
        <w:t>。</w:t>
      </w:r>
    </w:p>
    <w:p>
      <w:pPr>
        <w:widowControl/>
        <w:numPr>
          <w:numId w:val="0"/>
        </w:numPr>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rPr>
        <w:t>城乡社区支出（类）城乡社区管理事务（款）市政公用行业市场监管（项）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1.70</w:t>
      </w:r>
      <w:r>
        <w:rPr>
          <w:rFonts w:hint="eastAsia" w:ascii="仿宋_GB2312" w:hAnsi="仿宋_GB2312" w:eastAsia="仿宋_GB2312" w:cs="仿宋_GB2312"/>
          <w:sz w:val="32"/>
          <w:szCs w:val="32"/>
          <w:highlight w:val="none"/>
        </w:rPr>
        <w:t>万元。决算数与年初预算数存在差异的主要原因是</w:t>
      </w:r>
      <w:r>
        <w:rPr>
          <w:rFonts w:hint="eastAsia" w:ascii="仿宋_GB2312" w:hAnsi="仿宋_GB2312" w:eastAsia="仿宋_GB2312" w:cs="仿宋_GB2312"/>
          <w:sz w:val="32"/>
          <w:szCs w:val="32"/>
          <w:highlight w:val="none"/>
          <w:lang w:eastAsia="zh-CN"/>
        </w:rPr>
        <w:t>用年初结转资金支付市政公用行业市场监管项目</w:t>
      </w:r>
      <w:r>
        <w:rPr>
          <w:rFonts w:hint="eastAsia" w:ascii="仿宋_GB2312" w:hAnsi="仿宋_GB2312" w:eastAsia="仿宋_GB2312" w:cs="仿宋_GB2312"/>
          <w:sz w:val="32"/>
          <w:szCs w:val="32"/>
          <w:highlight w:val="none"/>
          <w:lang w:val="en-US" w:eastAsia="zh-CN"/>
        </w:rPr>
        <w:t>1.70万元</w:t>
      </w:r>
      <w:r>
        <w:rPr>
          <w:rFonts w:hint="eastAsia" w:ascii="仿宋_GB2312" w:hAnsi="仿宋_GB2312" w:eastAsia="仿宋_GB2312" w:cs="仿宋_GB2312"/>
          <w:sz w:val="32"/>
          <w:szCs w:val="32"/>
        </w:rPr>
        <w:t>。</w:t>
      </w:r>
    </w:p>
    <w:p>
      <w:pPr>
        <w:widowControl/>
        <w:numPr>
          <w:numId w:val="0"/>
        </w:numPr>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rPr>
        <w:t>农林水支出（类）水利（款）水利行业业务管理（项）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4543.50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805.73</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17.73</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年初安排</w:t>
      </w:r>
      <w:r>
        <w:rPr>
          <w:rFonts w:hint="eastAsia" w:ascii="仿宋_GB2312" w:hAnsi="仿宋_GB2312" w:eastAsia="仿宋_GB2312" w:cs="仿宋_GB2312"/>
          <w:sz w:val="32"/>
          <w:szCs w:val="32"/>
          <w:highlight w:val="none"/>
        </w:rPr>
        <w:t>护城河污水管网改造项目（重点一事一议支出）</w:t>
      </w:r>
      <w:r>
        <w:rPr>
          <w:rFonts w:hint="eastAsia" w:ascii="仿宋_GB2312" w:hAnsi="仿宋_GB2312" w:eastAsia="仿宋_GB2312" w:cs="仿宋_GB2312"/>
          <w:sz w:val="32"/>
          <w:szCs w:val="32"/>
          <w:highlight w:val="none"/>
          <w:lang w:val="en-US" w:eastAsia="zh-CN"/>
        </w:rPr>
        <w:t>1520.00万元取消，中心区排水管网改造等工程（重点一事一议支出）2431.20万元完工未支付项目款项</w:t>
      </w:r>
      <w:r>
        <w:rPr>
          <w:rFonts w:hint="eastAsia" w:ascii="仿宋_GB2312" w:hAnsi="仿宋_GB2312" w:eastAsia="仿宋_GB2312" w:cs="仿宋_GB2312"/>
          <w:sz w:val="32"/>
          <w:szCs w:val="32"/>
        </w:rPr>
        <w:t>。</w:t>
      </w:r>
    </w:p>
    <w:p>
      <w:pPr>
        <w:widowControl/>
        <w:numPr>
          <w:numId w:val="0"/>
        </w:numPr>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rPr>
        <w:t>农林水支出（类）水利（款）其他水利支出（项）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88.37</w:t>
      </w:r>
      <w:r>
        <w:rPr>
          <w:rFonts w:hint="eastAsia" w:ascii="仿宋_GB2312" w:hAnsi="仿宋_GB2312" w:eastAsia="仿宋_GB2312" w:cs="仿宋_GB2312"/>
          <w:sz w:val="32"/>
          <w:szCs w:val="32"/>
          <w:highlight w:val="none"/>
        </w:rPr>
        <w:t>万元。决算数与年初预算数存在差异的主要原因是</w:t>
      </w:r>
      <w:r>
        <w:rPr>
          <w:rFonts w:hint="eastAsia" w:ascii="仿宋_GB2312" w:hAnsi="仿宋_GB2312" w:eastAsia="仿宋_GB2312" w:cs="仿宋_GB2312"/>
          <w:sz w:val="32"/>
          <w:szCs w:val="32"/>
          <w:highlight w:val="none"/>
          <w:lang w:eastAsia="zh-CN"/>
        </w:rPr>
        <w:t>年初安排的水利行业业务管理立交泵站、文峰隧道生产经费（城市运转维护支出）科目调整为</w:t>
      </w:r>
      <w:r>
        <w:rPr>
          <w:rFonts w:hint="eastAsia" w:ascii="仿宋_GB2312" w:hAnsi="仿宋_GB2312" w:eastAsia="仿宋_GB2312" w:cs="仿宋_GB2312"/>
          <w:sz w:val="32"/>
          <w:szCs w:val="32"/>
          <w:highlight w:val="none"/>
        </w:rPr>
        <w:t>其他水利支出</w:t>
      </w:r>
      <w:r>
        <w:rPr>
          <w:rFonts w:hint="eastAsia" w:ascii="仿宋_GB2312" w:hAnsi="仿宋_GB2312" w:eastAsia="仿宋_GB2312" w:cs="仿宋_GB2312"/>
          <w:sz w:val="32"/>
          <w:szCs w:val="32"/>
        </w:rPr>
        <w:t>。</w:t>
      </w:r>
    </w:p>
    <w:p>
      <w:pPr>
        <w:widowControl/>
        <w:numPr>
          <w:numId w:val="0"/>
        </w:numPr>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b/>
          <w:bCs/>
          <w:sz w:val="32"/>
          <w:szCs w:val="32"/>
          <w:lang w:val="en-US" w:eastAsia="zh-CN"/>
        </w:rPr>
        <w:t>住房保障支出</w:t>
      </w:r>
      <w:r>
        <w:rPr>
          <w:rFonts w:hint="eastAsia" w:ascii="仿宋_GB2312" w:hAnsi="仿宋_GB2312" w:eastAsia="仿宋_GB2312" w:cs="仿宋_GB2312"/>
          <w:b/>
          <w:bCs/>
          <w:sz w:val="32"/>
          <w:szCs w:val="32"/>
        </w:rPr>
        <w:t>（类）住房改革支出（款）住房公积金（项）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30.10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29.75</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98.84</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下半年有在职人员调出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552.23</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518.55</w:t>
      </w:r>
      <w:r>
        <w:rPr>
          <w:rFonts w:hint="eastAsia" w:ascii="仿宋_GB2312" w:hAnsi="仿宋_GB2312" w:eastAsia="仿宋_GB2312" w:cs="仿宋_GB2312"/>
          <w:sz w:val="32"/>
          <w:szCs w:val="32"/>
          <w:highlight w:val="none"/>
        </w:rPr>
        <w:t>万元，主要包括：基本工资、津贴补贴、绩效工资、机关事业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基本养老保险缴费、其他社会保障缴费、其他工资福利支出、退休费、住房公积金；公用经费</w:t>
      </w:r>
      <w:r>
        <w:rPr>
          <w:rFonts w:hint="eastAsia" w:ascii="仿宋_GB2312" w:hAnsi="仿宋_GB2312" w:eastAsia="仿宋_GB2312" w:cs="仿宋_GB2312"/>
          <w:sz w:val="32"/>
          <w:szCs w:val="32"/>
          <w:highlight w:val="none"/>
          <w:lang w:val="en-US" w:eastAsia="zh-CN"/>
        </w:rPr>
        <w:t>33.69</w:t>
      </w:r>
      <w:r>
        <w:rPr>
          <w:rFonts w:hint="eastAsia" w:ascii="仿宋_GB2312" w:hAnsi="仿宋_GB2312" w:eastAsia="仿宋_GB2312" w:cs="仿宋_GB2312"/>
          <w:sz w:val="32"/>
          <w:szCs w:val="32"/>
          <w:highlight w:val="none"/>
        </w:rPr>
        <w:t>万元，主要包括：办公费、咨询费、水费、电费、邮电费、取暖费、物业管理费、差旅费、维修（护）费、培训费、劳务费、工会经费、福利费、公务用车运行维护费、</w:t>
      </w:r>
      <w:r>
        <w:rPr>
          <w:rFonts w:hint="eastAsia" w:ascii="仿宋_GB2312" w:hAnsi="仿宋_GB2312" w:eastAsia="仿宋_GB2312" w:cs="仿宋_GB2312"/>
          <w:color w:val="auto"/>
          <w:sz w:val="32"/>
          <w:szCs w:val="32"/>
          <w:highlight w:val="none"/>
        </w:rPr>
        <w:t>税金及附加费用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七、政府性基金预算财政拨款支出决算情况说明</w:t>
      </w:r>
      <w:bookmarkStart w:id="0" w:name="_GoBack"/>
      <w:bookmarkEnd w:id="0"/>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年度政府性基金预算财政拨款支出年初预算为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我单位</w:t>
      </w:r>
      <w:r>
        <w:rPr>
          <w:rFonts w:hint="eastAsia" w:ascii="仿宋_GB2312" w:hAnsi="仿宋_GB2312" w:eastAsia="仿宋_GB2312" w:cs="仿宋_GB2312"/>
          <w:sz w:val="32"/>
          <w:szCs w:val="32"/>
          <w:highlight w:val="none"/>
          <w:lang w:val="en-US" w:eastAsia="zh-CN"/>
        </w:rPr>
        <w:t>2022年度没有</w:t>
      </w:r>
      <w:r>
        <w:rPr>
          <w:rFonts w:hint="eastAsia" w:ascii="仿宋_GB2312" w:hAnsi="仿宋_GB2312" w:eastAsia="仿宋_GB2312" w:cs="仿宋_GB2312"/>
          <w:sz w:val="32"/>
          <w:szCs w:val="32"/>
          <w:highlight w:val="none"/>
        </w:rPr>
        <w:t>政府性基金预算财政拨款</w:t>
      </w:r>
      <w:r>
        <w:rPr>
          <w:rFonts w:hint="eastAsia" w:ascii="仿宋_GB2312" w:hAnsi="仿宋_GB2312" w:eastAsia="仿宋_GB2312" w:cs="仿宋_GB2312"/>
          <w:sz w:val="32"/>
          <w:szCs w:val="32"/>
          <w:highlight w:val="none"/>
          <w:lang w:eastAsia="zh-CN"/>
        </w:rPr>
        <w:t>收入、</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eastAsia="zh-CN"/>
        </w:rPr>
        <w:t>、结转和结余。</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八、国有资本</w:t>
      </w:r>
      <w:r>
        <w:rPr>
          <w:rFonts w:ascii="黑体" w:hAnsi="黑体" w:eastAsia="黑体" w:cs="黑体"/>
          <w:sz w:val="32"/>
          <w:szCs w:val="32"/>
          <w:highlight w:val="none"/>
        </w:rPr>
        <w:t>经营</w:t>
      </w:r>
      <w:r>
        <w:rPr>
          <w:rFonts w:hint="eastAsia" w:ascii="黑体" w:hAnsi="黑体" w:eastAsia="黑体" w:cs="黑体"/>
          <w:sz w:val="32"/>
          <w:szCs w:val="32"/>
          <w:highlight w:val="none"/>
        </w:rPr>
        <w:t>预算财政拨款支出决算情况说明</w:t>
      </w:r>
    </w:p>
    <w:p>
      <w:pPr>
        <w:widowControl/>
        <w:spacing w:line="590" w:lineRule="exact"/>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年度国有资本</w:t>
      </w:r>
      <w:r>
        <w:rPr>
          <w:rFonts w:ascii="仿宋_GB2312" w:hAnsi="仿宋_GB2312" w:eastAsia="仿宋_GB2312" w:cs="仿宋_GB2312"/>
          <w:sz w:val="32"/>
          <w:szCs w:val="32"/>
          <w:highlight w:val="none"/>
        </w:rPr>
        <w:t>经营</w:t>
      </w:r>
      <w:r>
        <w:rPr>
          <w:rFonts w:hint="eastAsia" w:ascii="仿宋_GB2312" w:hAnsi="仿宋_GB2312" w:eastAsia="仿宋_GB2312" w:cs="仿宋_GB2312"/>
          <w:sz w:val="32"/>
          <w:szCs w:val="32"/>
          <w:highlight w:val="none"/>
        </w:rPr>
        <w:t>预算财政拨款支出年初预算为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我单位</w:t>
      </w:r>
      <w:r>
        <w:rPr>
          <w:rFonts w:hint="eastAsia" w:ascii="仿宋_GB2312" w:hAnsi="仿宋_GB2312" w:eastAsia="仿宋_GB2312" w:cs="仿宋_GB2312"/>
          <w:sz w:val="32"/>
          <w:szCs w:val="32"/>
          <w:highlight w:val="none"/>
          <w:lang w:val="en-US" w:eastAsia="zh-CN"/>
        </w:rPr>
        <w:t>2022年度没有</w:t>
      </w:r>
      <w:r>
        <w:rPr>
          <w:rFonts w:hint="eastAsia" w:ascii="仿宋_GB2312" w:hAnsi="仿宋_GB2312" w:eastAsia="仿宋_GB2312" w:cs="仿宋_GB2312"/>
          <w:sz w:val="32"/>
          <w:szCs w:val="32"/>
          <w:highlight w:val="none"/>
        </w:rPr>
        <w:t>国有资本</w:t>
      </w:r>
      <w:r>
        <w:rPr>
          <w:rFonts w:ascii="仿宋_GB2312" w:hAnsi="仿宋_GB2312" w:eastAsia="仿宋_GB2312" w:cs="仿宋_GB2312"/>
          <w:sz w:val="32"/>
          <w:szCs w:val="32"/>
          <w:highlight w:val="none"/>
        </w:rPr>
        <w:t>经营</w:t>
      </w:r>
      <w:r>
        <w:rPr>
          <w:rFonts w:hint="eastAsia" w:ascii="仿宋_GB2312" w:hAnsi="仿宋_GB2312" w:eastAsia="仿宋_GB2312" w:cs="仿宋_GB2312"/>
          <w:sz w:val="32"/>
          <w:szCs w:val="32"/>
          <w:highlight w:val="none"/>
        </w:rPr>
        <w:t>预算财政拨款</w:t>
      </w:r>
      <w:r>
        <w:rPr>
          <w:rFonts w:hint="eastAsia" w:ascii="仿宋_GB2312" w:hAnsi="仿宋_GB2312" w:eastAsia="仿宋_GB2312" w:cs="仿宋_GB2312"/>
          <w:sz w:val="32"/>
          <w:szCs w:val="32"/>
          <w:highlight w:val="none"/>
          <w:lang w:eastAsia="zh-CN"/>
        </w:rPr>
        <w:t>收入、</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eastAsia="zh-CN"/>
        </w:rPr>
        <w:t>、结转和结余。</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年度“三公”经费财政拨款支出</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2.52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2.52</w:t>
      </w:r>
      <w:r>
        <w:rPr>
          <w:rFonts w:hint="eastAsia" w:ascii="仿宋_GB2312" w:hAnsi="仿宋_GB2312" w:eastAsia="仿宋_GB2312" w:cs="仿宋_GB2312"/>
          <w:sz w:val="32"/>
          <w:szCs w:val="32"/>
          <w:highlight w:val="none"/>
        </w:rPr>
        <w:t>万元，完成预算</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sz w:val="32"/>
          <w:szCs w:val="32"/>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2.52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决算数与预算数不存在差异</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全年因公出国（境）组团</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个，累计</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人次。</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color w:val="auto"/>
          <w:sz w:val="32"/>
          <w:szCs w:val="32"/>
          <w:highlight w:val="none"/>
          <w:lang w:val="en-US" w:eastAsia="zh-CN"/>
        </w:rPr>
        <w:t>2.52</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sz w:val="32"/>
          <w:szCs w:val="32"/>
          <w:highlight w:val="none"/>
        </w:rPr>
        <w:t>元，支出决算为</w:t>
      </w:r>
      <w:r>
        <w:rPr>
          <w:rFonts w:hint="eastAsia" w:ascii="仿宋_GB2312" w:hAnsi="仿宋_GB2312" w:eastAsia="仿宋_GB2312" w:cs="仿宋_GB2312"/>
          <w:sz w:val="32"/>
          <w:szCs w:val="32"/>
          <w:highlight w:val="none"/>
          <w:lang w:val="en-US" w:eastAsia="zh-CN"/>
        </w:rPr>
        <w:t>2.52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公务用车运行维护支出</w:t>
      </w:r>
      <w:r>
        <w:rPr>
          <w:rFonts w:hint="eastAsia" w:ascii="仿宋_GB2312" w:hAnsi="仿宋_GB2312" w:eastAsia="仿宋_GB2312" w:cs="仿宋_GB2312"/>
          <w:sz w:val="32"/>
          <w:szCs w:val="32"/>
          <w:highlight w:val="none"/>
          <w:lang w:val="en-US" w:eastAsia="zh-CN"/>
        </w:rPr>
        <w:t>2.52</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rPr>
        <w:t>车辆保险、维修、加油</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年期末，</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开支财政拨款的公务用车保有量为</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决算数与预算数不存在差异</w:t>
      </w:r>
      <w:r>
        <w:rPr>
          <w:rFonts w:hint="eastAsia" w:ascii="仿宋_GB2312" w:hAnsi="仿宋_GB2312" w:eastAsia="仿宋_GB2312" w:cs="仿宋_GB2312"/>
          <w:sz w:val="32"/>
          <w:szCs w:val="32"/>
          <w:lang w:eastAsia="zh-CN"/>
        </w:rPr>
        <w:t>。</w:t>
      </w:r>
    </w:p>
    <w:p>
      <w:pPr>
        <w:widowControl/>
        <w:spacing w:line="59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十、机关运行经费支出情况说明</w:t>
      </w:r>
    </w:p>
    <w:p>
      <w:pPr>
        <w:widowControl/>
        <w:wordWrap/>
        <w:adjustRightInd/>
        <w:snapToGrid/>
        <w:spacing w:line="360" w:lineRule="auto"/>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303.37</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124.62</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65.75</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113.00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303.37</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303.37</w:t>
      </w:r>
      <w:r>
        <w:rPr>
          <w:rFonts w:hint="eastAsia" w:ascii="仿宋_GB2312" w:hAnsi="仿宋_GB2312" w:eastAsia="仿宋_GB2312" w:cs="仿宋_GB2312"/>
          <w:sz w:val="32"/>
          <w:szCs w:val="32"/>
          <w:highlight w:val="none"/>
        </w:rPr>
        <w:t>万元，占授予中小</w:t>
      </w:r>
      <w:r>
        <w:rPr>
          <w:rFonts w:ascii="仿宋_GB2312" w:hAnsi="仿宋_GB2312" w:eastAsia="仿宋_GB2312" w:cs="仿宋_GB2312"/>
          <w:sz w:val="32"/>
          <w:szCs w:val="32"/>
          <w:highlight w:val="none"/>
        </w:rPr>
        <w:t>企业合同金额</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年期末，我</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共有车辆</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价值100万元（含）以上设备</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十三、预算绩效情况说明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（一）绩效管理工作开展情况。</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sz w:val="32"/>
          <w:szCs w:val="32"/>
          <w:highlight w:val="none"/>
        </w:rPr>
        <w:t>按照《中共许昌市委 许昌市人民政府关于全面实施预算绩效管理的实施意见》（许发〔2021〕13号）文件要求，对本</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sz w:val="32"/>
          <w:szCs w:val="32"/>
          <w:highlight w:val="none"/>
        </w:rPr>
        <w:t>整体支出和项目支出开展全过程预算绩效管理。</w:t>
      </w:r>
    </w:p>
    <w:p>
      <w:pPr>
        <w:ind w:firstLine="640" w:firstLineChars="200"/>
        <w:rPr>
          <w:rFonts w:hint="eastAsia" w:ascii="楷体_GB2312" w:hAnsi="楷体_GB2312" w:eastAsia="楷体_GB2312" w:cs="楷体_GB2312"/>
          <w:b/>
          <w:bCs/>
          <w:sz w:val="32"/>
          <w:szCs w:val="32"/>
          <w:highlight w:val="none"/>
        </w:rPr>
      </w:pPr>
      <w:r>
        <w:rPr>
          <w:rFonts w:hint="eastAsia" w:ascii="仿宋_GB2312" w:hAnsi="仿宋_GB2312" w:eastAsia="仿宋_GB2312" w:cs="仿宋_GB2312"/>
          <w:color w:val="auto"/>
          <w:sz w:val="32"/>
          <w:szCs w:val="32"/>
          <w:highlight w:val="none"/>
          <w:lang w:val="en-US" w:eastAsia="zh-CN"/>
        </w:rPr>
        <w:t>我单位以绩效目标实现为导向，制定了完善的</w:t>
      </w:r>
      <w:r>
        <w:rPr>
          <w:rFonts w:hint="eastAsia" w:ascii="仿宋_GB2312" w:hAnsi="仿宋_GB2312" w:eastAsia="仿宋_GB2312" w:cs="仿宋_GB2312"/>
          <w:bCs/>
          <w:sz w:val="32"/>
          <w:szCs w:val="32"/>
        </w:rPr>
        <w:t>绩效管理制度</w:t>
      </w:r>
      <w:r>
        <w:rPr>
          <w:rFonts w:hint="eastAsia" w:ascii="仿宋_GB2312" w:hAnsi="仿宋_GB2312" w:eastAsia="仿宋_GB2312" w:cs="仿宋_GB2312"/>
          <w:bCs/>
          <w:sz w:val="32"/>
          <w:szCs w:val="32"/>
          <w:lang w:eastAsia="zh-CN"/>
        </w:rPr>
        <w:t>，并在单位内部开展了</w:t>
      </w:r>
      <w:r>
        <w:rPr>
          <w:rFonts w:hint="eastAsia" w:ascii="仿宋_GB2312" w:hAnsi="仿宋_GB2312" w:eastAsia="仿宋_GB2312" w:cs="仿宋_GB2312"/>
          <w:bCs/>
          <w:sz w:val="32"/>
          <w:szCs w:val="32"/>
        </w:rPr>
        <w:t>绩效管理制度的宣传和培训工作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color w:val="auto"/>
          <w:sz w:val="32"/>
          <w:szCs w:val="32"/>
          <w:highlight w:val="none"/>
          <w:lang w:val="en-US" w:eastAsia="zh-CN"/>
        </w:rPr>
        <w:t>按照年度目标任务，逐项落实、</w:t>
      </w:r>
      <w:r>
        <w:rPr>
          <w:rFonts w:hint="eastAsia" w:ascii="仿宋_GB2312" w:hAnsi="仿宋_GB2312" w:eastAsia="仿宋_GB2312" w:cs="仿宋_GB2312"/>
          <w:bCs/>
          <w:sz w:val="32"/>
          <w:szCs w:val="32"/>
        </w:rPr>
        <w:t>责任到人，过程中加强监督，突出预算绩效管理，提高资金使用效益</w:t>
      </w:r>
      <w:r>
        <w:rPr>
          <w:rFonts w:hint="eastAsia" w:ascii="仿宋_GB2312" w:hAnsi="仿宋_GB2312" w:eastAsia="仿宋_GB2312" w:cs="仿宋_GB2312"/>
          <w:bCs/>
          <w:sz w:val="32"/>
          <w:szCs w:val="32"/>
          <w:lang w:eastAsia="zh-CN"/>
        </w:rPr>
        <w:t>，并</w:t>
      </w:r>
      <w:r>
        <w:rPr>
          <w:rFonts w:hint="eastAsia" w:ascii="仿宋_GB2312" w:hAnsi="仿宋_GB2312" w:eastAsia="仿宋_GB2312" w:cs="仿宋_GB2312"/>
          <w:color w:val="auto"/>
          <w:sz w:val="32"/>
          <w:szCs w:val="32"/>
          <w:highlight w:val="none"/>
          <w:lang w:val="en-US" w:eastAsia="zh-CN"/>
        </w:rPr>
        <w:t>定期对绩效目标完成情况开展自查，及时发现问题并解决问题。</w:t>
      </w:r>
      <w:r>
        <w:rPr>
          <w:rFonts w:hint="eastAsia" w:ascii="仿宋_GB2312" w:hAnsi="仿宋_GB2312" w:eastAsia="仿宋_GB2312" w:cs="仿宋_GB2312"/>
          <w:sz w:val="32"/>
          <w:szCs w:val="32"/>
        </w:rPr>
        <w:t>对本单位整体支出和项目支出开展全过程预算绩效管理</w:t>
      </w:r>
      <w:r>
        <w:rPr>
          <w:rFonts w:hint="eastAsia" w:ascii="仿宋_GB2312" w:hAnsi="仿宋_GB2312" w:eastAsia="仿宋_GB2312" w:cs="仿宋_GB2312"/>
          <w:sz w:val="32"/>
          <w:szCs w:val="32"/>
          <w:lang w:eastAsia="zh-CN"/>
        </w:rPr>
        <w:t>，绩效监控范围包括：履职效能、管理效率、运行成本、服务满意等指标责任单位：人事财务科。</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终</w:t>
      </w:r>
      <w:r>
        <w:rPr>
          <w:rFonts w:hint="eastAsia" w:ascii="仿宋_GB2312" w:hAnsi="仿宋_GB2312" w:eastAsia="仿宋_GB2312" w:cs="仿宋_GB2312"/>
          <w:sz w:val="32"/>
          <w:szCs w:val="32"/>
        </w:rPr>
        <w:t>按照绩效管理要求及时开展绩效评价工作，将绩效评价结果更好地应用到以后的工作中</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w:t>
      </w:r>
      <w:r>
        <w:rPr>
          <w:rFonts w:hint="eastAsia" w:ascii="楷体_GB2312" w:hAnsi="楷体_GB2312" w:eastAsia="楷体_GB2312" w:cs="楷体_GB2312"/>
          <w:b/>
          <w:bCs/>
          <w:sz w:val="32"/>
          <w:szCs w:val="32"/>
          <w:highlight w:val="none"/>
          <w:lang w:eastAsia="zh-CN"/>
        </w:rPr>
        <w:t>单位整体和</w:t>
      </w:r>
      <w:r>
        <w:rPr>
          <w:rFonts w:hint="eastAsia" w:ascii="楷体_GB2312" w:hAnsi="楷体_GB2312" w:eastAsia="楷体_GB2312" w:cs="楷体_GB2312"/>
          <w:b/>
          <w:bCs/>
          <w:sz w:val="32"/>
          <w:szCs w:val="32"/>
          <w:highlight w:val="none"/>
        </w:rPr>
        <w:t>项目绩效自评结果。</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我单位对本单位整体绩效目标和项目支出绩效目标进行了自评。一是单位整体绩效自评情况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我中心对</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sz w:val="32"/>
          <w:szCs w:val="32"/>
        </w:rPr>
        <w:t>整体绩效工作成果认真分析对比，绩效实施工作成果基本达到预期，能顺利实现预期工作目标，完成绩效总目标和年度绩效目标，</w:t>
      </w:r>
      <w:r>
        <w:rPr>
          <w:rFonts w:hint="eastAsia" w:ascii="仿宋_GB2312" w:hAnsi="仿宋_GB2312" w:eastAsia="仿宋_GB2312" w:cs="仿宋_GB2312"/>
          <w:sz w:val="32"/>
          <w:szCs w:val="32"/>
          <w:highlight w:val="none"/>
          <w:lang w:eastAsia="zh-CN"/>
        </w:rPr>
        <w:t>自评得分</w:t>
      </w:r>
      <w:r>
        <w:rPr>
          <w:rFonts w:hint="eastAsia" w:ascii="仿宋_GB2312" w:hAnsi="仿宋_GB2312" w:eastAsia="仿宋_GB2312" w:cs="仿宋_GB2312"/>
          <w:sz w:val="32"/>
          <w:szCs w:val="32"/>
          <w:highlight w:val="none"/>
          <w:lang w:val="en-US" w:eastAsia="zh-CN"/>
        </w:rPr>
        <w:t>88分，</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sz w:val="32"/>
          <w:szCs w:val="32"/>
        </w:rPr>
        <w:t>整体绩效自评结果为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良</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 xml:space="preserve">    </w:t>
      </w:r>
    </w:p>
    <w:p>
      <w:pPr>
        <w:widowControl w:val="0"/>
        <w:wordWrap/>
        <w:adjustRightInd/>
        <w:snapToGrid/>
        <w:spacing w:before="0" w:after="0" w:line="580" w:lineRule="exact"/>
        <w:ind w:left="0" w:leftChars="0" w:right="0" w:firstLine="640" w:firstLineChars="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二是项目绩效自评情况。我单位共有</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个项目批复了绩效目标，项目金额</w:t>
      </w:r>
      <w:r>
        <w:rPr>
          <w:rFonts w:hint="eastAsia" w:ascii="仿宋_GB2312" w:hAnsi="仿宋_GB2312" w:eastAsia="仿宋_GB2312" w:cs="仿宋_GB2312"/>
          <w:sz w:val="32"/>
          <w:szCs w:val="32"/>
          <w:highlight w:val="none"/>
          <w:lang w:val="en-US" w:eastAsia="zh-CN"/>
        </w:rPr>
        <w:t>4109.10</w:t>
      </w:r>
      <w:r>
        <w:rPr>
          <w:rFonts w:hint="eastAsia" w:ascii="仿宋_GB2312" w:hAnsi="仿宋_GB2312" w:eastAsia="仿宋_GB2312" w:cs="仿宋_GB2312"/>
          <w:sz w:val="32"/>
          <w:szCs w:val="32"/>
          <w:highlight w:val="none"/>
        </w:rPr>
        <w:t>万元。</w:t>
      </w:r>
    </w:p>
    <w:p>
      <w:pPr>
        <w:widowControl w:val="0"/>
        <w:wordWrap/>
        <w:adjustRightInd/>
        <w:snapToGrid/>
        <w:spacing w:before="0" w:after="0" w:line="580" w:lineRule="exact"/>
        <w:ind w:left="0" w:leftChars="0" w:right="0" w:firstLine="640" w:firstLineChars="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基于项目预期目标的实现程度，对2022年度</w:t>
      </w:r>
      <w:r>
        <w:rPr>
          <w:rFonts w:hint="eastAsia" w:ascii="仿宋_GB2312" w:hAnsi="仿宋_GB2312" w:eastAsia="仿宋_GB2312" w:cs="仿宋_GB2312"/>
          <w:sz w:val="32"/>
          <w:szCs w:val="32"/>
          <w:highlight w:val="none"/>
          <w:lang w:val="en-US" w:eastAsia="zh-CN"/>
        </w:rPr>
        <w:t>6个有实际支出的</w:t>
      </w:r>
      <w:r>
        <w:rPr>
          <w:rFonts w:hint="eastAsia" w:ascii="仿宋_GB2312" w:hAnsi="仿宋_GB2312" w:eastAsia="仿宋_GB2312" w:cs="仿宋_GB2312"/>
          <w:sz w:val="32"/>
          <w:szCs w:val="32"/>
          <w:highlight w:val="none"/>
        </w:rPr>
        <w:t>项目支出绩效进行自评，绩效自评平均得分为</w:t>
      </w:r>
      <w:r>
        <w:rPr>
          <w:rFonts w:hint="eastAsia" w:ascii="仿宋_GB2312" w:hAnsi="仿宋_GB2312" w:eastAsia="仿宋_GB2312" w:cs="仿宋_GB2312"/>
          <w:sz w:val="32"/>
          <w:szCs w:val="32"/>
          <w:highlight w:val="none"/>
          <w:lang w:val="en-US" w:eastAsia="zh-CN"/>
        </w:rPr>
        <w:t>95.40</w:t>
      </w:r>
      <w:r>
        <w:rPr>
          <w:rFonts w:hint="eastAsia" w:ascii="仿宋_GB2312" w:hAnsi="仿宋_GB2312" w:eastAsia="仿宋_GB2312" w:cs="仿宋_GB2312"/>
          <w:sz w:val="32"/>
          <w:szCs w:val="32"/>
          <w:highlight w:val="none"/>
        </w:rPr>
        <w:t>分。其中：</w:t>
      </w:r>
      <w:r>
        <w:rPr>
          <w:rFonts w:hint="eastAsia" w:ascii="仿宋_GB2312" w:hAnsi="仿宋_GB2312" w:eastAsia="仿宋_GB2312" w:cs="仿宋_GB2312"/>
          <w:sz w:val="32"/>
          <w:szCs w:val="32"/>
          <w:highlight w:val="none"/>
          <w:lang w:val="en-US" w:eastAsia="zh-CN"/>
        </w:rPr>
        <w:t>除中心城区泵站提升改造工程（重点一事一议支出）</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eastAsia="zh-CN"/>
        </w:rPr>
        <w:t>自评</w:t>
      </w:r>
      <w:r>
        <w:rPr>
          <w:rFonts w:hint="eastAsia" w:ascii="仿宋_GB2312" w:hAnsi="仿宋_GB2312" w:eastAsia="仿宋_GB2312" w:cs="仿宋_GB2312"/>
          <w:sz w:val="32"/>
          <w:szCs w:val="32"/>
          <w:highlight w:val="none"/>
          <w:lang w:val="en-US" w:eastAsia="zh-CN"/>
        </w:rPr>
        <w:t>88.20分，</w:t>
      </w:r>
      <w:r>
        <w:rPr>
          <w:rFonts w:hint="eastAsia" w:ascii="仿宋_GB2312" w:hAnsi="仿宋_GB2312" w:eastAsia="仿宋_GB2312" w:cs="仿宋_GB2312"/>
          <w:sz w:val="32"/>
          <w:szCs w:val="32"/>
          <w:highlight w:val="none"/>
        </w:rPr>
        <w:t>评价等级</w:t>
      </w:r>
      <w:r>
        <w:rPr>
          <w:rFonts w:hint="eastAsia" w:ascii="仿宋_GB2312" w:hAnsi="仿宋_GB2312" w:eastAsia="仿宋_GB2312" w:cs="仿宋_GB2312"/>
          <w:sz w:val="32"/>
          <w:szCs w:val="32"/>
          <w:highlight w:val="none"/>
          <w:lang w:eastAsia="zh-CN"/>
        </w:rPr>
        <w:t>均</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eastAsia="zh-CN"/>
        </w:rPr>
        <w:t>良</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外，其余</w:t>
      </w:r>
      <w:r>
        <w:rPr>
          <w:rFonts w:hint="eastAsia" w:ascii="仿宋_GB2312" w:hAnsi="仿宋_GB2312" w:eastAsia="仿宋_GB2312" w:cs="仿宋_GB2312"/>
          <w:sz w:val="32"/>
          <w:szCs w:val="32"/>
          <w:highlight w:val="none"/>
          <w:lang w:val="en-US" w:eastAsia="zh-CN"/>
        </w:rPr>
        <w:t>5个项目自评均90分以上，</w:t>
      </w:r>
      <w:r>
        <w:rPr>
          <w:rFonts w:hint="eastAsia" w:ascii="仿宋_GB2312" w:hAnsi="仿宋_GB2312" w:eastAsia="仿宋_GB2312" w:cs="仿宋_GB2312"/>
          <w:sz w:val="32"/>
          <w:szCs w:val="32"/>
          <w:highlight w:val="none"/>
        </w:rPr>
        <w:t>评价等级</w:t>
      </w:r>
      <w:r>
        <w:rPr>
          <w:rFonts w:hint="eastAsia" w:ascii="仿宋_GB2312" w:hAnsi="仿宋_GB2312" w:eastAsia="仿宋_GB2312" w:cs="仿宋_GB2312"/>
          <w:sz w:val="32"/>
          <w:szCs w:val="32"/>
          <w:highlight w:val="none"/>
          <w:lang w:eastAsia="zh-CN"/>
        </w:rPr>
        <w:t>均</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eastAsia="zh-CN"/>
        </w:rPr>
        <w:t>优</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，立交泵站、文峰隧道生产经费（城市运转维护支出）项目自评</w:t>
      </w:r>
      <w:r>
        <w:rPr>
          <w:rFonts w:hint="eastAsia" w:ascii="仿宋_GB2312" w:hAnsi="仿宋_GB2312" w:eastAsia="仿宋_GB2312" w:cs="仿宋_GB2312"/>
          <w:sz w:val="32"/>
          <w:szCs w:val="32"/>
          <w:highlight w:val="none"/>
          <w:lang w:val="en-US" w:eastAsia="zh-CN"/>
        </w:rPr>
        <w:t>100分，污水污泥运行处理运行维护费</w:t>
      </w:r>
      <w:r>
        <w:rPr>
          <w:rFonts w:hint="eastAsia" w:ascii="仿宋_GB2312" w:hAnsi="仿宋_GB2312" w:eastAsia="仿宋_GB2312" w:cs="仿宋_GB2312"/>
          <w:sz w:val="32"/>
          <w:szCs w:val="32"/>
          <w:highlight w:val="none"/>
          <w:lang w:eastAsia="zh-CN"/>
        </w:rPr>
        <w:t>（城市运转维护支出）</w:t>
      </w:r>
      <w:r>
        <w:rPr>
          <w:rFonts w:hint="eastAsia" w:ascii="仿宋_GB2312" w:hAnsi="仿宋_GB2312" w:eastAsia="仿宋_GB2312" w:cs="仿宋_GB2312"/>
          <w:sz w:val="32"/>
          <w:szCs w:val="32"/>
          <w:highlight w:val="none"/>
          <w:lang w:val="en-US" w:eastAsia="zh-CN"/>
        </w:rPr>
        <w:t>项目自评100分，公共供水水质、污水污泥检测费</w:t>
      </w:r>
      <w:r>
        <w:rPr>
          <w:rFonts w:hint="eastAsia" w:ascii="仿宋_GB2312" w:hAnsi="仿宋_GB2312" w:eastAsia="仿宋_GB2312" w:cs="仿宋_GB2312"/>
          <w:sz w:val="32"/>
          <w:szCs w:val="32"/>
          <w:highlight w:val="none"/>
          <w:lang w:eastAsia="zh-CN"/>
        </w:rPr>
        <w:t>（城市运转维护支出）</w:t>
      </w:r>
      <w:r>
        <w:rPr>
          <w:rFonts w:hint="eastAsia" w:ascii="仿宋_GB2312" w:hAnsi="仿宋_GB2312" w:eastAsia="仿宋_GB2312" w:cs="仿宋_GB2312"/>
          <w:sz w:val="32"/>
          <w:szCs w:val="32"/>
          <w:highlight w:val="none"/>
          <w:lang w:val="en-US" w:eastAsia="zh-CN"/>
        </w:rPr>
        <w:t>项目自评99.99分，市政排水特许作业费</w:t>
      </w:r>
      <w:r>
        <w:rPr>
          <w:rFonts w:hint="eastAsia" w:ascii="仿宋_GB2312" w:hAnsi="仿宋_GB2312" w:eastAsia="仿宋_GB2312" w:cs="仿宋_GB2312"/>
          <w:sz w:val="32"/>
          <w:szCs w:val="32"/>
          <w:highlight w:val="none"/>
          <w:lang w:eastAsia="zh-CN"/>
        </w:rPr>
        <w:t>（城市运转维护支出）</w:t>
      </w:r>
      <w:r>
        <w:rPr>
          <w:rFonts w:hint="eastAsia" w:ascii="仿宋_GB2312" w:hAnsi="仿宋_GB2312" w:eastAsia="仿宋_GB2312" w:cs="仿宋_GB2312"/>
          <w:sz w:val="32"/>
          <w:szCs w:val="32"/>
          <w:highlight w:val="none"/>
          <w:lang w:val="en-US" w:eastAsia="zh-CN"/>
        </w:rPr>
        <w:t>项目自评92.48分，</w:t>
      </w:r>
      <w:r>
        <w:rPr>
          <w:rFonts w:hint="eastAsia" w:ascii="仿宋_GB2312" w:hAnsi="仿宋_GB2312" w:eastAsia="仿宋_GB2312" w:cs="仿宋_GB2312"/>
          <w:sz w:val="32"/>
          <w:szCs w:val="32"/>
          <w:highlight w:val="none"/>
        </w:rPr>
        <w:t>泵站提升改造（重点一事一议支出）项目</w:t>
      </w:r>
      <w:r>
        <w:rPr>
          <w:rFonts w:hint="eastAsia" w:ascii="仿宋_GB2312" w:hAnsi="仿宋_GB2312" w:eastAsia="仿宋_GB2312" w:cs="仿宋_GB2312"/>
          <w:sz w:val="32"/>
          <w:szCs w:val="32"/>
          <w:highlight w:val="none"/>
          <w:lang w:eastAsia="zh-CN"/>
        </w:rPr>
        <w:t>自评</w:t>
      </w:r>
      <w:r>
        <w:rPr>
          <w:rFonts w:hint="eastAsia" w:ascii="仿宋_GB2312" w:hAnsi="仿宋_GB2312" w:eastAsia="仿宋_GB2312" w:cs="仿宋_GB2312"/>
          <w:sz w:val="32"/>
          <w:szCs w:val="32"/>
          <w:highlight w:val="none"/>
          <w:lang w:val="en-US" w:eastAsia="zh-CN"/>
        </w:rPr>
        <w:t>91.75分</w:t>
      </w:r>
      <w:r>
        <w:rPr>
          <w:rFonts w:hint="eastAsia" w:ascii="仿宋_GB2312" w:hAnsi="仿宋_GB2312" w:eastAsia="仿宋_GB2312" w:cs="仿宋_GB2312"/>
          <w:sz w:val="32"/>
          <w:szCs w:val="32"/>
          <w:highlight w:val="none"/>
          <w:lang w:eastAsia="zh-CN"/>
        </w:rPr>
        <w:t>。</w:t>
      </w:r>
    </w:p>
    <w:p>
      <w:pPr>
        <w:widowControl w:val="0"/>
        <w:wordWrap/>
        <w:adjustRightInd/>
        <w:snapToGrid/>
        <w:spacing w:before="0" w:after="0" w:line="580" w:lineRule="exact"/>
        <w:ind w:left="0" w:leftChars="0" w:right="0" w:firstLine="640" w:firstLineChars="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存在问题及原因：</w:t>
      </w:r>
      <w:r>
        <w:rPr>
          <w:rFonts w:hint="eastAsia" w:ascii="仿宋_GB2312" w:hAnsi="仿宋_GB2312" w:eastAsia="仿宋_GB2312" w:cs="仿宋_GB2312"/>
          <w:sz w:val="32"/>
          <w:szCs w:val="32"/>
          <w:highlight w:val="none"/>
        </w:rPr>
        <w:t>泵站提升改造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中心城区泵站提升改造工程、市政排水特许作业费3个</w:t>
      </w:r>
      <w:r>
        <w:rPr>
          <w:rFonts w:hint="eastAsia" w:ascii="仿宋_GB2312" w:hAnsi="仿宋_GB2312" w:eastAsia="仿宋_GB2312" w:cs="仿宋_GB2312"/>
          <w:sz w:val="32"/>
          <w:szCs w:val="32"/>
          <w:highlight w:val="none"/>
          <w:lang w:eastAsia="zh-CN"/>
        </w:rPr>
        <w:t>项目预算执行率低（</w:t>
      </w:r>
      <w:r>
        <w:rPr>
          <w:rFonts w:hint="eastAsia" w:ascii="仿宋_GB2312" w:hAnsi="仿宋_GB2312" w:eastAsia="仿宋_GB2312" w:cs="仿宋_GB2312"/>
          <w:sz w:val="32"/>
          <w:szCs w:val="32"/>
          <w:highlight w:val="none"/>
          <w:lang w:val="en-US" w:eastAsia="zh-CN"/>
        </w:rPr>
        <w:t>25%以下）</w:t>
      </w:r>
      <w:r>
        <w:rPr>
          <w:rFonts w:hint="eastAsia" w:ascii="仿宋_GB2312" w:hAnsi="仿宋_GB2312" w:eastAsia="仿宋_GB2312" w:cs="仿宋_GB2312"/>
          <w:sz w:val="32"/>
          <w:szCs w:val="32"/>
          <w:highlight w:val="none"/>
          <w:lang w:eastAsia="zh-CN"/>
        </w:rPr>
        <w:t>，原因是</w:t>
      </w:r>
      <w:r>
        <w:rPr>
          <w:rFonts w:hint="eastAsia" w:ascii="仿宋_GB2312" w:hAnsi="仿宋_GB2312" w:eastAsia="仿宋_GB2312" w:cs="仿宋_GB2312"/>
          <w:sz w:val="32"/>
          <w:szCs w:val="32"/>
          <w:highlight w:val="none"/>
        </w:rPr>
        <w:t>泵站提升改造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中心城区泵站提升改造工程</w:t>
      </w:r>
      <w:r>
        <w:rPr>
          <w:rFonts w:hint="eastAsia" w:ascii="仿宋_GB2312" w:hAnsi="仿宋_GB2312" w:eastAsia="仿宋_GB2312" w:cs="仿宋_GB2312"/>
          <w:sz w:val="32"/>
          <w:szCs w:val="32"/>
          <w:highlight w:val="none"/>
          <w:lang w:eastAsia="zh-CN"/>
        </w:rPr>
        <w:t>疫情影响，工程施工进度缓慢，另实际到位资金不足，且不满足支付条件，暂未支付；</w:t>
      </w:r>
      <w:r>
        <w:rPr>
          <w:rFonts w:hint="eastAsia" w:ascii="仿宋_GB2312" w:hAnsi="仿宋_GB2312" w:eastAsia="仿宋_GB2312" w:cs="仿宋_GB2312"/>
          <w:sz w:val="32"/>
          <w:szCs w:val="32"/>
          <w:highlight w:val="none"/>
          <w:lang w:val="en-US" w:eastAsia="zh-CN"/>
        </w:rPr>
        <w:t>市政排水特许作业费项目由于中标企业许昌市市政实业集团有限公司涉法律诉讼，所欠其工程款项被魏都区人民法院冻结，冻结期间，未经法院允许，不得对其支付。</w:t>
      </w:r>
    </w:p>
    <w:p>
      <w:pPr>
        <w:widowControl w:val="0"/>
        <w:wordWrap/>
        <w:adjustRightInd/>
        <w:snapToGrid/>
        <w:spacing w:before="0" w:after="0" w:line="580" w:lineRule="exact"/>
        <w:ind w:left="0" w:leftChars="0" w:right="0" w:firstLine="640" w:firstLineChars="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下一步改进措施：加快推进工程进度，早完工，早验收，争取项目资金按时到位，协调法院尽快解冻，实现资金拨付，提高预算执行率。</w:t>
      </w:r>
    </w:p>
    <w:p>
      <w:pPr>
        <w:widowControl/>
        <w:jc w:val="left"/>
        <w:rPr>
          <w:rFonts w:hint="eastAsia" w:ascii="楷体_GB2312" w:hAnsi="楷体_GB2312" w:eastAsia="楷体_GB2312" w:cs="楷体_GB2312"/>
          <w:sz w:val="32"/>
          <w:szCs w:val="32"/>
          <w:highlight w:val="none"/>
        </w:rPr>
        <w:sectPr>
          <w:pgSz w:w="11906" w:h="16838"/>
          <w:pgMar w:top="1440" w:right="1800" w:bottom="1440" w:left="180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tbl>
      <w:tblPr>
        <w:tblW w:w="15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
        <w:gridCol w:w="2055"/>
        <w:gridCol w:w="2460"/>
        <w:gridCol w:w="893"/>
        <w:gridCol w:w="1042"/>
        <w:gridCol w:w="1043"/>
        <w:gridCol w:w="1042"/>
        <w:gridCol w:w="1043"/>
        <w:gridCol w:w="1043"/>
        <w:gridCol w:w="1042"/>
        <w:gridCol w:w="1044"/>
        <w:gridCol w:w="1044"/>
        <w:gridCol w:w="1067"/>
      </w:tblGrid>
      <w:tr>
        <w:trPr>
          <w:trHeight w:val="637" w:hRule="atLeast"/>
        </w:trPr>
        <w:tc>
          <w:tcPr>
            <w:tcW w:w="15400" w:type="dxa"/>
            <w:gridSpan w:val="13"/>
            <w:tcBorders>
              <w:top w:val="nil"/>
              <w:left w:val="nil"/>
              <w:bottom w:val="nil"/>
              <w:right w:val="nil"/>
            </w:tcBorders>
            <w:vAlign w:val="center"/>
          </w:tcPr>
          <w:p>
            <w:pPr>
              <w:widowControl/>
              <w:jc w:val="center"/>
              <w:textAlignment w:val="center"/>
              <w:rPr>
                <w:rFonts w:hint="eastAsia" w:ascii="宋体" w:hAnsi="宋体" w:eastAsia="宋体" w:cs="宋体"/>
                <w:b/>
                <w:bCs/>
                <w:i w:val="0"/>
                <w:iCs w:val="0"/>
                <w:color w:val="000000"/>
                <w:sz w:val="38"/>
                <w:szCs w:val="38"/>
                <w:highlight w:val="none"/>
                <w:u w:val="none"/>
              </w:rPr>
            </w:pPr>
            <w:r>
              <w:rPr>
                <w:rFonts w:hint="eastAsia" w:ascii="宋体" w:hAnsi="宋体" w:eastAsia="宋体" w:cs="宋体"/>
                <w:b/>
                <w:bCs/>
                <w:i w:val="0"/>
                <w:iCs w:val="0"/>
                <w:color w:val="000000"/>
                <w:kern w:val="0"/>
                <w:sz w:val="38"/>
                <w:szCs w:val="38"/>
                <w:highlight w:val="none"/>
                <w:u w:val="none"/>
                <w:lang w:val="en-US" w:eastAsia="zh-CN"/>
              </w:rPr>
              <w:t>项目自评汇总表</w:t>
            </w:r>
          </w:p>
        </w:tc>
      </w:tr>
      <w:tr>
        <w:trPr>
          <w:trHeight w:val="318" w:hRule="atLeast"/>
        </w:trPr>
        <w:tc>
          <w:tcPr>
            <w:tcW w:w="15400" w:type="dxa"/>
            <w:gridSpan w:val="13"/>
            <w:tcBorders>
              <w:top w:val="nil"/>
              <w:left w:val="nil"/>
              <w:bottom w:val="nil"/>
              <w:right w:val="nil"/>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单位：万元</w:t>
            </w:r>
          </w:p>
        </w:tc>
      </w:tr>
      <w:tr>
        <w:trPr>
          <w:trHeight w:val="98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rPr>
              <w:t>序号</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rPr>
              <w:t>单位名称</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rPr>
              <w:t>项目名称</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rPr>
              <w:t>全年预算数</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rPr>
              <w:t>全年执行数</w:t>
            </w:r>
          </w:p>
        </w:tc>
        <w:tc>
          <w:tcPr>
            <w:tcW w:w="10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rPr>
              <w:t>预算执行率</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rPr>
              <w:t>资金管理情况得分率</w:t>
            </w:r>
          </w:p>
        </w:tc>
        <w:tc>
          <w:tcPr>
            <w:tcW w:w="10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rPr>
              <w:t>成本指标得分率</w:t>
            </w:r>
          </w:p>
        </w:tc>
        <w:tc>
          <w:tcPr>
            <w:tcW w:w="10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rPr>
              <w:t>产出指标得分率</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rPr>
              <w:t>效益指标得分率</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rPr>
              <w:t>满意度指标得分率</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rPr>
              <w:t>自评得分</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rPr>
              <w:t>是否有偏差项目</w:t>
            </w:r>
          </w:p>
        </w:tc>
      </w:tr>
      <w:tr>
        <w:trPr>
          <w:trHeight w:val="353"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w:t>
            </w:r>
          </w:p>
        </w:tc>
        <w:tc>
          <w:tcPr>
            <w:tcW w:w="205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eastAsia="zh-CN"/>
              </w:rPr>
              <w:t>许昌市供排水监管中心</w:t>
            </w:r>
          </w:p>
        </w:tc>
        <w:tc>
          <w:tcPr>
            <w:tcW w:w="246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eastAsia="zh-CN"/>
              </w:rPr>
              <w:t>立交泵站、文峰隧道生产经费（城市运转维护支出）</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125</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125</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100%</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100%</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100%</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100%</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100%</w:t>
            </w: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100%</w:t>
            </w: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100</w:t>
            </w: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eastAsia="zh-CN"/>
              </w:rPr>
              <w:t>否</w:t>
            </w:r>
          </w:p>
        </w:tc>
      </w:tr>
      <w:tr>
        <w:trPr>
          <w:trHeight w:val="353"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w:t>
            </w:r>
          </w:p>
        </w:tc>
        <w:tc>
          <w:tcPr>
            <w:tcW w:w="205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eastAsia="zh-CN"/>
              </w:rPr>
              <w:t>许昌市供排水监管中心</w:t>
            </w:r>
          </w:p>
        </w:tc>
        <w:tc>
          <w:tcPr>
            <w:tcW w:w="246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eastAsia="zh-CN"/>
              </w:rPr>
              <w:t>污水污泥运行处理系统运行维护费（城市运转维护支出</w:t>
            </w:r>
            <w:r>
              <w:rPr>
                <w:rFonts w:hint="eastAsia"/>
              </w:rPr>
              <w:t>）</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8</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8</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eastAsia="zh-CN"/>
              </w:rPr>
              <w:t>否</w:t>
            </w:r>
          </w:p>
        </w:tc>
      </w:tr>
      <w:tr>
        <w:trPr>
          <w:trHeight w:val="353"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w:t>
            </w:r>
          </w:p>
        </w:tc>
        <w:tc>
          <w:tcPr>
            <w:tcW w:w="205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eastAsia="zh-CN"/>
              </w:rPr>
              <w:t>许昌市供排水监管中心</w:t>
            </w:r>
          </w:p>
        </w:tc>
        <w:tc>
          <w:tcPr>
            <w:tcW w:w="246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val="en-US" w:eastAsia="zh-CN"/>
              </w:rPr>
              <w:t>公共供水水质、污水污泥检测费</w:t>
            </w:r>
            <w:r>
              <w:rPr>
                <w:rFonts w:hint="eastAsia" w:ascii="宋体" w:hAnsi="宋体" w:cs="宋体"/>
                <w:i w:val="0"/>
                <w:iCs w:val="0"/>
                <w:color w:val="000000"/>
                <w:sz w:val="18"/>
                <w:szCs w:val="18"/>
                <w:highlight w:val="none"/>
                <w:u w:val="none"/>
                <w:lang w:eastAsia="zh-CN"/>
              </w:rPr>
              <w:t>（城市运转维护支出</w:t>
            </w:r>
            <w:r>
              <w:rPr>
                <w:rFonts w:hint="eastAsia"/>
              </w:rPr>
              <w:t>）</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15</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14.98</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99.87%</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100%</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99.99</w:t>
            </w: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eastAsia="zh-CN"/>
              </w:rPr>
              <w:t>否</w:t>
            </w:r>
          </w:p>
        </w:tc>
      </w:tr>
      <w:tr>
        <w:trPr>
          <w:trHeight w:val="353"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w:t>
            </w:r>
          </w:p>
        </w:tc>
        <w:tc>
          <w:tcPr>
            <w:tcW w:w="205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eastAsia="zh-CN"/>
              </w:rPr>
              <w:t>许昌市供排水监管中心</w:t>
            </w:r>
          </w:p>
        </w:tc>
        <w:tc>
          <w:tcPr>
            <w:tcW w:w="246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eastAsia="zh-CN"/>
              </w:rPr>
              <w:t>市政排水特许作业费（城市运转维护支出</w:t>
            </w:r>
            <w:r>
              <w:rPr>
                <w:rFonts w:hint="eastAsia"/>
              </w:rPr>
              <w:t>）</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456.46</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113</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24.76%</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92.48</w:t>
            </w: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eastAsia="zh-CN"/>
              </w:rPr>
              <w:t>否</w:t>
            </w:r>
          </w:p>
        </w:tc>
      </w:tr>
      <w:tr>
        <w:trPr>
          <w:trHeight w:val="353"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w:t>
            </w:r>
          </w:p>
        </w:tc>
        <w:tc>
          <w:tcPr>
            <w:tcW w:w="205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eastAsia="zh-CN"/>
              </w:rPr>
              <w:t>许昌市供排水监管中心</w:t>
            </w:r>
          </w:p>
        </w:tc>
        <w:tc>
          <w:tcPr>
            <w:tcW w:w="246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eastAsia="zh-CN"/>
              </w:rPr>
              <w:t>泵站提升改造项目（重点一事一议支出）</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462</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81</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17.53%</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100%</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91.75</w:t>
            </w: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eastAsia="zh-CN"/>
              </w:rPr>
              <w:t>否</w:t>
            </w:r>
          </w:p>
        </w:tc>
      </w:tr>
      <w:tr>
        <w:trPr>
          <w:trHeight w:val="353"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6</w:t>
            </w:r>
          </w:p>
        </w:tc>
        <w:tc>
          <w:tcPr>
            <w:tcW w:w="205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eastAsia="zh-CN"/>
              </w:rPr>
              <w:t>许昌市供排水监管中心</w:t>
            </w:r>
          </w:p>
        </w:tc>
        <w:tc>
          <w:tcPr>
            <w:tcW w:w="246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eastAsia="zh-CN"/>
              </w:rPr>
              <w:t>中心城区泵站提升改造工程（重点一事一议支出）</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600</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42.03</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7.01%</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90%</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98.33%</w:t>
            </w: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100%</w:t>
            </w: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val="en-US" w:eastAsia="zh-CN"/>
              </w:rPr>
              <w:t>88.2</w:t>
            </w: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sz w:val="18"/>
                <w:szCs w:val="18"/>
                <w:highlight w:val="none"/>
                <w:u w:val="none"/>
                <w:lang w:eastAsia="zh-CN"/>
              </w:rPr>
              <w:t>是</w:t>
            </w:r>
          </w:p>
        </w:tc>
      </w:tr>
      <w:tr>
        <w:trPr>
          <w:trHeight w:val="353"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w:t>
            </w:r>
          </w:p>
        </w:tc>
        <w:tc>
          <w:tcPr>
            <w:tcW w:w="205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r>
      <w:tr>
        <w:trPr>
          <w:trHeight w:val="353"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8</w:t>
            </w:r>
          </w:p>
        </w:tc>
        <w:tc>
          <w:tcPr>
            <w:tcW w:w="205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r>
      <w:tr>
        <w:trPr>
          <w:trHeight w:val="353"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9</w:t>
            </w:r>
          </w:p>
        </w:tc>
        <w:tc>
          <w:tcPr>
            <w:tcW w:w="205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r>
      <w:tr>
        <w:trPr>
          <w:trHeight w:val="392"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w:t>
            </w:r>
          </w:p>
        </w:tc>
        <w:tc>
          <w:tcPr>
            <w:tcW w:w="205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2"/>
                <w:szCs w:val="22"/>
                <w:highlight w:val="none"/>
                <w:u w:val="none"/>
              </w:rPr>
            </w:pPr>
          </w:p>
        </w:tc>
      </w:tr>
      <w:tr>
        <w:trPr>
          <w:trHeight w:val="392"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2"/>
                <w:szCs w:val="22"/>
                <w:highlight w:val="none"/>
                <w:u w:val="none"/>
                <w:lang w:val="en-US" w:eastAsia="zh-CN"/>
              </w:rPr>
            </w:pPr>
          </w:p>
        </w:tc>
        <w:tc>
          <w:tcPr>
            <w:tcW w:w="205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2"/>
                <w:szCs w:val="22"/>
                <w:highlight w:val="none"/>
                <w:u w:val="none"/>
              </w:rPr>
            </w:pPr>
          </w:p>
        </w:tc>
      </w:tr>
      <w:tr>
        <w:trPr>
          <w:trHeight w:val="392"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2"/>
                <w:szCs w:val="22"/>
                <w:highlight w:val="none"/>
                <w:u w:val="none"/>
                <w:lang w:val="en-US" w:eastAsia="zh-CN"/>
              </w:rPr>
            </w:pPr>
          </w:p>
        </w:tc>
        <w:tc>
          <w:tcPr>
            <w:tcW w:w="205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2"/>
                <w:szCs w:val="22"/>
                <w:highlight w:val="none"/>
                <w:u w:val="none"/>
              </w:rPr>
            </w:pPr>
          </w:p>
        </w:tc>
      </w:tr>
      <w:tr>
        <w:trPr>
          <w:trHeight w:val="392"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2"/>
                <w:szCs w:val="22"/>
                <w:highlight w:val="none"/>
                <w:u w:val="none"/>
                <w:lang w:val="en-US" w:eastAsia="zh-CN"/>
              </w:rPr>
            </w:pPr>
          </w:p>
        </w:tc>
        <w:tc>
          <w:tcPr>
            <w:tcW w:w="205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18"/>
                <w:szCs w:val="18"/>
                <w:highlight w:val="none"/>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highlight w:val="none"/>
                <w:u w:val="none"/>
              </w:rPr>
            </w:pPr>
          </w:p>
        </w:tc>
        <w:tc>
          <w:tcPr>
            <w:tcW w:w="10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2"/>
                <w:szCs w:val="22"/>
                <w:highlight w:val="none"/>
                <w:u w:val="none"/>
              </w:rPr>
            </w:pPr>
          </w:p>
        </w:tc>
      </w:tr>
    </w:tbl>
    <w:p>
      <w:pPr>
        <w:widowControl/>
        <w:jc w:val="left"/>
        <w:rPr>
          <w:rFonts w:hint="eastAsia" w:ascii="楷体_GB2312" w:hAnsi="楷体_GB2312" w:eastAsia="楷体_GB2312" w:cs="楷体_GB2312"/>
          <w:sz w:val="32"/>
          <w:szCs w:val="32"/>
          <w:highlight w:val="none"/>
        </w:rPr>
        <w:sectPr>
          <w:pgSz w:w="16838" w:h="11906" w:orient="landscape"/>
          <w:pgMar w:top="720" w:right="720" w:bottom="720" w:left="72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rPr>
          <w:rFonts w:hint="eastAsia" w:ascii="黑体" w:hAnsi="黑体" w:eastAsia="黑体" w:cs="黑体"/>
          <w:sz w:val="48"/>
          <w:szCs w:val="48"/>
          <w:highlight w:val="none"/>
        </w:rPr>
      </w:pPr>
    </w:p>
    <w:p>
      <w:pPr>
        <w:jc w:val="center"/>
        <w:rPr>
          <w:rFonts w:hint="eastAsia" w:ascii="黑体" w:hAnsi="黑体" w:eastAsia="黑体" w:cs="黑体"/>
          <w:sz w:val="48"/>
          <w:szCs w:val="48"/>
          <w:highlight w:val="none"/>
        </w:rPr>
      </w:pPr>
    </w:p>
    <w:p>
      <w:pPr>
        <w:jc w:val="center"/>
        <w:rPr>
          <w:rFonts w:hint="eastAsia" w:ascii="黑体" w:hAnsi="黑体" w:eastAsia="黑体" w:cs="黑体"/>
          <w:sz w:val="48"/>
          <w:szCs w:val="48"/>
          <w:highlight w:val="none"/>
        </w:rPr>
      </w:pPr>
    </w:p>
    <w:p>
      <w:pPr>
        <w:jc w:val="center"/>
        <w:rPr>
          <w:rFonts w:hint="eastAsia" w:ascii="黑体" w:hAnsi="黑体" w:eastAsia="黑体" w:cs="黑体"/>
          <w:sz w:val="48"/>
          <w:szCs w:val="48"/>
          <w:highlight w:val="none"/>
        </w:rPr>
      </w:pP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7"/>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从同级政府财政</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从主管</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和上级</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上缴收入：事业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取得附属独立核算</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取得的除“财政拨款收入”、“事业收入”、“上级补助收入”、“附属</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上缴收入”、“经营收入”以外的各项收入。</w:t>
      </w:r>
    </w:p>
    <w:p>
      <w:pPr>
        <w:widowControl/>
        <w:spacing w:line="59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w:t>
      </w:r>
      <w:r>
        <w:rPr>
          <w:rFonts w:ascii="仿宋_GB2312" w:hAnsi="仿宋_GB2312" w:eastAsia="仿宋_GB2312" w:cs="仿宋_GB2312"/>
          <w:sz w:val="32"/>
          <w:szCs w:val="32"/>
          <w:highlight w:val="none"/>
        </w:rPr>
        <w:t>年初结转和结余：指</w:t>
      </w:r>
      <w:r>
        <w:rPr>
          <w:rFonts w:hint="eastAsia" w:ascii="仿宋_GB2312" w:hAnsi="仿宋_GB2312" w:eastAsia="仿宋_GB2312" w:cs="仿宋_GB2312"/>
          <w:sz w:val="32"/>
          <w:szCs w:val="32"/>
          <w:highlight w:val="none"/>
          <w:lang w:eastAsia="zh-CN"/>
        </w:rPr>
        <w:t>单位</w:t>
      </w:r>
      <w:r>
        <w:rPr>
          <w:rFonts w:ascii="仿宋_GB2312" w:hAnsi="仿宋_GB2312" w:eastAsia="仿宋_GB2312" w:cs="仿宋_GB2312"/>
          <w:sz w:val="32"/>
          <w:szCs w:val="32"/>
          <w:highlight w:val="none"/>
        </w:rPr>
        <w:t>以前年度尚未完成、结转到本年仍按原规定用途继续使用的资金，或项目已完成等产生的结余资金。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w:t>
      </w:r>
      <w:r>
        <w:rPr>
          <w:rFonts w:ascii="仿宋_GB2312" w:hAnsi="仿宋_GB2312" w:eastAsia="仿宋_GB2312" w:cs="仿宋_GB2312"/>
          <w:sz w:val="32"/>
          <w:szCs w:val="32"/>
          <w:highlight w:val="none"/>
        </w:rPr>
        <w:t>、经营支出：指事业</w:t>
      </w:r>
      <w:r>
        <w:rPr>
          <w:rFonts w:hint="eastAsia" w:ascii="仿宋_GB2312" w:hAnsi="仿宋_GB2312" w:eastAsia="仿宋_GB2312" w:cs="仿宋_GB2312"/>
          <w:sz w:val="32"/>
          <w:szCs w:val="32"/>
          <w:highlight w:val="none"/>
          <w:lang w:eastAsia="zh-CN"/>
        </w:rPr>
        <w:t>单位</w:t>
      </w:r>
      <w:r>
        <w:rPr>
          <w:rFonts w:ascii="仿宋_GB2312" w:hAnsi="仿宋_GB2312" w:eastAsia="仿宋_GB2312" w:cs="仿宋_GB2312"/>
          <w:sz w:val="32"/>
          <w:szCs w:val="32"/>
          <w:highlight w:val="none"/>
        </w:rPr>
        <w:t>在专业业务活动及其辅助活动之外开展非独立核算经营活动发生的支出。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购买商品和服务的支出。</w:t>
      </w:r>
    </w:p>
    <w:p>
      <w:pPr>
        <w:widowControl/>
        <w:spacing w:line="59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w:t>
      </w:r>
      <w:r>
        <w:rPr>
          <w:rFonts w:ascii="仿宋_GB2312" w:hAnsi="仿宋_GB2312" w:eastAsia="仿宋_GB2312" w:cs="仿宋_GB2312"/>
          <w:sz w:val="32"/>
          <w:szCs w:val="32"/>
          <w:highlight w:val="none"/>
        </w:rPr>
        <w:t>结余分配：指事业</w:t>
      </w:r>
      <w:r>
        <w:rPr>
          <w:rFonts w:hint="eastAsia" w:ascii="仿宋_GB2312" w:hAnsi="仿宋_GB2312" w:eastAsia="仿宋_GB2312" w:cs="仿宋_GB2312"/>
          <w:sz w:val="32"/>
          <w:szCs w:val="32"/>
          <w:highlight w:val="none"/>
          <w:lang w:eastAsia="zh-CN"/>
        </w:rPr>
        <w:t>单位</w:t>
      </w:r>
      <w:r>
        <w:rPr>
          <w:rFonts w:ascii="仿宋_GB2312" w:hAnsi="仿宋_GB2312" w:eastAsia="仿宋_GB2312" w:cs="仿宋_GB2312"/>
          <w:sz w:val="32"/>
          <w:szCs w:val="32"/>
          <w:highlight w:val="none"/>
        </w:rPr>
        <w:t>按照会计制度规定缴纳的所得税、提取的专用结余以及转入非财政拨款结余的金额等。</w:t>
      </w:r>
    </w:p>
    <w:p>
      <w:pPr>
        <w:widowControl/>
        <w:spacing w:line="59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十六、年末结转和</w:t>
      </w:r>
      <w:r>
        <w:rPr>
          <w:rFonts w:ascii="仿宋_GB2312" w:hAnsi="仿宋_GB2312" w:eastAsia="仿宋_GB2312" w:cs="仿宋_GB2312"/>
          <w:sz w:val="32"/>
          <w:szCs w:val="32"/>
          <w:highlight w:val="none"/>
        </w:rPr>
        <w:t>结余</w:t>
      </w:r>
      <w:r>
        <w:rPr>
          <w:rFonts w:hint="eastAsia" w:ascii="仿宋_GB2312" w:hAnsi="仿宋_GB2312" w:eastAsia="仿宋_GB2312" w:cs="仿宋_GB2312"/>
          <w:sz w:val="32"/>
          <w:szCs w:val="32"/>
          <w:highlight w:val="none"/>
        </w:rPr>
        <w:t>：指</w:t>
      </w:r>
      <w:r>
        <w:rPr>
          <w:rFonts w:hint="eastAsia" w:ascii="仿宋_GB2312" w:hAnsi="仿宋_GB2312" w:eastAsia="仿宋_GB2312" w:cs="仿宋_GB2312"/>
          <w:sz w:val="32"/>
          <w:szCs w:val="32"/>
          <w:highlight w:val="none"/>
          <w:lang w:eastAsia="zh-CN"/>
        </w:rPr>
        <w:t>单位</w:t>
      </w:r>
      <w:r>
        <w:rPr>
          <w:rFonts w:ascii="仿宋_GB2312" w:hAnsi="仿宋_GB2312" w:eastAsia="仿宋_GB2312" w:cs="仿宋_GB2312"/>
          <w:sz w:val="32"/>
          <w:szCs w:val="32"/>
          <w:highlight w:val="none"/>
        </w:rPr>
        <w:t>按有关规定结转到下年或以后年度</w:t>
      </w:r>
      <w:r>
        <w:rPr>
          <w:rFonts w:hint="eastAsia" w:ascii="仿宋_GB2312" w:hAnsi="仿宋_GB2312" w:eastAsia="仿宋_GB2312" w:cs="仿宋_GB2312"/>
          <w:sz w:val="32"/>
          <w:szCs w:val="32"/>
          <w:highlight w:val="none"/>
        </w:rPr>
        <w:t>继续</w:t>
      </w:r>
      <w:r>
        <w:rPr>
          <w:rFonts w:ascii="仿宋_GB2312" w:hAnsi="仿宋_GB2312" w:eastAsia="仿宋_GB2312" w:cs="仿宋_GB2312"/>
          <w:sz w:val="32"/>
          <w:szCs w:val="32"/>
          <w:highlight w:val="none"/>
        </w:rPr>
        <w:t>使用的资金，或项目已完成等产生的结余资金。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十七、“三公”经费：纳入同级财政预决算管理“三公”经费，指</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使用财政拨款安排的因公出国（境）费、公务用车购置及运行费和公务接待费。其中，因公出国（境）费反映</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公务出国（境）的国际旅费、国外城市间交通费、住宿费、伙食费、培训费、公杂费等支出；公务用车购置及运行费反映</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公务用车车辆购置支出（含车辆购置税）及租用费、燃料费、维修费、过路过桥费、保险费、安全奖励费用等支出；公务接待费反映</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十八、机关运行经费：为保障行政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（含参照公务员法管理的事业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2" w:firstLineChars="200"/>
        <w:jc w:val="left"/>
        <w:rPr>
          <w:rFonts w:hint="eastAsia" w:ascii="仿宋_GB2312" w:hAnsi="仿宋_GB2312" w:eastAsia="仿宋_GB2312" w:cs="仿宋_GB2312"/>
          <w:b/>
          <w:sz w:val="32"/>
          <w:szCs w:val="32"/>
          <w:highlight w:val="none"/>
        </w:rPr>
      </w:pPr>
    </w:p>
    <w:sectPr>
      <w:pgSz w:w="11906" w:h="16838"/>
      <w:pgMar w:top="1928" w:right="1474" w:bottom="1701" w:left="1588"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Nimbus Roman No9 L">
    <w:altName w:val="hakuyoxingshu7000"/>
    <w:panose1 w:val="00000000000000000000"/>
    <w:charset w:val="00"/>
    <w:family w:val="auto"/>
    <w:pitch w:val="default"/>
    <w:sig w:usb0="00000000" w:usb1="00000000" w:usb2="00000000" w:usb3="00000000" w:csb0="00040001" w:csb1="00000000"/>
  </w:font>
  <w:font w:name="Calibri">
    <w:panose1 w:val="020F0502020204030204"/>
    <w:charset w:val="00"/>
    <w:family w:val="auto"/>
    <w:pitch w:val="default"/>
    <w:sig w:usb0="E00002FF" w:usb1="4000ACFF" w:usb2="00000001" w:usb3="00000000" w:csb0="2000019F" w:csb1="00000000"/>
  </w:font>
  <w:font w:name="DejaVu Sans">
    <w:altName w:val="Segoe Print"/>
    <w:panose1 w:val="020B0603030804020204"/>
    <w:charset w:val="00"/>
    <w:family w:val="auto"/>
    <w:pitch w:val="default"/>
    <w:sig w:usb0="E7006EFF" w:usb1="D200FDFF" w:usb2="0A246029" w:usb3="0400200C" w:csb0="600001FF" w:csb1="DFFF0000"/>
  </w:font>
  <w:font w:name="方正书宋_GBK">
    <w:altName w:val="宋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汉仪中宋简">
    <w:altName w:val="宋体"/>
    <w:panose1 w:val="02010600000101010101"/>
    <w:charset w:val="86"/>
    <w:family w:val="auto"/>
    <w:pitch w:val="default"/>
    <w:sig w:usb0="00000001" w:usb1="080E0800" w:usb2="00000002" w:usb3="00000000" w:csb0="00040000" w:csb1="00000000"/>
  </w:font>
  <w:font w:name="hakuyoxingshu7000">
    <w:panose1 w:val="02000600000000000000"/>
    <w:charset w:val="86"/>
    <w:family w:val="auto"/>
    <w:pitch w:val="default"/>
    <w:sig w:usb0="FFFFFFFF" w:usb1="E9FFFFFF" w:usb2="0000003F" w:usb3="00000000" w:csb0="603F00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rect id="文本框 6" o:spid="_x0000_s102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1026"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rect id="文本框 7"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536985951">
    <w:nsid w:val="D2D21F5F"/>
    <w:multiLevelType w:val="singleLevel"/>
    <w:tmpl w:val="D2D21F5F"/>
    <w:lvl w:ilvl="0" w:tentative="1">
      <w:start w:val="2"/>
      <w:numFmt w:val="chineseCounting"/>
      <w:suff w:val="space"/>
      <w:lvlText w:val="第%1部分"/>
      <w:lvlJc w:val="left"/>
      <w:rPr>
        <w:rFonts w:hint="eastAsia"/>
      </w:rPr>
    </w:lvl>
  </w:abstractNum>
  <w:abstractNum w:abstractNumId="1500626455">
    <w:nsid w:val="5971BE17"/>
    <w:multiLevelType w:val="singleLevel"/>
    <w:tmpl w:val="5971BE17"/>
    <w:lvl w:ilvl="0" w:tentative="1">
      <w:start w:val="1"/>
      <w:numFmt w:val="chineseCounting"/>
      <w:suff w:val="nothing"/>
      <w:lvlText w:val="%1、"/>
      <w:lvlJc w:val="left"/>
    </w:lvl>
  </w:abstractNum>
  <w:abstractNum w:abstractNumId="3708086069">
    <w:nsid w:val="DD04E735"/>
    <w:multiLevelType w:val="singleLevel"/>
    <w:tmpl w:val="DD04E735"/>
    <w:lvl w:ilvl="0" w:tentative="1">
      <w:start w:val="1"/>
      <w:numFmt w:val="chineseCounting"/>
      <w:suff w:val="nothing"/>
      <w:lvlText w:val="%1、"/>
      <w:lvlJc w:val="left"/>
      <w:rPr>
        <w:rFonts w:hint="eastAsia"/>
      </w:rPr>
    </w:lvl>
  </w:abstractNum>
  <w:num w:numId="1">
    <w:abstractNumId w:val="1500626455"/>
  </w:num>
  <w:num w:numId="2">
    <w:abstractNumId w:val="3708086069"/>
  </w:num>
  <w:num w:numId="3">
    <w:abstractNumId w:val="35369859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qFormat/>
    <w:uiPriority w:val="99"/>
    <w:rPr>
      <w:color w:val="800080"/>
      <w:u w:val="single"/>
    </w:rPr>
  </w:style>
  <w:style w:type="character" w:styleId="7">
    <w:name w:val="Hyperlink"/>
    <w:unhideWhenUsed/>
    <w:qFormat/>
    <w:uiPriority w:val="99"/>
    <w:rPr>
      <w:color w:val="0000FF"/>
      <w:u w:val="single"/>
    </w:rPr>
  </w:style>
  <w:style w:type="character" w:customStyle="1" w:styleId="8">
    <w:name w:val="批注框文本 Char Char"/>
    <w:link w:val="2"/>
    <w:uiPriority w:val="99"/>
    <w:rPr>
      <w:kern w:val="2"/>
      <w:sz w:val="18"/>
      <w:szCs w:val="18"/>
    </w:rPr>
  </w:style>
  <w:style w:type="character" w:customStyle="1" w:styleId="9">
    <w:name w:val="页脚 Char Char"/>
    <w:link w:val="3"/>
    <w:uiPriority w:val="99"/>
    <w:rPr>
      <w:kern w:val="2"/>
      <w:sz w:val="18"/>
      <w:szCs w:val="18"/>
    </w:rPr>
  </w:style>
  <w:style w:type="character" w:customStyle="1" w:styleId="10">
    <w:name w:val="页眉 Char Char"/>
    <w:link w:val="4"/>
    <w:uiPriority w:val="99"/>
    <w:rPr>
      <w:kern w:val="2"/>
      <w:sz w:val="18"/>
      <w:szCs w:val="18"/>
    </w:rPr>
  </w:style>
  <w:style w:type="character" w:customStyle="1" w:styleId="11">
    <w:name w:val="font01"/>
    <w:qFormat/>
    <w:uiPriority w:val="0"/>
    <w:rPr>
      <w:rFonts w:hint="eastAsia" w:ascii="宋体" w:hAnsi="宋体" w:eastAsia="宋体" w:cs="宋体"/>
      <w:color w:val="000000"/>
      <w:sz w:val="22"/>
      <w:szCs w:val="22"/>
      <w:u w:val="none"/>
    </w:rPr>
  </w:style>
  <w:style w:type="character" w:customStyle="1" w:styleId="12">
    <w:name w:val="font21"/>
    <w:qFormat/>
    <w:uiPriority w:val="0"/>
    <w:rPr>
      <w:rFonts w:hint="eastAsia" w:ascii="宋体" w:hAnsi="宋体" w:eastAsia="宋体" w:cs="宋体"/>
      <w:color w:val="000000"/>
      <w:sz w:val="22"/>
      <w:szCs w:val="22"/>
      <w:u w:val="none"/>
    </w:rPr>
  </w:style>
  <w:style w:type="character" w:customStyle="1" w:styleId="13">
    <w:name w:val="font51"/>
    <w:qFormat/>
    <w:uiPriority w:val="0"/>
    <w:rPr>
      <w:rFonts w:hint="eastAsia" w:ascii="宋体" w:hAnsi="宋体" w:eastAsia="宋体" w:cs="宋体"/>
      <w:color w:val="000000"/>
      <w:sz w:val="24"/>
      <w:szCs w:val="24"/>
      <w:u w:val="none"/>
    </w:rPr>
  </w:style>
  <w:style w:type="character" w:customStyle="1" w:styleId="14">
    <w:name w:val="font11"/>
    <w:qFormat/>
    <w:uiPriority w:val="0"/>
    <w:rPr>
      <w:rFonts w:hint="eastAsia" w:ascii="宋体" w:hAnsi="宋体" w:eastAsia="宋体" w:cs="宋体"/>
      <w:color w:val="000000"/>
      <w:sz w:val="20"/>
      <w:szCs w:val="20"/>
      <w:u w:val="none"/>
    </w:rPr>
  </w:style>
  <w:style w:type="character" w:customStyle="1" w:styleId="15">
    <w:name w:val="font41"/>
    <w:qFormat/>
    <w:uiPriority w:val="0"/>
    <w:rPr>
      <w:rFonts w:hint="eastAsia" w:ascii="宋体" w:hAnsi="宋体" w:eastAsia="宋体" w:cs="宋体"/>
      <w:color w:val="000000"/>
      <w:sz w:val="24"/>
      <w:szCs w:val="24"/>
      <w:u w:val="none"/>
    </w:rPr>
  </w:style>
  <w:style w:type="character" w:customStyle="1" w:styleId="16">
    <w:name w:val="font31"/>
    <w:basedOn w:val="5"/>
    <w:qFormat/>
    <w:uiPriority w:val="0"/>
    <w:rPr>
      <w:rFonts w:hint="eastAsia" w:ascii="黑体" w:hAnsi="宋体" w:eastAsia="黑体" w:cs="黑体"/>
      <w:color w:val="000000"/>
      <w:sz w:val="20"/>
      <w:szCs w:val="20"/>
      <w:u w:val="none"/>
    </w:rPr>
  </w:style>
  <w:style w:type="character" w:customStyle="1" w:styleId="17">
    <w:name w:val="font61"/>
    <w:basedOn w:val="5"/>
    <w:qFormat/>
    <w:uiPriority w:val="0"/>
    <w:rPr>
      <w:rFonts w:hint="eastAsia" w:ascii="黑体" w:hAnsi="宋体" w:eastAsia="黑体" w:cs="黑体"/>
      <w:color w:val="000000"/>
      <w:sz w:val="20"/>
      <w:szCs w:val="20"/>
      <w:u w:val="none"/>
    </w:rPr>
  </w:style>
  <w:style w:type="character" w:customStyle="1" w:styleId="18">
    <w:name w:val="font81"/>
    <w:basedOn w:val="5"/>
    <w:qFormat/>
    <w:uiPriority w:val="0"/>
    <w:rPr>
      <w:rFonts w:hint="eastAsia" w:ascii="黑体" w:hAnsi="宋体" w:eastAsia="黑体" w:cs="黑体"/>
      <w:color w:val="000000"/>
      <w:sz w:val="20"/>
      <w:szCs w:val="20"/>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35</Pages>
  <Words>9862</Words>
  <Characters>13411</Characters>
  <Lines>64</Lines>
  <Paragraphs>18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Administrator</cp:lastModifiedBy>
  <cp:lastPrinted>2023-07-28T10:40:00Z</cp:lastPrinted>
  <dcterms:modified xsi:type="dcterms:W3CDTF">2023-10-09T02:56:31Z</dcterms:modified>
  <dc:title>2022年度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D85A233CE19D40A18F6D653C5D1D72F7_13</vt:lpwstr>
  </property>
</Properties>
</file>