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jc w:val="center"/>
        <w:rPr>
          <w:rFonts w:ascii="黑体" w:eastAsia="黑体" w:hAnsi="黑体" w:cs="黑体" w:hint="eastAsia"/>
          <w:sz w:val="52"/>
          <w:szCs w:val="52"/>
        </w:rPr>
      </w:pPr>
      <w:r>
        <w:rPr>
          <w:rFonts w:ascii="黑体" w:eastAsia="黑体" w:hAnsi="黑体" w:cs="黑体" w:hint="eastAsia"/>
          <w:sz w:val="52"/>
          <w:szCs w:val="52"/>
        </w:rPr>
        <w:t>20</w:t>
      </w:r>
      <w:r>
        <w:rPr>
          <w:rFonts w:ascii="黑体" w:eastAsia="黑体" w:hAnsi="黑体" w:cs="黑体"/>
          <w:sz w:val="52"/>
          <w:szCs w:val="52"/>
        </w:rPr>
        <w:t>22</w:t>
      </w:r>
      <w:r>
        <w:rPr>
          <w:rFonts w:ascii="黑体" w:eastAsia="黑体" w:hAnsi="黑体" w:cs="黑体" w:hint="eastAsia"/>
          <w:sz w:val="52"/>
          <w:szCs w:val="52"/>
        </w:rPr>
        <w:t>年度</w:t>
      </w:r>
    </w:p>
    <w:p w:rsidR="00000000" w:rsidRDefault="00361716">
      <w:pPr>
        <w:jc w:val="center"/>
        <w:rPr>
          <w:rFonts w:ascii="黑体" w:eastAsia="黑体" w:hAnsi="黑体" w:cs="黑体" w:hint="eastAsia"/>
          <w:sz w:val="52"/>
          <w:szCs w:val="52"/>
        </w:rPr>
      </w:pPr>
      <w:r>
        <w:rPr>
          <w:rFonts w:ascii="黑体" w:eastAsia="黑体" w:hAnsi="黑体" w:cs="黑体" w:hint="eastAsia"/>
          <w:sz w:val="52"/>
          <w:szCs w:val="52"/>
        </w:rPr>
        <w:t>许昌市住房公积金中心部门决算</w:t>
      </w:r>
    </w:p>
    <w:p w:rsidR="00000000" w:rsidRDefault="00361716">
      <w:pPr>
        <w:jc w:val="center"/>
        <w:rPr>
          <w:rFonts w:ascii="黑体" w:eastAsia="黑体" w:hAnsi="黑体" w:cs="黑体" w:hint="eastAsia"/>
          <w:sz w:val="52"/>
          <w:szCs w:val="52"/>
        </w:rPr>
      </w:pPr>
    </w:p>
    <w:p w:rsidR="00000000" w:rsidRDefault="00361716">
      <w:pPr>
        <w:jc w:val="center"/>
        <w:rPr>
          <w:rFonts w:ascii="黑体" w:eastAsia="黑体" w:hAnsi="黑体" w:cs="黑体" w:hint="eastAsia"/>
          <w:sz w:val="52"/>
          <w:szCs w:val="52"/>
        </w:rPr>
      </w:pPr>
    </w:p>
    <w:p w:rsidR="00000000" w:rsidRDefault="00361716">
      <w:pPr>
        <w:jc w:val="center"/>
        <w:rPr>
          <w:rFonts w:ascii="黑体" w:eastAsia="黑体" w:hAnsi="黑体" w:cs="黑体" w:hint="eastAsia"/>
          <w:sz w:val="52"/>
          <w:szCs w:val="52"/>
        </w:rPr>
      </w:pPr>
    </w:p>
    <w:p w:rsidR="00000000" w:rsidRDefault="00361716">
      <w:pPr>
        <w:jc w:val="center"/>
        <w:rPr>
          <w:rFonts w:ascii="黑体" w:eastAsia="黑体" w:hAnsi="黑体" w:cs="黑体" w:hint="eastAsia"/>
          <w:sz w:val="52"/>
          <w:szCs w:val="52"/>
        </w:rPr>
      </w:pPr>
    </w:p>
    <w:p w:rsidR="00000000" w:rsidRDefault="00361716">
      <w:pPr>
        <w:jc w:val="center"/>
        <w:rPr>
          <w:rFonts w:ascii="黑体" w:eastAsia="黑体" w:hAnsi="黑体" w:cs="黑体" w:hint="eastAsia"/>
          <w:sz w:val="52"/>
          <w:szCs w:val="52"/>
        </w:rPr>
      </w:pPr>
    </w:p>
    <w:p w:rsidR="00000000" w:rsidRDefault="00361716">
      <w:pPr>
        <w:jc w:val="center"/>
        <w:rPr>
          <w:rFonts w:ascii="黑体" w:eastAsia="黑体" w:hAnsi="黑体" w:cs="黑体" w:hint="eastAsia"/>
          <w:sz w:val="52"/>
          <w:szCs w:val="52"/>
        </w:rPr>
      </w:pPr>
    </w:p>
    <w:p w:rsidR="00000000" w:rsidRDefault="00361716">
      <w:pPr>
        <w:jc w:val="center"/>
        <w:rPr>
          <w:rFonts w:ascii="黑体" w:eastAsia="黑体" w:hAnsi="黑体" w:cs="黑体" w:hint="eastAsia"/>
          <w:sz w:val="52"/>
          <w:szCs w:val="52"/>
        </w:rPr>
      </w:pPr>
    </w:p>
    <w:p w:rsidR="00000000" w:rsidRDefault="00361716">
      <w:pPr>
        <w:jc w:val="center"/>
        <w:rPr>
          <w:rFonts w:ascii="黑体" w:eastAsia="黑体" w:hAnsi="黑体" w:cs="黑体" w:hint="eastAsia"/>
          <w:sz w:val="32"/>
          <w:szCs w:val="32"/>
        </w:rPr>
      </w:pPr>
      <w:r>
        <w:rPr>
          <w:rFonts w:ascii="黑体" w:eastAsia="黑体" w:hAnsi="黑体" w:cs="黑体" w:hint="eastAsia"/>
          <w:sz w:val="32"/>
          <w:szCs w:val="32"/>
        </w:rPr>
        <w:t>二〇二三年九月</w:t>
      </w:r>
    </w:p>
    <w:p w:rsidR="00000000" w:rsidRDefault="00361716">
      <w:pPr>
        <w:jc w:val="center"/>
        <w:rPr>
          <w:rFonts w:ascii="黑体" w:eastAsia="黑体" w:hAnsi="黑体" w:cs="黑体" w:hint="eastAsia"/>
          <w:sz w:val="32"/>
          <w:szCs w:val="32"/>
        </w:rPr>
      </w:pPr>
    </w:p>
    <w:p w:rsidR="00000000" w:rsidRDefault="00361716">
      <w:pPr>
        <w:jc w:val="center"/>
        <w:rPr>
          <w:rFonts w:ascii="黑体" w:eastAsia="黑体" w:hAnsi="黑体" w:cs="黑体" w:hint="eastAsia"/>
          <w:sz w:val="32"/>
          <w:szCs w:val="32"/>
        </w:rPr>
        <w:sectPr w:rsidR="00000000">
          <w:pgSz w:w="11906" w:h="16838"/>
          <w:pgMar w:top="1440" w:right="1531" w:bottom="1440" w:left="1587" w:header="850" w:footer="992" w:gutter="0"/>
          <w:pgNumType w:fmt="numberInDash"/>
          <w:cols w:space="720"/>
          <w:docGrid w:type="lines" w:linePitch="317"/>
        </w:sectPr>
      </w:pPr>
    </w:p>
    <w:p w:rsidR="00000000" w:rsidRDefault="00361716">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000000" w:rsidRDefault="00361716">
      <w:pPr>
        <w:jc w:val="left"/>
        <w:rPr>
          <w:rFonts w:ascii="黑体" w:eastAsia="黑体" w:hAnsi="黑体" w:cs="黑体"/>
          <w:sz w:val="32"/>
          <w:szCs w:val="32"/>
        </w:rPr>
      </w:pPr>
      <w:r>
        <w:rPr>
          <w:rFonts w:ascii="黑体" w:eastAsia="黑体" w:hAnsi="黑体" w:cs="黑体" w:hint="eastAsia"/>
          <w:sz w:val="32"/>
          <w:szCs w:val="32"/>
        </w:rPr>
        <w:t>第一部分　许昌市住房公积金中心概况</w:t>
      </w:r>
    </w:p>
    <w:p w:rsidR="00000000" w:rsidRDefault="00361716">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000000" w:rsidRDefault="00361716">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000000" w:rsidRDefault="00361716">
      <w:pPr>
        <w:jc w:val="left"/>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 xml:space="preserve">  202</w:t>
      </w:r>
      <w:r>
        <w:rPr>
          <w:rFonts w:ascii="黑体" w:eastAsia="黑体" w:hAnsi="黑体" w:cs="黑体"/>
          <w:sz w:val="32"/>
          <w:szCs w:val="32"/>
        </w:rPr>
        <w:t>2</w:t>
      </w:r>
      <w:r>
        <w:rPr>
          <w:rFonts w:ascii="黑体" w:eastAsia="黑体" w:hAnsi="黑体" w:cs="黑体" w:hint="eastAsia"/>
          <w:sz w:val="32"/>
          <w:szCs w:val="32"/>
        </w:rPr>
        <w:t>年度部门决算表</w:t>
      </w:r>
    </w:p>
    <w:p w:rsidR="00000000" w:rsidRDefault="00361716">
      <w:pPr>
        <w:ind w:firstLineChars="200" w:firstLine="640"/>
        <w:jc w:val="left"/>
        <w:rPr>
          <w:rFonts w:ascii="宋体" w:hAnsi="宋体" w:cs="黑体" w:hint="eastAsia"/>
          <w:sz w:val="32"/>
          <w:szCs w:val="32"/>
        </w:rPr>
      </w:pPr>
      <w:r>
        <w:rPr>
          <w:rFonts w:ascii="宋体" w:hAnsi="宋体" w:cs="黑体" w:hint="eastAsia"/>
          <w:sz w:val="32"/>
          <w:szCs w:val="32"/>
        </w:rPr>
        <w:t>一、收入支出决算总表</w:t>
      </w:r>
    </w:p>
    <w:p w:rsidR="00000000" w:rsidRDefault="00361716">
      <w:pPr>
        <w:ind w:firstLineChars="200" w:firstLine="640"/>
        <w:jc w:val="left"/>
        <w:rPr>
          <w:rFonts w:ascii="宋体" w:hAnsi="宋体" w:cs="黑体" w:hint="eastAsia"/>
          <w:sz w:val="32"/>
          <w:szCs w:val="32"/>
        </w:rPr>
      </w:pPr>
      <w:r>
        <w:rPr>
          <w:rFonts w:ascii="宋体" w:hAnsi="宋体" w:cs="黑体" w:hint="eastAsia"/>
          <w:sz w:val="32"/>
          <w:szCs w:val="32"/>
        </w:rPr>
        <w:t>二、收入决算表</w:t>
      </w:r>
    </w:p>
    <w:p w:rsidR="00000000" w:rsidRDefault="00361716">
      <w:pPr>
        <w:ind w:firstLineChars="200" w:firstLine="640"/>
        <w:jc w:val="left"/>
        <w:rPr>
          <w:rFonts w:ascii="宋体" w:hAnsi="宋体" w:cs="黑体" w:hint="eastAsia"/>
          <w:sz w:val="32"/>
          <w:szCs w:val="32"/>
        </w:rPr>
      </w:pPr>
      <w:r>
        <w:rPr>
          <w:rFonts w:ascii="宋体" w:hAnsi="宋体" w:cs="黑体" w:hint="eastAsia"/>
          <w:sz w:val="32"/>
          <w:szCs w:val="32"/>
        </w:rPr>
        <w:t>三、支出决算表</w:t>
      </w:r>
    </w:p>
    <w:p w:rsidR="00000000" w:rsidRDefault="00361716">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000000" w:rsidRDefault="00361716">
      <w:pPr>
        <w:ind w:firstLineChars="200" w:firstLine="640"/>
        <w:jc w:val="left"/>
        <w:rPr>
          <w:rFonts w:ascii="宋体" w:hAnsi="宋体" w:cs="黑体" w:hint="eastAsia"/>
          <w:sz w:val="32"/>
          <w:szCs w:val="32"/>
        </w:rPr>
      </w:pPr>
      <w:r>
        <w:rPr>
          <w:rFonts w:ascii="宋体" w:hAnsi="宋体" w:cs="黑体" w:hint="eastAsia"/>
          <w:sz w:val="32"/>
          <w:szCs w:val="32"/>
        </w:rPr>
        <w:t>五、一般公共预算财政拨款支出决算表</w:t>
      </w:r>
    </w:p>
    <w:p w:rsidR="00000000" w:rsidRDefault="00361716">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000000" w:rsidRDefault="00361716">
      <w:pPr>
        <w:ind w:firstLineChars="200" w:firstLine="640"/>
        <w:jc w:val="left"/>
        <w:rPr>
          <w:rFonts w:ascii="宋体" w:hAnsi="宋体" w:cs="黑体" w:hint="eastAsia"/>
          <w:sz w:val="32"/>
          <w:szCs w:val="32"/>
        </w:rPr>
      </w:pPr>
      <w:r>
        <w:rPr>
          <w:rFonts w:ascii="宋体" w:hAnsi="宋体" w:cs="黑体" w:hint="eastAsia"/>
          <w:sz w:val="32"/>
          <w:szCs w:val="32"/>
        </w:rPr>
        <w:t>七、政府性基金预算财政拨款收入支出决算表</w:t>
      </w:r>
    </w:p>
    <w:p w:rsidR="00000000" w:rsidRDefault="00361716">
      <w:pPr>
        <w:ind w:firstLineChars="200" w:firstLine="640"/>
        <w:jc w:val="left"/>
        <w:rPr>
          <w:rFonts w:ascii="宋体" w:hAnsi="宋体" w:cs="黑体"/>
          <w:sz w:val="32"/>
          <w:szCs w:val="32"/>
        </w:rPr>
      </w:pPr>
      <w:r>
        <w:rPr>
          <w:rFonts w:ascii="宋体" w:hAnsi="宋体" w:cs="黑体" w:hint="eastAsia"/>
          <w:sz w:val="32"/>
          <w:szCs w:val="32"/>
        </w:rPr>
        <w:t>八、国有</w:t>
      </w:r>
      <w:r>
        <w:rPr>
          <w:rFonts w:ascii="宋体" w:hAnsi="宋体" w:cs="黑体"/>
          <w:sz w:val="32"/>
          <w:szCs w:val="32"/>
        </w:rPr>
        <w:t>资本经营预算财政拨款</w:t>
      </w:r>
      <w:r>
        <w:rPr>
          <w:rFonts w:ascii="宋体" w:hAnsi="宋体" w:cs="黑体" w:hint="eastAsia"/>
          <w:sz w:val="32"/>
          <w:szCs w:val="32"/>
        </w:rPr>
        <w:t>支出决算表</w:t>
      </w:r>
    </w:p>
    <w:p w:rsidR="00000000" w:rsidRDefault="00361716">
      <w:pPr>
        <w:ind w:firstLineChars="200" w:firstLine="640"/>
        <w:jc w:val="left"/>
        <w:rPr>
          <w:rFonts w:ascii="宋体" w:hAnsi="宋体" w:cs="黑体" w:hint="eastAsia"/>
          <w:sz w:val="32"/>
          <w:szCs w:val="32"/>
        </w:rPr>
      </w:pPr>
      <w:r>
        <w:rPr>
          <w:rFonts w:ascii="宋体" w:hAnsi="宋体" w:cs="黑体" w:hint="eastAsia"/>
          <w:sz w:val="32"/>
          <w:szCs w:val="32"/>
        </w:rPr>
        <w:t>九、财政拨款“三公”经费支出决算表</w:t>
      </w:r>
    </w:p>
    <w:p w:rsidR="00000000" w:rsidRDefault="00361716">
      <w:pPr>
        <w:jc w:val="left"/>
        <w:rPr>
          <w:rFonts w:ascii="黑体" w:eastAsia="黑体" w:hAnsi="黑体" w:cs="黑体" w:hint="eastAsia"/>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2022</w:t>
      </w:r>
      <w:r>
        <w:rPr>
          <w:rFonts w:ascii="黑体" w:eastAsia="黑体" w:hAnsi="黑体" w:cs="黑体" w:hint="eastAsia"/>
          <w:sz w:val="32"/>
          <w:szCs w:val="32"/>
        </w:rPr>
        <w:t>年度部门决算情况说明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一、收入支出决算总体情况说明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二、收入决算情况说明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三、支出决算情况说明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四、财政拨款收入支出决算总体情况说明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五、一般公共预算财政拨款支出决算情况说明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六、一般公共预算财政拨款基本支出决算情况说明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七、政府性基金预算财政拨款支出决算情况说明</w:t>
      </w:r>
    </w:p>
    <w:p w:rsidR="00000000" w:rsidRDefault="00361716">
      <w:pPr>
        <w:ind w:firstLineChars="200" w:firstLine="640"/>
        <w:jc w:val="left"/>
        <w:rPr>
          <w:rFonts w:ascii="宋体" w:hAnsi="宋体" w:cs="宋体"/>
          <w:sz w:val="32"/>
          <w:szCs w:val="32"/>
        </w:rPr>
      </w:pPr>
      <w:r>
        <w:rPr>
          <w:rFonts w:ascii="宋体" w:hAnsi="宋体" w:cs="宋体" w:hint="eastAsia"/>
          <w:sz w:val="32"/>
          <w:szCs w:val="32"/>
        </w:rPr>
        <w:lastRenderedPageBreak/>
        <w:t>八、国有资本</w:t>
      </w:r>
      <w:r>
        <w:rPr>
          <w:rFonts w:ascii="宋体" w:hAnsi="宋体" w:cs="宋体"/>
          <w:sz w:val="32"/>
          <w:szCs w:val="32"/>
        </w:rPr>
        <w:t>经营</w:t>
      </w:r>
      <w:r>
        <w:rPr>
          <w:rFonts w:ascii="宋体" w:hAnsi="宋体" w:cs="宋体" w:hint="eastAsia"/>
          <w:sz w:val="32"/>
          <w:szCs w:val="32"/>
        </w:rPr>
        <w:t>预算财政拨款支出决算情况说明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九、财政拨款“三公”经费支出决算情况说明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十、机关运行经费支出情况说明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十一、政府采购支出情况说明</w:t>
      </w:r>
    </w:p>
    <w:p w:rsidR="00000000" w:rsidRDefault="00361716">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000000" w:rsidRDefault="00361716">
      <w:pPr>
        <w:ind w:firstLineChars="200" w:firstLine="640"/>
        <w:jc w:val="left"/>
        <w:rPr>
          <w:rFonts w:ascii="宋体" w:hAnsi="宋体" w:cs="宋体" w:hint="eastAsia"/>
          <w:sz w:val="32"/>
          <w:szCs w:val="32"/>
        </w:rPr>
      </w:pPr>
      <w:r>
        <w:rPr>
          <w:rFonts w:ascii="宋体" w:hAnsi="宋体" w:cs="宋体" w:hint="eastAsia"/>
          <w:sz w:val="32"/>
          <w:szCs w:val="32"/>
        </w:rPr>
        <w:t>十三、预算绩效情况说明</w:t>
      </w:r>
    </w:p>
    <w:p w:rsidR="00000000" w:rsidRDefault="00361716">
      <w:pPr>
        <w:jc w:val="left"/>
        <w:rPr>
          <w:rFonts w:ascii="黑体" w:eastAsia="黑体" w:hAnsi="黑体" w:cs="黑体" w:hint="eastAsia"/>
          <w:sz w:val="32"/>
          <w:szCs w:val="32"/>
        </w:rPr>
      </w:pPr>
      <w:r>
        <w:rPr>
          <w:rFonts w:ascii="黑体" w:eastAsia="黑体" w:hAnsi="黑体" w:cs="黑体" w:hint="eastAsia"/>
          <w:sz w:val="32"/>
          <w:szCs w:val="32"/>
        </w:rPr>
        <w:t>第四部分　　名词解释</w:t>
      </w: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sectPr w:rsidR="00000000">
          <w:footerReference w:type="even" r:id="rId7"/>
          <w:footerReference w:type="default" r:id="rId8"/>
          <w:pgSz w:w="11906" w:h="16838"/>
          <w:pgMar w:top="1440" w:right="1800" w:bottom="1440" w:left="1800" w:header="720" w:footer="720" w:gutter="0"/>
          <w:pgNumType w:fmt="numberInDash"/>
          <w:cols w:space="720"/>
          <w:docGrid w:type="lines" w:linePitch="312"/>
        </w:sectPr>
      </w:pPr>
    </w:p>
    <w:p w:rsidR="00000000" w:rsidRDefault="00361716">
      <w:pPr>
        <w:widowControl/>
        <w:jc w:val="center"/>
        <w:outlineLvl w:val="0"/>
        <w:rPr>
          <w:rFonts w:ascii="黑体" w:eastAsia="黑体" w:hAnsi="黑体" w:cs="黑体" w:hint="eastAsia"/>
          <w:sz w:val="48"/>
          <w:szCs w:val="48"/>
        </w:rPr>
      </w:pPr>
    </w:p>
    <w:p w:rsidR="00000000" w:rsidRDefault="00361716">
      <w:pPr>
        <w:widowControl/>
        <w:outlineLvl w:val="0"/>
        <w:rPr>
          <w:rFonts w:ascii="黑体" w:eastAsia="黑体" w:hAnsi="黑体" w:cs="黑体" w:hint="eastAsia"/>
          <w:sz w:val="48"/>
          <w:szCs w:val="48"/>
        </w:rPr>
      </w:pPr>
    </w:p>
    <w:p w:rsidR="00000000" w:rsidRDefault="00361716">
      <w:pPr>
        <w:widowControl/>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r>
        <w:rPr>
          <w:rFonts w:ascii="黑体" w:eastAsia="黑体" w:hAnsi="黑体" w:cs="黑体" w:hint="eastAsia"/>
          <w:sz w:val="48"/>
          <w:szCs w:val="48"/>
        </w:rPr>
        <w:t>第一部分</w:t>
      </w:r>
      <w:r>
        <w:rPr>
          <w:rFonts w:ascii="黑体" w:eastAsia="黑体" w:hAnsi="黑体" w:cs="黑体" w:hint="eastAsia"/>
          <w:sz w:val="48"/>
          <w:szCs w:val="48"/>
        </w:rPr>
        <w:t xml:space="preserve">  </w:t>
      </w:r>
      <w:r>
        <w:rPr>
          <w:rFonts w:ascii="黑体" w:eastAsia="黑体" w:hAnsi="黑体" w:cs="黑体" w:hint="eastAsia"/>
          <w:sz w:val="48"/>
          <w:szCs w:val="48"/>
        </w:rPr>
        <w:t>许昌市住房公积金</w:t>
      </w:r>
      <w:r>
        <w:rPr>
          <w:rFonts w:ascii="黑体" w:eastAsia="黑体" w:hAnsi="黑体" w:cs="黑体" w:hint="eastAsia"/>
          <w:sz w:val="48"/>
          <w:szCs w:val="48"/>
        </w:rPr>
        <w:t>中心概况</w:t>
      </w: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jc w:val="center"/>
        <w:outlineLvl w:val="0"/>
        <w:rPr>
          <w:rFonts w:ascii="黑体" w:eastAsia="黑体" w:hAnsi="黑体" w:cs="黑体" w:hint="eastAsia"/>
          <w:sz w:val="48"/>
          <w:szCs w:val="48"/>
        </w:rPr>
      </w:pPr>
    </w:p>
    <w:p w:rsidR="00000000" w:rsidRDefault="00361716">
      <w:pPr>
        <w:widowControl/>
        <w:ind w:firstLineChars="200" w:firstLine="640"/>
        <w:jc w:val="left"/>
        <w:outlineLvl w:val="1"/>
        <w:rPr>
          <w:rFonts w:ascii="黑体" w:eastAsia="黑体" w:hAnsi="黑体" w:cs="黑体"/>
          <w:kern w:val="0"/>
          <w:sz w:val="32"/>
          <w:szCs w:val="32"/>
        </w:rPr>
        <w:sectPr w:rsidR="00000000">
          <w:pgSz w:w="11906" w:h="16838"/>
          <w:pgMar w:top="1440" w:right="1800" w:bottom="1440" w:left="1800" w:header="720" w:footer="720" w:gutter="0"/>
          <w:pgNumType w:fmt="numberInDash"/>
          <w:cols w:space="720"/>
          <w:docGrid w:type="lines" w:linePitch="312"/>
        </w:sectPr>
      </w:pPr>
    </w:p>
    <w:p w:rsidR="00000000" w:rsidRDefault="00361716">
      <w:pPr>
        <w:widowControl/>
        <w:ind w:firstLineChars="200" w:firstLine="640"/>
        <w:jc w:val="left"/>
        <w:outlineLvl w:val="1"/>
        <w:rPr>
          <w:rFonts w:ascii="黑体" w:eastAsia="黑体" w:hAnsi="黑体" w:cs="黑体" w:hint="eastAsia"/>
          <w:kern w:val="0"/>
          <w:sz w:val="32"/>
          <w:szCs w:val="32"/>
        </w:rPr>
      </w:pPr>
      <w:r>
        <w:rPr>
          <w:rFonts w:ascii="黑体" w:eastAsia="黑体" w:hAnsi="黑体" w:cs="黑体" w:hint="eastAsia"/>
          <w:kern w:val="0"/>
          <w:sz w:val="32"/>
          <w:szCs w:val="32"/>
        </w:rPr>
        <w:lastRenderedPageBreak/>
        <w:t>一、部门</w:t>
      </w:r>
      <w:r>
        <w:rPr>
          <w:rFonts w:ascii="黑体" w:eastAsia="黑体" w:hAnsi="黑体" w:cs="黑体" w:hint="eastAsia"/>
          <w:bCs/>
          <w:sz w:val="32"/>
          <w:szCs w:val="32"/>
        </w:rPr>
        <w:t>职责</w:t>
      </w:r>
    </w:p>
    <w:p w:rsidR="00000000" w:rsidRDefault="00361716">
      <w:pPr>
        <w:widowControl/>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（一）编制、执行许昌市住房公积金的归集、使用计划。</w:t>
      </w:r>
    </w:p>
    <w:p w:rsidR="00000000" w:rsidRDefault="00361716">
      <w:pPr>
        <w:widowControl/>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（二）负责记载许昌市职工住房公积金的缴存、提取、使用等情况。</w:t>
      </w:r>
    </w:p>
    <w:p w:rsidR="00000000" w:rsidRDefault="00361716">
      <w:pPr>
        <w:widowControl/>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（三）负责许昌市住房公积金的统一核算，指导、监督分支机构的内部核算。</w:t>
      </w:r>
    </w:p>
    <w:p w:rsidR="00000000" w:rsidRDefault="00361716">
      <w:pPr>
        <w:widowControl/>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（四）审批许昌市住房公积金的提取、使用。</w:t>
      </w:r>
    </w:p>
    <w:p w:rsidR="00000000" w:rsidRDefault="00361716">
      <w:pPr>
        <w:widowControl/>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（五）负责许昌市住房公积金的保值和归还。</w:t>
      </w:r>
    </w:p>
    <w:p w:rsidR="00000000" w:rsidRDefault="00361716">
      <w:pPr>
        <w:widowControl/>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（六）编制许昌市住房公积金归集、使用计划执行情况的报告。</w:t>
      </w:r>
    </w:p>
    <w:p w:rsidR="00000000" w:rsidRDefault="00361716">
      <w:pPr>
        <w:widowControl/>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（七）拟订许昌市住房公积金增值收益分配方案。</w:t>
      </w:r>
    </w:p>
    <w:p w:rsidR="00000000" w:rsidRDefault="00361716">
      <w:pPr>
        <w:widowControl/>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（八）承办许昌市住房公积金管理委员会决定的其他事项。</w:t>
      </w:r>
    </w:p>
    <w:p w:rsidR="00000000" w:rsidRDefault="00361716">
      <w:pPr>
        <w:widowControl/>
        <w:ind w:firstLineChars="200" w:firstLine="640"/>
        <w:jc w:val="left"/>
        <w:outlineLvl w:val="1"/>
        <w:rPr>
          <w:rFonts w:ascii="黑体" w:eastAsia="黑体" w:hAnsi="黑体" w:cs="黑体" w:hint="eastAsia"/>
          <w:kern w:val="0"/>
          <w:sz w:val="32"/>
          <w:szCs w:val="32"/>
        </w:rPr>
      </w:pPr>
      <w:r>
        <w:rPr>
          <w:rFonts w:ascii="黑体" w:eastAsia="黑体" w:hAnsi="黑体" w:cs="黑体" w:hint="eastAsia"/>
          <w:kern w:val="0"/>
          <w:sz w:val="32"/>
          <w:szCs w:val="32"/>
        </w:rPr>
        <w:t>二、机构设置</w:t>
      </w:r>
    </w:p>
    <w:p w:rsidR="00000000" w:rsidRDefault="00361716">
      <w:pPr>
        <w:widowControl/>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许昌市住房公积金中心内设机构</w:t>
      </w:r>
      <w:r>
        <w:rPr>
          <w:rFonts w:ascii="仿宋_GB2312" w:eastAsia="仿宋_GB2312" w:hAnsi="Calibri" w:cs="宋体" w:hint="eastAsia"/>
          <w:kern w:val="0"/>
          <w:sz w:val="32"/>
          <w:szCs w:val="32"/>
        </w:rPr>
        <w:t>14</w:t>
      </w:r>
      <w:r>
        <w:rPr>
          <w:rFonts w:ascii="仿宋_GB2312" w:eastAsia="仿宋_GB2312" w:hAnsi="Calibri" w:cs="宋体" w:hint="eastAsia"/>
          <w:kern w:val="0"/>
          <w:sz w:val="32"/>
          <w:szCs w:val="32"/>
        </w:rPr>
        <w:t>个，包括：办公室、计财部、归集科、信贷科、内审稽核科、信息科、监察室</w:t>
      </w:r>
      <w:r>
        <w:rPr>
          <w:rFonts w:ascii="仿宋_GB2312" w:eastAsia="仿宋_GB2312" w:hAnsi="Calibri" w:cs="宋体" w:hint="eastAsia"/>
          <w:kern w:val="0"/>
          <w:sz w:val="32"/>
          <w:szCs w:val="32"/>
        </w:rPr>
        <w:t>7</w:t>
      </w:r>
      <w:r>
        <w:rPr>
          <w:rFonts w:ascii="仿宋_GB2312" w:eastAsia="仿宋_GB2312" w:hAnsi="Calibri" w:cs="宋体" w:hint="eastAsia"/>
          <w:kern w:val="0"/>
          <w:sz w:val="32"/>
          <w:szCs w:val="32"/>
        </w:rPr>
        <w:t>个科室及市直管理部、魏都区管理部、建安区管理部、长葛市管理部、禹州市管理部、襄城县管理部和鄢陵县管理部</w:t>
      </w:r>
      <w:r>
        <w:rPr>
          <w:rFonts w:ascii="仿宋_GB2312" w:eastAsia="仿宋_GB2312" w:hAnsi="Calibri" w:cs="宋体" w:hint="eastAsia"/>
          <w:kern w:val="0"/>
          <w:sz w:val="32"/>
          <w:szCs w:val="32"/>
        </w:rPr>
        <w:t>7</w:t>
      </w:r>
      <w:r>
        <w:rPr>
          <w:rFonts w:ascii="仿宋_GB2312" w:eastAsia="仿宋_GB2312" w:hAnsi="Calibri" w:cs="宋体" w:hint="eastAsia"/>
          <w:kern w:val="0"/>
          <w:sz w:val="32"/>
          <w:szCs w:val="32"/>
        </w:rPr>
        <w:t>个县</w:t>
      </w:r>
      <w:r>
        <w:rPr>
          <w:rFonts w:ascii="仿宋_GB2312" w:eastAsia="仿宋_GB2312" w:hAnsi="Calibri" w:cs="宋体" w:hint="eastAsia"/>
          <w:kern w:val="0"/>
          <w:sz w:val="32"/>
          <w:szCs w:val="32"/>
        </w:rPr>
        <w:t>(</w:t>
      </w:r>
      <w:r>
        <w:rPr>
          <w:rFonts w:ascii="仿宋_GB2312" w:eastAsia="仿宋_GB2312" w:hAnsi="Calibri" w:cs="宋体" w:hint="eastAsia"/>
          <w:kern w:val="0"/>
          <w:sz w:val="32"/>
          <w:szCs w:val="32"/>
        </w:rPr>
        <w:t>市、区）管理部。</w:t>
      </w:r>
    </w:p>
    <w:p w:rsidR="00000000" w:rsidRDefault="00361716">
      <w:pPr>
        <w:widowControl/>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从决算单位构成看，许昌市住房公积金中心部门决算包括：本级决算（</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w:t>
      </w:r>
    </w:p>
    <w:p w:rsidR="00000000" w:rsidRDefault="00361716">
      <w:pPr>
        <w:widowControl/>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纳入本部门</w:t>
      </w:r>
      <w:r>
        <w:rPr>
          <w:rFonts w:ascii="仿宋_GB2312" w:eastAsia="仿宋_GB2312" w:hAnsi="仿宋_GB2312" w:cs="仿宋_GB2312" w:hint="eastAsia"/>
          <w:kern w:val="0"/>
          <w:sz w:val="32"/>
          <w:szCs w:val="32"/>
        </w:rPr>
        <w:t>202</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年度部门决算编制范围的单位共</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个，具体是：</w:t>
      </w:r>
    </w:p>
    <w:p w:rsidR="00000000" w:rsidRDefault="00361716">
      <w:pPr>
        <w:widowControl/>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1.</w:t>
      </w:r>
      <w:r>
        <w:rPr>
          <w:rFonts w:ascii="仿宋_GB2312" w:eastAsia="仿宋_GB2312" w:hAnsi="仿宋_GB2312" w:cs="仿宋_GB2312" w:hint="eastAsia"/>
          <w:kern w:val="0"/>
          <w:sz w:val="32"/>
          <w:szCs w:val="32"/>
        </w:rPr>
        <w:t>许昌市住房公积金中心（本级）</w:t>
      </w: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sectPr w:rsidR="00000000">
          <w:pgSz w:w="11906" w:h="16838"/>
          <w:pgMar w:top="1440" w:right="1800" w:bottom="1440" w:left="1800" w:header="720" w:footer="720" w:gutter="0"/>
          <w:pgNumType w:fmt="numberInDash"/>
          <w:cols w:space="720"/>
          <w:docGrid w:type="lines" w:linePitch="312"/>
        </w:sect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numPr>
          <w:ilvl w:val="0"/>
          <w:numId w:val="2"/>
        </w:numPr>
        <w:jc w:val="center"/>
        <w:outlineLvl w:val="0"/>
        <w:rPr>
          <w:rFonts w:ascii="黑体" w:eastAsia="黑体" w:hAnsi="黑体" w:cs="黑体" w:hint="eastAsia"/>
          <w:sz w:val="48"/>
          <w:szCs w:val="48"/>
        </w:rPr>
      </w:pPr>
      <w:r>
        <w:rPr>
          <w:rFonts w:ascii="黑体" w:eastAsia="黑体" w:hAnsi="黑体" w:cs="黑体" w:hint="eastAsia"/>
          <w:sz w:val="48"/>
          <w:szCs w:val="48"/>
        </w:rPr>
        <w:t xml:space="preserve"> 202</w:t>
      </w:r>
      <w:r>
        <w:rPr>
          <w:rFonts w:ascii="黑体" w:eastAsia="黑体" w:hAnsi="黑体" w:cs="黑体"/>
          <w:sz w:val="48"/>
          <w:szCs w:val="48"/>
        </w:rPr>
        <w:t>2</w:t>
      </w:r>
      <w:r>
        <w:rPr>
          <w:rFonts w:ascii="黑体" w:eastAsia="黑体" w:hAnsi="黑体" w:cs="黑体" w:hint="eastAsia"/>
          <w:sz w:val="48"/>
          <w:szCs w:val="48"/>
        </w:rPr>
        <w:t>年度部门决算表</w:t>
      </w: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widowControl/>
        <w:jc w:val="left"/>
        <w:rPr>
          <w:rFonts w:ascii="黑体" w:eastAsia="黑体" w:hAnsi="宋体" w:cs="宋体" w:hint="eastAsia"/>
          <w:kern w:val="0"/>
          <w:sz w:val="28"/>
          <w:szCs w:val="28"/>
        </w:rPr>
        <w:sectPr w:rsidR="00000000">
          <w:pgSz w:w="11906" w:h="16838"/>
          <w:pgMar w:top="1440" w:right="1800" w:bottom="1440" w:left="1800" w:header="720" w:footer="720" w:gutter="0"/>
          <w:pgNumType w:fmt="numberInDash"/>
          <w:cols w:space="720"/>
          <w:docGrid w:type="lines" w:linePitch="312"/>
        </w:sectPr>
      </w:pPr>
    </w:p>
    <w:tbl>
      <w:tblPr>
        <w:tblW w:w="14120" w:type="dxa"/>
        <w:tblInd w:w="95" w:type="dxa"/>
        <w:tblLook w:val="0000"/>
      </w:tblPr>
      <w:tblGrid>
        <w:gridCol w:w="4941"/>
        <w:gridCol w:w="649"/>
        <w:gridCol w:w="1262"/>
        <w:gridCol w:w="4633"/>
        <w:gridCol w:w="649"/>
        <w:gridCol w:w="1986"/>
      </w:tblGrid>
      <w:tr w:rsidR="00000000">
        <w:trPr>
          <w:trHeight w:val="390"/>
        </w:trPr>
        <w:tc>
          <w:tcPr>
            <w:tcW w:w="14120" w:type="dxa"/>
            <w:gridSpan w:val="6"/>
            <w:tcBorders>
              <w:top w:val="nil"/>
              <w:left w:val="nil"/>
              <w:bottom w:val="nil"/>
              <w:right w:val="nil"/>
            </w:tcBorders>
            <w:noWrap/>
            <w:vAlign w:val="bottom"/>
          </w:tcPr>
          <w:p w:rsidR="00000000" w:rsidRDefault="00361716">
            <w:pPr>
              <w:widowControl/>
              <w:jc w:val="center"/>
              <w:rPr>
                <w:rFonts w:ascii="宋体" w:hAnsi="宋体" w:cs="Arial"/>
                <w:kern w:val="0"/>
                <w:sz w:val="30"/>
                <w:szCs w:val="30"/>
              </w:rPr>
            </w:pPr>
            <w:r>
              <w:rPr>
                <w:rFonts w:ascii="宋体" w:hAnsi="宋体" w:cs="Arial" w:hint="eastAsia"/>
                <w:kern w:val="0"/>
                <w:sz w:val="30"/>
                <w:szCs w:val="30"/>
              </w:rPr>
              <w:lastRenderedPageBreak/>
              <w:t>收入支出决算总表</w:t>
            </w:r>
          </w:p>
        </w:tc>
      </w:tr>
      <w:tr w:rsidR="00000000">
        <w:trPr>
          <w:trHeight w:val="255"/>
        </w:trPr>
        <w:tc>
          <w:tcPr>
            <w:tcW w:w="4941"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649"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262"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63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649"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986" w:type="dxa"/>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公开</w:t>
            </w:r>
            <w:r>
              <w:rPr>
                <w:rFonts w:ascii="宋体" w:hAnsi="宋体" w:cs="Arial" w:hint="eastAsia"/>
                <w:kern w:val="0"/>
                <w:sz w:val="20"/>
                <w:szCs w:val="20"/>
              </w:rPr>
              <w:t>01</w:t>
            </w:r>
            <w:r>
              <w:rPr>
                <w:rFonts w:ascii="宋体" w:hAnsi="宋体" w:cs="Arial" w:hint="eastAsia"/>
                <w:kern w:val="0"/>
                <w:sz w:val="20"/>
                <w:szCs w:val="20"/>
              </w:rPr>
              <w:t>表</w:t>
            </w:r>
          </w:p>
        </w:tc>
      </w:tr>
      <w:tr w:rsidR="00000000">
        <w:trPr>
          <w:trHeight w:val="255"/>
        </w:trPr>
        <w:tc>
          <w:tcPr>
            <w:tcW w:w="4941" w:type="dxa"/>
            <w:tcBorders>
              <w:top w:val="nil"/>
              <w:left w:val="nil"/>
              <w:bottom w:val="nil"/>
              <w:right w:val="nil"/>
            </w:tcBorders>
            <w:noWrap/>
            <w:vAlign w:val="bottom"/>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部门：许昌市住房公积金中心</w:t>
            </w:r>
          </w:p>
        </w:tc>
        <w:tc>
          <w:tcPr>
            <w:tcW w:w="649"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262"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63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649"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986" w:type="dxa"/>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金额单位：万元</w:t>
            </w:r>
          </w:p>
        </w:tc>
      </w:tr>
      <w:tr w:rsidR="00000000">
        <w:trPr>
          <w:trHeight w:val="308"/>
        </w:trPr>
        <w:tc>
          <w:tcPr>
            <w:tcW w:w="6852"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收入</w:t>
            </w:r>
          </w:p>
        </w:tc>
        <w:tc>
          <w:tcPr>
            <w:tcW w:w="7268" w:type="dxa"/>
            <w:gridSpan w:val="3"/>
            <w:tcBorders>
              <w:top w:val="single" w:sz="4" w:space="0" w:color="000000"/>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支出</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项目</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行次</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金额</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项目</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行次</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金额</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栏次</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 xml:space="preserve">　</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栏次</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 xml:space="preserve">　</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一、一般公共预算财政拨款收入</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一、一般公共服务支出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32</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11.21</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二、政府性基金预算财政拨款收入</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二、外交支出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33</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三、国有资本经营预算财政拨款收入</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三、国防支出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34</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四、上级补助收入</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四、公共安全支出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35</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五、事业收入</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五、教育支出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36</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六、经营收入</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六、科学技术支出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37</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七、附属单位上缴收入</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7</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七、文化旅游体育与传媒支出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38</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八、其他收入</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8</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八、社会保障和就业支出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39</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9</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九、卫生健康支出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40</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10</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十、节能环保支出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41</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11</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十一、城乡社区支出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42</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12</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十二、农林水支出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43</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13</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十三、交通运输支出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44</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14</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十四、资源勘探工业信息等支出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45</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15</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十五、商业服务业等支出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46</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16</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十六、金融支出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47</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17</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十七、援助其他地区支出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48</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lastRenderedPageBreak/>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18</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十八、自然资源海洋气象等支出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49</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19</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十九、住房保障支出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50</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900.10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20</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二十、粮油物资储备支出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51</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21</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二十一、国有资本经营预算支出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52</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22</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二十二、灾害防治及应急管理支出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53</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23</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二十三、其他支出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54</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0"/>
                <w:szCs w:val="20"/>
              </w:rPr>
            </w:pPr>
            <w:r>
              <w:rPr>
                <w:rFonts w:ascii="宋体" w:hAnsi="宋体" w:cs="Arial" w:hint="eastAsia"/>
                <w:b/>
                <w:bCs/>
                <w:kern w:val="0"/>
                <w:sz w:val="20"/>
                <w:szCs w:val="20"/>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0"/>
                <w:szCs w:val="20"/>
              </w:rPr>
            </w:pPr>
            <w:r>
              <w:rPr>
                <w:rFonts w:ascii="宋体" w:hAnsi="宋体" w:cs="Arial" w:hint="eastAsia"/>
                <w:kern w:val="0"/>
                <w:sz w:val="20"/>
                <w:szCs w:val="20"/>
              </w:rPr>
              <w:t>2</w:t>
            </w:r>
            <w:r>
              <w:rPr>
                <w:rFonts w:ascii="宋体" w:hAnsi="宋体" w:cs="Arial" w:hint="eastAsia"/>
                <w:kern w:val="0"/>
                <w:sz w:val="20"/>
                <w:szCs w:val="20"/>
              </w:rPr>
              <w:t>4</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二十四、债务还本支出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55</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0"/>
                <w:szCs w:val="20"/>
              </w:rPr>
            </w:pPr>
            <w:r>
              <w:rPr>
                <w:rFonts w:ascii="宋体" w:hAnsi="宋体" w:cs="Arial" w:hint="eastAsia"/>
                <w:kern w:val="0"/>
                <w:sz w:val="20"/>
                <w:szCs w:val="20"/>
              </w:rPr>
              <w:t>25</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二十五、债务付息支出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56</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0"/>
                <w:szCs w:val="20"/>
              </w:rPr>
            </w:pPr>
            <w:r>
              <w:rPr>
                <w:rFonts w:ascii="宋体" w:hAnsi="宋体" w:cs="Arial" w:hint="eastAsia"/>
                <w:kern w:val="0"/>
                <w:sz w:val="20"/>
                <w:szCs w:val="20"/>
              </w:rPr>
              <w:t>26</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二十六、抗疫特别国债安排的支出</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57</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2"/>
              </w:rPr>
            </w:pPr>
            <w:r>
              <w:rPr>
                <w:rFonts w:ascii="宋体" w:hAnsi="宋体" w:cs="Arial" w:hint="eastAsia"/>
                <w:b/>
                <w:bCs/>
                <w:kern w:val="0"/>
                <w:sz w:val="22"/>
              </w:rPr>
              <w:t>本年收入合计</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27</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2"/>
              </w:rPr>
            </w:pPr>
            <w:r>
              <w:rPr>
                <w:rFonts w:ascii="宋体" w:hAnsi="宋体" w:cs="Arial" w:hint="eastAsia"/>
                <w:b/>
                <w:bCs/>
                <w:kern w:val="0"/>
                <w:sz w:val="22"/>
              </w:rPr>
              <w:t>本年支出合计</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58</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使用非财政拨款结余</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28</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结余分配</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59</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年初结转和结余</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29</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年末结转和结余</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60</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30</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61</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r>
      <w:tr w:rsidR="00000000">
        <w:trPr>
          <w:trHeight w:val="308"/>
        </w:trPr>
        <w:tc>
          <w:tcPr>
            <w:tcW w:w="4941" w:type="dxa"/>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2"/>
              </w:rPr>
            </w:pPr>
            <w:r>
              <w:rPr>
                <w:rFonts w:ascii="宋体" w:hAnsi="宋体" w:cs="Arial" w:hint="eastAsia"/>
                <w:b/>
                <w:bCs/>
                <w:kern w:val="0"/>
                <w:sz w:val="22"/>
              </w:rPr>
              <w:t>总计</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31</w:t>
            </w:r>
          </w:p>
        </w:tc>
        <w:tc>
          <w:tcPr>
            <w:tcW w:w="126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c>
          <w:tcPr>
            <w:tcW w:w="4633"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2"/>
              </w:rPr>
            </w:pPr>
            <w:r>
              <w:rPr>
                <w:rFonts w:ascii="宋体" w:hAnsi="宋体" w:cs="Arial" w:hint="eastAsia"/>
                <w:b/>
                <w:bCs/>
                <w:kern w:val="0"/>
                <w:sz w:val="22"/>
              </w:rPr>
              <w:t>总计</w:t>
            </w:r>
          </w:p>
        </w:tc>
        <w:tc>
          <w:tcPr>
            <w:tcW w:w="64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62</w:t>
            </w:r>
          </w:p>
        </w:tc>
        <w:tc>
          <w:tcPr>
            <w:tcW w:w="198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r>
      <w:tr w:rsidR="00000000">
        <w:trPr>
          <w:trHeight w:val="308"/>
        </w:trPr>
        <w:tc>
          <w:tcPr>
            <w:tcW w:w="14120" w:type="dxa"/>
            <w:gridSpan w:val="6"/>
            <w:tcBorders>
              <w:top w:val="nil"/>
              <w:left w:val="nil"/>
              <w:bottom w:val="nil"/>
              <w:right w:val="nil"/>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注：本表反映部门本年度的总收支和年末结转结余情</w:t>
            </w:r>
            <w:r>
              <w:rPr>
                <w:rFonts w:ascii="宋体" w:hAnsi="宋体" w:cs="Arial" w:hint="eastAsia"/>
                <w:kern w:val="0"/>
                <w:sz w:val="22"/>
              </w:rPr>
              <w:t>况。本表金额单位转换为万元时，因四舍五入可能存在尾差。</w:t>
            </w:r>
          </w:p>
        </w:tc>
      </w:tr>
      <w:tr w:rsidR="00000000">
        <w:trPr>
          <w:trHeight w:val="308"/>
        </w:trPr>
        <w:tc>
          <w:tcPr>
            <w:tcW w:w="14120" w:type="dxa"/>
            <w:gridSpan w:val="6"/>
            <w:tcBorders>
              <w:top w:val="nil"/>
              <w:left w:val="nil"/>
              <w:bottom w:val="nil"/>
              <w:right w:val="nil"/>
            </w:tcBorders>
            <w:noWrap/>
            <w:vAlign w:val="center"/>
          </w:tcPr>
          <w:p w:rsidR="00000000" w:rsidRDefault="00361716">
            <w:pPr>
              <w:widowControl/>
              <w:jc w:val="left"/>
              <w:rPr>
                <w:rFonts w:ascii="宋体" w:hAnsi="宋体" w:cs="Arial"/>
                <w:kern w:val="0"/>
                <w:sz w:val="22"/>
              </w:rPr>
            </w:pPr>
          </w:p>
        </w:tc>
      </w:tr>
    </w:tbl>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sectPr w:rsidR="00000000">
          <w:pgSz w:w="16838" w:h="11906" w:orient="landscape"/>
          <w:pgMar w:top="1800" w:right="1440" w:bottom="1800" w:left="1440" w:header="720" w:footer="720" w:gutter="0"/>
          <w:pgNumType w:fmt="numberInDash"/>
          <w:cols w:space="720"/>
          <w:docGrid w:type="lines" w:linePitch="312"/>
        </w:sectPr>
      </w:pPr>
    </w:p>
    <w:tbl>
      <w:tblPr>
        <w:tblW w:w="14047" w:type="dxa"/>
        <w:tblInd w:w="95" w:type="dxa"/>
        <w:tblLook w:val="0000"/>
      </w:tblPr>
      <w:tblGrid>
        <w:gridCol w:w="400"/>
        <w:gridCol w:w="313"/>
        <w:gridCol w:w="273"/>
        <w:gridCol w:w="4272"/>
        <w:gridCol w:w="1843"/>
        <w:gridCol w:w="1559"/>
        <w:gridCol w:w="992"/>
        <w:gridCol w:w="851"/>
        <w:gridCol w:w="850"/>
        <w:gridCol w:w="1134"/>
        <w:gridCol w:w="1560"/>
      </w:tblGrid>
      <w:tr w:rsidR="00000000">
        <w:trPr>
          <w:trHeight w:val="390"/>
        </w:trPr>
        <w:tc>
          <w:tcPr>
            <w:tcW w:w="14047" w:type="dxa"/>
            <w:gridSpan w:val="11"/>
            <w:tcBorders>
              <w:top w:val="nil"/>
              <w:left w:val="nil"/>
              <w:bottom w:val="nil"/>
              <w:right w:val="nil"/>
            </w:tcBorders>
            <w:noWrap/>
            <w:vAlign w:val="bottom"/>
          </w:tcPr>
          <w:p w:rsidR="00000000" w:rsidRDefault="00361716">
            <w:pPr>
              <w:widowControl/>
              <w:jc w:val="center"/>
              <w:rPr>
                <w:rFonts w:ascii="宋体" w:hAnsi="宋体" w:cs="Arial"/>
                <w:kern w:val="0"/>
                <w:sz w:val="30"/>
                <w:szCs w:val="30"/>
              </w:rPr>
            </w:pPr>
            <w:r>
              <w:rPr>
                <w:rFonts w:ascii="宋体" w:hAnsi="宋体" w:cs="Arial" w:hint="eastAsia"/>
                <w:kern w:val="0"/>
                <w:sz w:val="30"/>
                <w:szCs w:val="30"/>
              </w:rPr>
              <w:lastRenderedPageBreak/>
              <w:t>收入决算表</w:t>
            </w:r>
          </w:p>
        </w:tc>
      </w:tr>
      <w:tr w:rsidR="00000000">
        <w:trPr>
          <w:trHeight w:val="255"/>
        </w:trPr>
        <w:tc>
          <w:tcPr>
            <w:tcW w:w="40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31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27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272"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84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59"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992"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851"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85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134"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60" w:type="dxa"/>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公开</w:t>
            </w:r>
            <w:r>
              <w:rPr>
                <w:rFonts w:ascii="宋体" w:hAnsi="宋体" w:cs="Arial" w:hint="eastAsia"/>
                <w:kern w:val="0"/>
                <w:sz w:val="20"/>
                <w:szCs w:val="20"/>
              </w:rPr>
              <w:t>02</w:t>
            </w:r>
            <w:r>
              <w:rPr>
                <w:rFonts w:ascii="宋体" w:hAnsi="宋体" w:cs="Arial" w:hint="eastAsia"/>
                <w:kern w:val="0"/>
                <w:sz w:val="20"/>
                <w:szCs w:val="20"/>
              </w:rPr>
              <w:t>表</w:t>
            </w:r>
          </w:p>
        </w:tc>
      </w:tr>
      <w:tr w:rsidR="00000000">
        <w:trPr>
          <w:trHeight w:val="255"/>
        </w:trPr>
        <w:tc>
          <w:tcPr>
            <w:tcW w:w="5258" w:type="dxa"/>
            <w:gridSpan w:val="4"/>
            <w:tcBorders>
              <w:top w:val="nil"/>
              <w:left w:val="nil"/>
              <w:bottom w:val="nil"/>
              <w:right w:val="nil"/>
            </w:tcBorders>
            <w:noWrap/>
            <w:vAlign w:val="bottom"/>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部门：许昌市住房公积金中心</w:t>
            </w:r>
          </w:p>
        </w:tc>
        <w:tc>
          <w:tcPr>
            <w:tcW w:w="184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59"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992"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851"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85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134"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60" w:type="dxa"/>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金额单位：万元</w:t>
            </w:r>
          </w:p>
        </w:tc>
      </w:tr>
      <w:tr w:rsidR="00000000">
        <w:trPr>
          <w:trHeight w:val="308"/>
        </w:trPr>
        <w:tc>
          <w:tcPr>
            <w:tcW w:w="5258" w:type="dxa"/>
            <w:gridSpan w:val="4"/>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项目</w:t>
            </w:r>
          </w:p>
        </w:tc>
        <w:tc>
          <w:tcPr>
            <w:tcW w:w="1843"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本年收入合计</w:t>
            </w:r>
          </w:p>
        </w:tc>
        <w:tc>
          <w:tcPr>
            <w:tcW w:w="1559"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财政拨款收入</w:t>
            </w:r>
          </w:p>
        </w:tc>
        <w:tc>
          <w:tcPr>
            <w:tcW w:w="992"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上级补助收入</w:t>
            </w:r>
          </w:p>
        </w:tc>
        <w:tc>
          <w:tcPr>
            <w:tcW w:w="851"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事业收入</w:t>
            </w:r>
          </w:p>
        </w:tc>
        <w:tc>
          <w:tcPr>
            <w:tcW w:w="850"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经营收入</w:t>
            </w:r>
          </w:p>
        </w:tc>
        <w:tc>
          <w:tcPr>
            <w:tcW w:w="1134"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附属单位上缴收入</w:t>
            </w:r>
          </w:p>
        </w:tc>
        <w:tc>
          <w:tcPr>
            <w:tcW w:w="1560"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其他收入</w:t>
            </w:r>
          </w:p>
        </w:tc>
      </w:tr>
      <w:tr w:rsidR="00000000">
        <w:trPr>
          <w:trHeight w:val="312"/>
        </w:trPr>
        <w:tc>
          <w:tcPr>
            <w:tcW w:w="986" w:type="dxa"/>
            <w:gridSpan w:val="3"/>
            <w:vMerge w:val="restart"/>
            <w:tcBorders>
              <w:top w:val="nil"/>
              <w:left w:val="single" w:sz="4" w:space="0" w:color="000000"/>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科目代码</w:t>
            </w:r>
          </w:p>
        </w:tc>
        <w:tc>
          <w:tcPr>
            <w:tcW w:w="4272" w:type="dxa"/>
            <w:vMerge w:val="restart"/>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科目名称</w:t>
            </w:r>
          </w:p>
        </w:tc>
        <w:tc>
          <w:tcPr>
            <w:tcW w:w="1843"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992"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851"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850"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60"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12"/>
        </w:trPr>
        <w:tc>
          <w:tcPr>
            <w:tcW w:w="986" w:type="dxa"/>
            <w:gridSpan w:val="3"/>
            <w:vMerge/>
            <w:tcBorders>
              <w:top w:val="nil"/>
              <w:left w:val="single" w:sz="4" w:space="0" w:color="000000"/>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4272"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843"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992"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851"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850"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60"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12"/>
        </w:trPr>
        <w:tc>
          <w:tcPr>
            <w:tcW w:w="986" w:type="dxa"/>
            <w:gridSpan w:val="3"/>
            <w:vMerge/>
            <w:tcBorders>
              <w:top w:val="nil"/>
              <w:left w:val="single" w:sz="4" w:space="0" w:color="000000"/>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4272"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843"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992"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851"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850"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60"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08"/>
        </w:trPr>
        <w:tc>
          <w:tcPr>
            <w:tcW w:w="5258" w:type="dxa"/>
            <w:gridSpan w:val="4"/>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栏次</w:t>
            </w:r>
          </w:p>
        </w:tc>
        <w:tc>
          <w:tcPr>
            <w:tcW w:w="1843"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1</w:t>
            </w:r>
          </w:p>
        </w:tc>
        <w:tc>
          <w:tcPr>
            <w:tcW w:w="1559"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2</w:t>
            </w:r>
          </w:p>
        </w:tc>
        <w:tc>
          <w:tcPr>
            <w:tcW w:w="992"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3</w:t>
            </w:r>
          </w:p>
        </w:tc>
        <w:tc>
          <w:tcPr>
            <w:tcW w:w="851"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4</w:t>
            </w:r>
          </w:p>
        </w:tc>
        <w:tc>
          <w:tcPr>
            <w:tcW w:w="850"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5</w:t>
            </w:r>
          </w:p>
        </w:tc>
        <w:tc>
          <w:tcPr>
            <w:tcW w:w="1134"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6</w:t>
            </w:r>
          </w:p>
        </w:tc>
        <w:tc>
          <w:tcPr>
            <w:tcW w:w="1560"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7</w:t>
            </w:r>
          </w:p>
        </w:tc>
      </w:tr>
      <w:tr w:rsidR="00000000">
        <w:trPr>
          <w:trHeight w:val="308"/>
        </w:trPr>
        <w:tc>
          <w:tcPr>
            <w:tcW w:w="5258" w:type="dxa"/>
            <w:gridSpan w:val="4"/>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合计</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1,002.14</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1,002.14</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一般公共服务支出</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11.2</w:t>
            </w:r>
            <w:r>
              <w:rPr>
                <w:rFonts w:ascii="宋体" w:hAnsi="宋体" w:cs="Arial" w:hint="eastAsia"/>
                <w:kern w:val="0"/>
                <w:sz w:val="22"/>
              </w:rPr>
              <w:t>1</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11.21</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20129</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群众团体事务</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2012906</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工会事务</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20199</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其他一般公共服务支出</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2019999</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其他一般公共服务支出</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社会保障和就业支</w:t>
            </w:r>
            <w:r>
              <w:rPr>
                <w:rFonts w:ascii="宋体" w:hAnsi="宋体" w:cs="Arial" w:hint="eastAsia"/>
                <w:kern w:val="0"/>
                <w:sz w:val="22"/>
              </w:rPr>
              <w:t>出</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20805</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行政事业单位养老支出</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2080502</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事业单位离退休</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13.05</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13.05</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2080505</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机关事业单位基本养老保险缴费支出</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39.34</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39.34</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卫生健康支出</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w:t>
            </w:r>
            <w:r>
              <w:rPr>
                <w:rFonts w:ascii="宋体" w:hAnsi="宋体" w:cs="Arial" w:hint="eastAsia"/>
                <w:kern w:val="0"/>
                <w:sz w:val="22"/>
              </w:rPr>
              <w:t>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21011</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行政事业单位医疗</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2101102</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事业单位医疗</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19.87</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19.87</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2101103</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公务员医疗补助</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18.58</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18.58</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住房保障支出</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900.10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900.10</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22102</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住房改革支出</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w:t>
            </w:r>
            <w:r>
              <w:rPr>
                <w:rFonts w:ascii="宋体" w:hAnsi="宋体" w:cs="Arial" w:hint="eastAsia"/>
                <w:kern w:val="0"/>
                <w:sz w:val="22"/>
              </w:rPr>
              <w:t>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lastRenderedPageBreak/>
              <w:t>2210201</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22103</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城乡社区住宅</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862.24</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862.24</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2210302</w:t>
            </w:r>
          </w:p>
        </w:tc>
        <w:tc>
          <w:tcPr>
            <w:tcW w:w="4272"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住房公积金管理</w:t>
            </w:r>
          </w:p>
        </w:tc>
        <w:tc>
          <w:tcPr>
            <w:tcW w:w="1843"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862.24</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862.24</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85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6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14047" w:type="dxa"/>
            <w:gridSpan w:val="11"/>
            <w:tcBorders>
              <w:top w:val="nil"/>
              <w:left w:val="nil"/>
              <w:bottom w:val="nil"/>
              <w:right w:val="nil"/>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注：本表反映部门本年度取得的各项收入情况。本表金额单位转换为万元时，因四舍五入可能存在尾差。</w:t>
            </w:r>
          </w:p>
        </w:tc>
      </w:tr>
    </w:tbl>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sectPr w:rsidR="00000000">
          <w:pgSz w:w="16838" w:h="11906" w:orient="landscape"/>
          <w:pgMar w:top="1800" w:right="1440" w:bottom="1800" w:left="1440" w:header="720" w:footer="720" w:gutter="0"/>
          <w:pgNumType w:fmt="numberInDash"/>
          <w:cols w:space="720"/>
          <w:docGrid w:type="lines" w:linePitch="312"/>
        </w:sectPr>
      </w:pPr>
    </w:p>
    <w:tbl>
      <w:tblPr>
        <w:tblW w:w="13905" w:type="dxa"/>
        <w:tblInd w:w="95" w:type="dxa"/>
        <w:tblLook w:val="0000"/>
      </w:tblPr>
      <w:tblGrid>
        <w:gridCol w:w="400"/>
        <w:gridCol w:w="313"/>
        <w:gridCol w:w="273"/>
        <w:gridCol w:w="4130"/>
        <w:gridCol w:w="1575"/>
        <w:gridCol w:w="1559"/>
        <w:gridCol w:w="1701"/>
        <w:gridCol w:w="1276"/>
        <w:gridCol w:w="1134"/>
        <w:gridCol w:w="1544"/>
      </w:tblGrid>
      <w:tr w:rsidR="00000000">
        <w:trPr>
          <w:trHeight w:val="390"/>
        </w:trPr>
        <w:tc>
          <w:tcPr>
            <w:tcW w:w="13905" w:type="dxa"/>
            <w:gridSpan w:val="10"/>
            <w:tcBorders>
              <w:top w:val="nil"/>
              <w:left w:val="nil"/>
              <w:bottom w:val="nil"/>
              <w:right w:val="nil"/>
            </w:tcBorders>
            <w:noWrap/>
            <w:vAlign w:val="bottom"/>
          </w:tcPr>
          <w:p w:rsidR="00000000" w:rsidRDefault="00361716">
            <w:pPr>
              <w:widowControl/>
              <w:jc w:val="center"/>
              <w:rPr>
                <w:rFonts w:ascii="宋体" w:hAnsi="宋体" w:cs="Arial"/>
                <w:kern w:val="0"/>
                <w:sz w:val="30"/>
                <w:szCs w:val="30"/>
              </w:rPr>
            </w:pPr>
            <w:r>
              <w:rPr>
                <w:rFonts w:ascii="宋体" w:hAnsi="宋体" w:cs="Arial" w:hint="eastAsia"/>
                <w:kern w:val="0"/>
                <w:sz w:val="30"/>
                <w:szCs w:val="30"/>
              </w:rPr>
              <w:lastRenderedPageBreak/>
              <w:t>支出决算表</w:t>
            </w:r>
          </w:p>
        </w:tc>
      </w:tr>
      <w:tr w:rsidR="00000000">
        <w:trPr>
          <w:trHeight w:val="255"/>
        </w:trPr>
        <w:tc>
          <w:tcPr>
            <w:tcW w:w="40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31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27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13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75"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59"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701"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27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134"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44" w:type="dxa"/>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公开</w:t>
            </w:r>
            <w:r>
              <w:rPr>
                <w:rFonts w:ascii="宋体" w:hAnsi="宋体" w:cs="Arial" w:hint="eastAsia"/>
                <w:kern w:val="0"/>
                <w:sz w:val="20"/>
                <w:szCs w:val="20"/>
              </w:rPr>
              <w:t>03</w:t>
            </w:r>
            <w:r>
              <w:rPr>
                <w:rFonts w:ascii="宋体" w:hAnsi="宋体" w:cs="Arial" w:hint="eastAsia"/>
                <w:kern w:val="0"/>
                <w:sz w:val="20"/>
                <w:szCs w:val="20"/>
              </w:rPr>
              <w:t>表</w:t>
            </w:r>
          </w:p>
        </w:tc>
      </w:tr>
      <w:tr w:rsidR="00000000">
        <w:trPr>
          <w:trHeight w:val="255"/>
        </w:trPr>
        <w:tc>
          <w:tcPr>
            <w:tcW w:w="5116" w:type="dxa"/>
            <w:gridSpan w:val="4"/>
            <w:tcBorders>
              <w:top w:val="nil"/>
              <w:left w:val="nil"/>
              <w:bottom w:val="nil"/>
              <w:right w:val="nil"/>
            </w:tcBorders>
            <w:noWrap/>
            <w:vAlign w:val="bottom"/>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部门：许昌市住房公积金中心</w:t>
            </w:r>
          </w:p>
        </w:tc>
        <w:tc>
          <w:tcPr>
            <w:tcW w:w="1575"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59"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701"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27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134"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44" w:type="dxa"/>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金额单位：万元</w:t>
            </w:r>
          </w:p>
        </w:tc>
      </w:tr>
      <w:tr w:rsidR="00000000">
        <w:trPr>
          <w:trHeight w:val="308"/>
        </w:trPr>
        <w:tc>
          <w:tcPr>
            <w:tcW w:w="5116" w:type="dxa"/>
            <w:gridSpan w:val="4"/>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项目</w:t>
            </w:r>
          </w:p>
        </w:tc>
        <w:tc>
          <w:tcPr>
            <w:tcW w:w="1575"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本年支出合计</w:t>
            </w:r>
          </w:p>
        </w:tc>
        <w:tc>
          <w:tcPr>
            <w:tcW w:w="1559"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基本支出</w:t>
            </w:r>
          </w:p>
        </w:tc>
        <w:tc>
          <w:tcPr>
            <w:tcW w:w="1701"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项目支出</w:t>
            </w:r>
          </w:p>
        </w:tc>
        <w:tc>
          <w:tcPr>
            <w:tcW w:w="1276"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上缴上级支出</w:t>
            </w:r>
          </w:p>
        </w:tc>
        <w:tc>
          <w:tcPr>
            <w:tcW w:w="1134"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经营支出</w:t>
            </w:r>
          </w:p>
        </w:tc>
        <w:tc>
          <w:tcPr>
            <w:tcW w:w="1544" w:type="dxa"/>
            <w:vMerge w:val="restart"/>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对附属单位补助支出</w:t>
            </w:r>
          </w:p>
        </w:tc>
      </w:tr>
      <w:tr w:rsidR="00000000">
        <w:trPr>
          <w:trHeight w:val="312"/>
        </w:trPr>
        <w:tc>
          <w:tcPr>
            <w:tcW w:w="986" w:type="dxa"/>
            <w:gridSpan w:val="3"/>
            <w:vMerge w:val="restart"/>
            <w:tcBorders>
              <w:top w:val="nil"/>
              <w:left w:val="single" w:sz="4" w:space="0" w:color="000000"/>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科目代码</w:t>
            </w:r>
          </w:p>
        </w:tc>
        <w:tc>
          <w:tcPr>
            <w:tcW w:w="4130" w:type="dxa"/>
            <w:vMerge w:val="restart"/>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科目名称</w:t>
            </w:r>
          </w:p>
        </w:tc>
        <w:tc>
          <w:tcPr>
            <w:tcW w:w="1575"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701"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276"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44"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12"/>
        </w:trPr>
        <w:tc>
          <w:tcPr>
            <w:tcW w:w="986" w:type="dxa"/>
            <w:gridSpan w:val="3"/>
            <w:vMerge/>
            <w:tcBorders>
              <w:top w:val="nil"/>
              <w:left w:val="single" w:sz="4" w:space="0" w:color="000000"/>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4130"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75"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701"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276"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44"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12"/>
        </w:trPr>
        <w:tc>
          <w:tcPr>
            <w:tcW w:w="986" w:type="dxa"/>
            <w:gridSpan w:val="3"/>
            <w:vMerge/>
            <w:tcBorders>
              <w:top w:val="nil"/>
              <w:left w:val="single" w:sz="4" w:space="0" w:color="000000"/>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4130"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75"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701"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276"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544" w:type="dxa"/>
            <w:vMerge/>
            <w:tcBorders>
              <w:top w:val="single" w:sz="4" w:space="0" w:color="000000"/>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08"/>
        </w:trPr>
        <w:tc>
          <w:tcPr>
            <w:tcW w:w="5116" w:type="dxa"/>
            <w:gridSpan w:val="4"/>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栏次</w:t>
            </w:r>
          </w:p>
        </w:tc>
        <w:tc>
          <w:tcPr>
            <w:tcW w:w="1575"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1</w:t>
            </w:r>
          </w:p>
        </w:tc>
        <w:tc>
          <w:tcPr>
            <w:tcW w:w="1559"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2</w:t>
            </w:r>
          </w:p>
        </w:tc>
        <w:tc>
          <w:tcPr>
            <w:tcW w:w="1701"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3</w:t>
            </w:r>
          </w:p>
        </w:tc>
        <w:tc>
          <w:tcPr>
            <w:tcW w:w="1276"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4</w:t>
            </w:r>
          </w:p>
        </w:tc>
        <w:tc>
          <w:tcPr>
            <w:tcW w:w="1134"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5</w:t>
            </w:r>
          </w:p>
        </w:tc>
        <w:tc>
          <w:tcPr>
            <w:tcW w:w="1544"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6</w:t>
            </w:r>
          </w:p>
        </w:tc>
      </w:tr>
      <w:tr w:rsidR="00000000">
        <w:trPr>
          <w:trHeight w:val="308"/>
        </w:trPr>
        <w:tc>
          <w:tcPr>
            <w:tcW w:w="5116" w:type="dxa"/>
            <w:gridSpan w:val="4"/>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合计</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1,002.14</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884.94</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117.20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一般公共服务支出</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11.21</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11.21</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20129</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群众团体事务</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2012906</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工会事务</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20199</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其他一般公共服务支出</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2019999</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其他一般公共服务支出</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社会保障和就业支出</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20805</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行政事业单位养老支出</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2080502</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事业单</w:t>
            </w:r>
            <w:r>
              <w:rPr>
                <w:rFonts w:ascii="宋体" w:hAnsi="宋体" w:cs="Arial" w:hint="eastAsia"/>
                <w:kern w:val="0"/>
                <w:sz w:val="22"/>
              </w:rPr>
              <w:t>位离退休</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13.05</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13.05</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2080505</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机关事业单位基本养老保险缴费支出</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39.34</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39.34</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卫生健康支出</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21011</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行政事业单位医疗</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2101102</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事业单位医疗</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19.87</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19.87</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2101103</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公务员医疗补</w:t>
            </w:r>
            <w:r>
              <w:rPr>
                <w:rFonts w:ascii="宋体" w:hAnsi="宋体" w:cs="Arial" w:hint="eastAsia"/>
                <w:kern w:val="0"/>
                <w:sz w:val="22"/>
              </w:rPr>
              <w:t>助</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18.58</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18.58</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住房保障支出</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900.10</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782.90</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117.20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22102</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住房改革支出</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lastRenderedPageBreak/>
              <w:t>2210201</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22103</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城乡社区住宅</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862.24</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745.04</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117.20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2210302</w:t>
            </w:r>
          </w:p>
        </w:tc>
        <w:tc>
          <w:tcPr>
            <w:tcW w:w="4130"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住房公积金管理</w:t>
            </w:r>
          </w:p>
        </w:tc>
        <w:tc>
          <w:tcPr>
            <w:tcW w:w="1575"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862.24</w:t>
            </w:r>
          </w:p>
        </w:tc>
        <w:tc>
          <w:tcPr>
            <w:tcW w:w="1559"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745</w:t>
            </w:r>
            <w:r>
              <w:rPr>
                <w:rFonts w:ascii="宋体" w:hAnsi="宋体" w:cs="Arial" w:hint="eastAsia"/>
                <w:kern w:val="0"/>
                <w:sz w:val="22"/>
              </w:rPr>
              <w:t>.04</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117.20</w:t>
            </w:r>
          </w:p>
        </w:tc>
        <w:tc>
          <w:tcPr>
            <w:tcW w:w="127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54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13905" w:type="dxa"/>
            <w:gridSpan w:val="10"/>
            <w:tcBorders>
              <w:top w:val="nil"/>
              <w:left w:val="nil"/>
              <w:bottom w:val="nil"/>
              <w:right w:val="nil"/>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注：本表反映部门本年度各项支出情况。本表金额单位转换为万元时，因四舍五入可能存在尾差。</w:t>
            </w:r>
          </w:p>
        </w:tc>
      </w:tr>
    </w:tbl>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sectPr w:rsidR="00000000">
          <w:pgSz w:w="16838" w:h="11906" w:orient="landscape"/>
          <w:pgMar w:top="1800" w:right="1440" w:bottom="1800" w:left="1440" w:header="720" w:footer="720" w:gutter="0"/>
          <w:pgNumType w:fmt="numberInDash"/>
          <w:cols w:space="720"/>
          <w:docGrid w:type="lines" w:linePitch="312"/>
        </w:sectPr>
      </w:pPr>
    </w:p>
    <w:tbl>
      <w:tblPr>
        <w:tblW w:w="14188" w:type="dxa"/>
        <w:tblInd w:w="95" w:type="dxa"/>
        <w:tblLook w:val="0000"/>
      </w:tblPr>
      <w:tblGrid>
        <w:gridCol w:w="3415"/>
        <w:gridCol w:w="254"/>
        <w:gridCol w:w="313"/>
        <w:gridCol w:w="180"/>
        <w:gridCol w:w="1096"/>
        <w:gridCol w:w="3969"/>
        <w:gridCol w:w="271"/>
        <w:gridCol w:w="296"/>
        <w:gridCol w:w="191"/>
        <w:gridCol w:w="943"/>
        <w:gridCol w:w="153"/>
        <w:gridCol w:w="981"/>
        <w:gridCol w:w="259"/>
        <w:gridCol w:w="733"/>
        <w:gridCol w:w="1134"/>
      </w:tblGrid>
      <w:tr w:rsidR="00000000">
        <w:trPr>
          <w:trHeight w:val="390"/>
        </w:trPr>
        <w:tc>
          <w:tcPr>
            <w:tcW w:w="14188" w:type="dxa"/>
            <w:gridSpan w:val="15"/>
            <w:tcBorders>
              <w:top w:val="nil"/>
              <w:left w:val="nil"/>
              <w:bottom w:val="nil"/>
              <w:right w:val="nil"/>
            </w:tcBorders>
            <w:noWrap/>
            <w:vAlign w:val="bottom"/>
          </w:tcPr>
          <w:p w:rsidR="00000000" w:rsidRDefault="00361716">
            <w:pPr>
              <w:widowControl/>
              <w:jc w:val="center"/>
              <w:rPr>
                <w:rFonts w:ascii="宋体" w:hAnsi="宋体" w:cs="Arial"/>
                <w:kern w:val="0"/>
                <w:sz w:val="30"/>
                <w:szCs w:val="30"/>
              </w:rPr>
            </w:pPr>
            <w:r>
              <w:rPr>
                <w:rFonts w:ascii="宋体" w:hAnsi="宋体" w:cs="Arial" w:hint="eastAsia"/>
                <w:kern w:val="0"/>
                <w:sz w:val="30"/>
                <w:szCs w:val="30"/>
              </w:rPr>
              <w:lastRenderedPageBreak/>
              <w:t>财政拨款收入支出决算总表</w:t>
            </w:r>
          </w:p>
        </w:tc>
      </w:tr>
      <w:tr w:rsidR="00000000">
        <w:trPr>
          <w:trHeight w:val="255"/>
        </w:trPr>
        <w:tc>
          <w:tcPr>
            <w:tcW w:w="3669"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93"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09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24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87"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096"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24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867" w:type="dxa"/>
            <w:gridSpan w:val="2"/>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公开</w:t>
            </w:r>
            <w:r>
              <w:rPr>
                <w:rFonts w:ascii="宋体" w:hAnsi="宋体" w:cs="Arial" w:hint="eastAsia"/>
                <w:kern w:val="0"/>
                <w:sz w:val="20"/>
                <w:szCs w:val="20"/>
              </w:rPr>
              <w:t>04</w:t>
            </w:r>
            <w:r>
              <w:rPr>
                <w:rFonts w:ascii="宋体" w:hAnsi="宋体" w:cs="Arial" w:hint="eastAsia"/>
                <w:kern w:val="0"/>
                <w:sz w:val="20"/>
                <w:szCs w:val="20"/>
              </w:rPr>
              <w:t>表</w:t>
            </w:r>
          </w:p>
        </w:tc>
      </w:tr>
      <w:tr w:rsidR="00000000">
        <w:trPr>
          <w:trHeight w:val="255"/>
        </w:trPr>
        <w:tc>
          <w:tcPr>
            <w:tcW w:w="3669" w:type="dxa"/>
            <w:gridSpan w:val="2"/>
            <w:tcBorders>
              <w:top w:val="nil"/>
              <w:left w:val="nil"/>
              <w:bottom w:val="nil"/>
              <w:right w:val="nil"/>
            </w:tcBorders>
            <w:noWrap/>
            <w:vAlign w:val="bottom"/>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部门：许昌市住房公积金中心</w:t>
            </w:r>
          </w:p>
        </w:tc>
        <w:tc>
          <w:tcPr>
            <w:tcW w:w="493"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09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24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87"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096"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24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867" w:type="dxa"/>
            <w:gridSpan w:val="2"/>
            <w:tcBorders>
              <w:top w:val="nil"/>
              <w:left w:val="nil"/>
              <w:bottom w:val="single" w:sz="4" w:space="0" w:color="000000"/>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金额单位：万元</w:t>
            </w:r>
          </w:p>
        </w:tc>
      </w:tr>
      <w:tr w:rsidR="00000000">
        <w:trPr>
          <w:trHeight w:val="308"/>
        </w:trPr>
        <w:tc>
          <w:tcPr>
            <w:tcW w:w="5258" w:type="dxa"/>
            <w:gridSpan w:val="5"/>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收</w:t>
            </w:r>
            <w:r>
              <w:rPr>
                <w:rFonts w:ascii="宋体" w:hAnsi="宋体" w:cs="Arial" w:hint="eastAsia"/>
                <w:kern w:val="0"/>
                <w:sz w:val="22"/>
              </w:rPr>
              <w:t xml:space="preserve">     </w:t>
            </w:r>
            <w:r>
              <w:rPr>
                <w:rFonts w:ascii="宋体" w:hAnsi="宋体" w:cs="Arial" w:hint="eastAsia"/>
                <w:kern w:val="0"/>
                <w:sz w:val="22"/>
              </w:rPr>
              <w:t>入</w:t>
            </w:r>
          </w:p>
        </w:tc>
        <w:tc>
          <w:tcPr>
            <w:tcW w:w="8930" w:type="dxa"/>
            <w:gridSpan w:val="10"/>
            <w:tcBorders>
              <w:top w:val="single" w:sz="4" w:space="0" w:color="000000"/>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支</w:t>
            </w:r>
            <w:r>
              <w:rPr>
                <w:rFonts w:ascii="宋体" w:hAnsi="宋体" w:cs="Arial" w:hint="eastAsia"/>
                <w:kern w:val="0"/>
                <w:sz w:val="22"/>
              </w:rPr>
              <w:t xml:space="preserve">     </w:t>
            </w:r>
            <w:r>
              <w:rPr>
                <w:rFonts w:ascii="宋体" w:hAnsi="宋体" w:cs="Arial" w:hint="eastAsia"/>
                <w:kern w:val="0"/>
                <w:sz w:val="22"/>
              </w:rPr>
              <w:t>出</w:t>
            </w:r>
          </w:p>
        </w:tc>
      </w:tr>
      <w:tr w:rsidR="00000000">
        <w:trPr>
          <w:trHeight w:val="312"/>
        </w:trPr>
        <w:tc>
          <w:tcPr>
            <w:tcW w:w="3415" w:type="dxa"/>
            <w:vMerge w:val="restart"/>
            <w:tcBorders>
              <w:top w:val="nil"/>
              <w:left w:val="single" w:sz="4" w:space="0" w:color="000000"/>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项目</w:t>
            </w:r>
          </w:p>
        </w:tc>
        <w:tc>
          <w:tcPr>
            <w:tcW w:w="567"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行次</w:t>
            </w:r>
          </w:p>
        </w:tc>
        <w:tc>
          <w:tcPr>
            <w:tcW w:w="1276"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金额</w:t>
            </w:r>
          </w:p>
        </w:tc>
        <w:tc>
          <w:tcPr>
            <w:tcW w:w="3969"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项目</w:t>
            </w:r>
          </w:p>
        </w:tc>
        <w:tc>
          <w:tcPr>
            <w:tcW w:w="567"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行次</w:t>
            </w:r>
          </w:p>
        </w:tc>
        <w:tc>
          <w:tcPr>
            <w:tcW w:w="1134" w:type="dxa"/>
            <w:gridSpan w:val="2"/>
            <w:vMerge w:val="restart"/>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合计</w:t>
            </w:r>
          </w:p>
        </w:tc>
        <w:tc>
          <w:tcPr>
            <w:tcW w:w="1134"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一般公共预算财政拨款</w:t>
            </w:r>
          </w:p>
        </w:tc>
        <w:tc>
          <w:tcPr>
            <w:tcW w:w="992"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政府性基金预算财政拨款</w:t>
            </w:r>
          </w:p>
        </w:tc>
        <w:tc>
          <w:tcPr>
            <w:tcW w:w="1134"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国有资本经营预算财政拨款</w:t>
            </w:r>
          </w:p>
        </w:tc>
      </w:tr>
      <w:tr w:rsidR="00000000">
        <w:trPr>
          <w:trHeight w:val="615"/>
        </w:trPr>
        <w:tc>
          <w:tcPr>
            <w:tcW w:w="3415" w:type="dxa"/>
            <w:vMerge/>
            <w:tcBorders>
              <w:top w:val="nil"/>
              <w:left w:val="single" w:sz="4" w:space="0" w:color="000000"/>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567"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276"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3969"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567"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992"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栏次</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 xml:space="preserve">　</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栏次</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 xml:space="preserve">　</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一、一般公共预算财政拨款</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w:t>
            </w:r>
            <w:r>
              <w:rPr>
                <w:rFonts w:ascii="宋体" w:hAnsi="宋体" w:cs="Arial" w:hint="eastAsia"/>
                <w:kern w:val="0"/>
                <w:sz w:val="22"/>
              </w:rPr>
              <w:t>14</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一、一般公共服务支出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33</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11.21</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11.21</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二、政府性基金预算财政拨款</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二、外交支出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34</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三、国有资本经营预算财政拨款</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三、国防支出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35</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四、公共安全支出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36</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五、教育支出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37</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六、科学技术支出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38</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w:t>
            </w:r>
            <w:r>
              <w:rPr>
                <w:rFonts w:ascii="宋体" w:hAnsi="宋体" w:cs="Arial" w:hint="eastAsia"/>
                <w:kern w:val="0"/>
                <w:sz w:val="22"/>
              </w:rPr>
              <w:t>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7</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七、文化旅游体育与传媒支出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39</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8</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八、社会保障和就业支出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9</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九、卫生健康支出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41</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10</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十、节能环保支出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42</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11</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十一、城乡社区支出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43</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12</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十二、农林水支出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44</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13</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十三、交通运输支出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45</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14</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十四、资源勘探工业信息等支出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46</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15</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十五、商业服务业等支出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47</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lastRenderedPageBreak/>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16</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十六、金融支出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48</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17</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十七、援助其他地区支出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49</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18</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十八、自然资源海洋气象等支出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19</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十九、住房保障支出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51</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900.10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900.10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20</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二十、粮油物资储备支出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52</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21</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二十一、国有资本经营预算支出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53</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22</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二十二、灾害防治及应急管理支出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54</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23</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二十三、其他支出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55</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0"/>
                <w:szCs w:val="20"/>
              </w:rPr>
            </w:pPr>
            <w:r>
              <w:rPr>
                <w:rFonts w:ascii="宋体" w:hAnsi="宋体" w:cs="Arial" w:hint="eastAsia"/>
                <w:b/>
                <w:bCs/>
                <w:kern w:val="0"/>
                <w:sz w:val="20"/>
                <w:szCs w:val="20"/>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24</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二十四、债务还本支出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56</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25</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二十五、债务付息支出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57</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26</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二十六、抗疫特别国债安排的支出</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58</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2"/>
              </w:rPr>
            </w:pPr>
            <w:r>
              <w:rPr>
                <w:rFonts w:ascii="宋体" w:hAnsi="宋体" w:cs="Arial" w:hint="eastAsia"/>
                <w:b/>
                <w:bCs/>
                <w:kern w:val="0"/>
                <w:sz w:val="22"/>
              </w:rPr>
              <w:t>本年收入合计</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27</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2"/>
              </w:rPr>
            </w:pPr>
            <w:r>
              <w:rPr>
                <w:rFonts w:ascii="宋体" w:hAnsi="宋体" w:cs="Arial" w:hint="eastAsia"/>
                <w:b/>
                <w:bCs/>
                <w:kern w:val="0"/>
                <w:sz w:val="22"/>
              </w:rPr>
              <w:t>本年支出合计</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59</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年初财政拨款结转和结余</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28</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年末财政拨款结转和结余</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一般公共预算财政拨款</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29</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61</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政府性基金预算财政</w:t>
            </w:r>
            <w:r>
              <w:rPr>
                <w:rFonts w:ascii="宋体" w:hAnsi="宋体" w:cs="Arial" w:hint="eastAsia"/>
                <w:kern w:val="0"/>
                <w:sz w:val="22"/>
              </w:rPr>
              <w:t>拨款</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30</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62</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国有资本经营预算财政拨款</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31</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63</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r>
      <w:tr w:rsidR="00000000">
        <w:trPr>
          <w:trHeight w:val="308"/>
        </w:trPr>
        <w:tc>
          <w:tcPr>
            <w:tcW w:w="3415" w:type="dxa"/>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2"/>
              </w:rPr>
            </w:pPr>
            <w:r>
              <w:rPr>
                <w:rFonts w:ascii="宋体" w:hAnsi="宋体" w:cs="Arial" w:hint="eastAsia"/>
                <w:b/>
                <w:bCs/>
                <w:kern w:val="0"/>
                <w:sz w:val="22"/>
              </w:rPr>
              <w:t>总计</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32</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c>
          <w:tcPr>
            <w:tcW w:w="3969"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b/>
                <w:bCs/>
                <w:kern w:val="0"/>
                <w:sz w:val="22"/>
              </w:rPr>
            </w:pPr>
            <w:r>
              <w:rPr>
                <w:rFonts w:ascii="宋体" w:hAnsi="宋体" w:cs="Arial" w:hint="eastAsia"/>
                <w:b/>
                <w:bCs/>
                <w:kern w:val="0"/>
                <w:sz w:val="22"/>
              </w:rPr>
              <w:t>总计</w:t>
            </w:r>
          </w:p>
        </w:tc>
        <w:tc>
          <w:tcPr>
            <w:tcW w:w="567"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64</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c>
          <w:tcPr>
            <w:tcW w:w="113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1,002.14</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3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14188" w:type="dxa"/>
            <w:gridSpan w:val="15"/>
            <w:tcBorders>
              <w:top w:val="nil"/>
              <w:left w:val="nil"/>
              <w:bottom w:val="nil"/>
              <w:right w:val="nil"/>
            </w:tcBorders>
            <w:noWrap/>
            <w:vAlign w:val="center"/>
          </w:tcPr>
          <w:p w:rsidR="00000000" w:rsidRDefault="00361716">
            <w:pPr>
              <w:widowControl/>
              <w:jc w:val="left"/>
              <w:rPr>
                <w:rFonts w:ascii="宋体" w:hAnsi="宋体" w:cs="Arial"/>
                <w:kern w:val="0"/>
                <w:sz w:val="20"/>
                <w:szCs w:val="20"/>
              </w:rPr>
            </w:pPr>
            <w:r>
              <w:rPr>
                <w:rFonts w:ascii="宋体" w:hAnsi="宋体" w:cs="Arial" w:hint="eastAsia"/>
                <w:kern w:val="0"/>
                <w:sz w:val="22"/>
              </w:rPr>
              <w:t>注：本表反映部门本年度一般公共预算财政拨款和政府性基金预算财政拨款的总收支和年末结转结余情况。本表金额单位转换为万元时，因四舍五入可能存在尾差。</w:t>
            </w:r>
          </w:p>
        </w:tc>
      </w:tr>
    </w:tbl>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sectPr w:rsidR="00000000">
          <w:pgSz w:w="16838" w:h="11906" w:orient="landscape"/>
          <w:pgMar w:top="1800" w:right="1440" w:bottom="1800" w:left="1440" w:header="720" w:footer="720" w:gutter="0"/>
          <w:pgNumType w:fmt="numberInDash"/>
          <w:cols w:space="720"/>
          <w:docGrid w:type="lines" w:linePitch="312"/>
        </w:sectPr>
      </w:pPr>
    </w:p>
    <w:tbl>
      <w:tblPr>
        <w:tblW w:w="13763" w:type="dxa"/>
        <w:tblInd w:w="95" w:type="dxa"/>
        <w:tblLook w:val="0000"/>
      </w:tblPr>
      <w:tblGrid>
        <w:gridCol w:w="400"/>
        <w:gridCol w:w="313"/>
        <w:gridCol w:w="273"/>
        <w:gridCol w:w="5043"/>
        <w:gridCol w:w="2124"/>
        <w:gridCol w:w="649"/>
        <w:gridCol w:w="1327"/>
        <w:gridCol w:w="1224"/>
        <w:gridCol w:w="2410"/>
      </w:tblGrid>
      <w:tr w:rsidR="00000000">
        <w:trPr>
          <w:trHeight w:val="390"/>
        </w:trPr>
        <w:tc>
          <w:tcPr>
            <w:tcW w:w="13763" w:type="dxa"/>
            <w:gridSpan w:val="9"/>
            <w:tcBorders>
              <w:top w:val="nil"/>
              <w:left w:val="nil"/>
              <w:bottom w:val="nil"/>
              <w:right w:val="nil"/>
            </w:tcBorders>
            <w:noWrap/>
            <w:vAlign w:val="bottom"/>
          </w:tcPr>
          <w:p w:rsidR="00000000" w:rsidRDefault="00361716">
            <w:pPr>
              <w:widowControl/>
              <w:jc w:val="center"/>
              <w:rPr>
                <w:rFonts w:ascii="宋体" w:hAnsi="宋体" w:cs="Arial"/>
                <w:kern w:val="0"/>
                <w:sz w:val="30"/>
                <w:szCs w:val="30"/>
              </w:rPr>
            </w:pPr>
            <w:r>
              <w:rPr>
                <w:rFonts w:ascii="宋体" w:hAnsi="宋体" w:cs="Arial" w:hint="eastAsia"/>
                <w:kern w:val="0"/>
                <w:sz w:val="30"/>
                <w:szCs w:val="30"/>
              </w:rPr>
              <w:lastRenderedPageBreak/>
              <w:t>一般公共预算财政拨款支出决算表</w:t>
            </w:r>
          </w:p>
        </w:tc>
      </w:tr>
      <w:tr w:rsidR="00000000">
        <w:trPr>
          <w:trHeight w:val="255"/>
        </w:trPr>
        <w:tc>
          <w:tcPr>
            <w:tcW w:w="40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31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27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5043"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2124"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976"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3634" w:type="dxa"/>
            <w:gridSpan w:val="2"/>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公开</w:t>
            </w:r>
            <w:r>
              <w:rPr>
                <w:rFonts w:ascii="宋体" w:hAnsi="宋体" w:cs="Arial" w:hint="eastAsia"/>
                <w:kern w:val="0"/>
                <w:sz w:val="20"/>
                <w:szCs w:val="20"/>
              </w:rPr>
              <w:t>05</w:t>
            </w:r>
            <w:r>
              <w:rPr>
                <w:rFonts w:ascii="宋体" w:hAnsi="宋体" w:cs="Arial" w:hint="eastAsia"/>
                <w:kern w:val="0"/>
                <w:sz w:val="20"/>
                <w:szCs w:val="20"/>
              </w:rPr>
              <w:t>表</w:t>
            </w:r>
          </w:p>
        </w:tc>
      </w:tr>
      <w:tr w:rsidR="00000000">
        <w:trPr>
          <w:trHeight w:val="255"/>
        </w:trPr>
        <w:tc>
          <w:tcPr>
            <w:tcW w:w="6029" w:type="dxa"/>
            <w:gridSpan w:val="4"/>
            <w:tcBorders>
              <w:top w:val="nil"/>
              <w:left w:val="nil"/>
              <w:bottom w:val="nil"/>
              <w:right w:val="nil"/>
            </w:tcBorders>
            <w:noWrap/>
            <w:vAlign w:val="bottom"/>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部门：许昌市住房公积金中心</w:t>
            </w:r>
          </w:p>
        </w:tc>
        <w:tc>
          <w:tcPr>
            <w:tcW w:w="2124"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976"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3634" w:type="dxa"/>
            <w:gridSpan w:val="2"/>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金额单位：万元</w:t>
            </w:r>
          </w:p>
        </w:tc>
      </w:tr>
      <w:tr w:rsidR="00000000">
        <w:trPr>
          <w:trHeight w:val="308"/>
        </w:trPr>
        <w:tc>
          <w:tcPr>
            <w:tcW w:w="6029" w:type="dxa"/>
            <w:gridSpan w:val="4"/>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项目</w:t>
            </w:r>
          </w:p>
        </w:tc>
        <w:tc>
          <w:tcPr>
            <w:tcW w:w="7734" w:type="dxa"/>
            <w:gridSpan w:val="5"/>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本年支出</w:t>
            </w:r>
          </w:p>
        </w:tc>
      </w:tr>
      <w:tr w:rsidR="00000000">
        <w:trPr>
          <w:trHeight w:val="312"/>
        </w:trPr>
        <w:tc>
          <w:tcPr>
            <w:tcW w:w="986" w:type="dxa"/>
            <w:gridSpan w:val="3"/>
            <w:vMerge w:val="restart"/>
            <w:tcBorders>
              <w:top w:val="nil"/>
              <w:left w:val="single" w:sz="4" w:space="0" w:color="000000"/>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科目代</w:t>
            </w:r>
            <w:r>
              <w:rPr>
                <w:rFonts w:ascii="宋体" w:hAnsi="宋体" w:cs="Arial" w:hint="eastAsia"/>
                <w:kern w:val="0"/>
                <w:sz w:val="22"/>
              </w:rPr>
              <w:t>码</w:t>
            </w:r>
          </w:p>
        </w:tc>
        <w:tc>
          <w:tcPr>
            <w:tcW w:w="5043" w:type="dxa"/>
            <w:vMerge w:val="restart"/>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科目名称</w:t>
            </w:r>
          </w:p>
        </w:tc>
        <w:tc>
          <w:tcPr>
            <w:tcW w:w="2773"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小计</w:t>
            </w:r>
          </w:p>
        </w:tc>
        <w:tc>
          <w:tcPr>
            <w:tcW w:w="2551"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基本支出</w:t>
            </w:r>
          </w:p>
        </w:tc>
        <w:tc>
          <w:tcPr>
            <w:tcW w:w="2410"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项目支出</w:t>
            </w:r>
          </w:p>
        </w:tc>
      </w:tr>
      <w:tr w:rsidR="00000000">
        <w:trPr>
          <w:trHeight w:val="312"/>
        </w:trPr>
        <w:tc>
          <w:tcPr>
            <w:tcW w:w="986" w:type="dxa"/>
            <w:gridSpan w:val="3"/>
            <w:vMerge/>
            <w:tcBorders>
              <w:top w:val="nil"/>
              <w:left w:val="single" w:sz="4" w:space="0" w:color="000000"/>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5043"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2773"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2551"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2410"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12"/>
        </w:trPr>
        <w:tc>
          <w:tcPr>
            <w:tcW w:w="986" w:type="dxa"/>
            <w:gridSpan w:val="3"/>
            <w:vMerge/>
            <w:tcBorders>
              <w:top w:val="nil"/>
              <w:left w:val="single" w:sz="4" w:space="0" w:color="000000"/>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5043"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2773"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2551"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2410"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08"/>
        </w:trPr>
        <w:tc>
          <w:tcPr>
            <w:tcW w:w="6029" w:type="dxa"/>
            <w:gridSpan w:val="4"/>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栏次</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1</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2</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3</w:t>
            </w:r>
          </w:p>
        </w:tc>
      </w:tr>
      <w:tr w:rsidR="00000000">
        <w:trPr>
          <w:trHeight w:val="308"/>
        </w:trPr>
        <w:tc>
          <w:tcPr>
            <w:tcW w:w="6029" w:type="dxa"/>
            <w:gridSpan w:val="4"/>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合计</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1,002.14</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884.94</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b/>
                <w:bCs/>
                <w:kern w:val="0"/>
                <w:sz w:val="22"/>
              </w:rPr>
            </w:pPr>
            <w:r>
              <w:rPr>
                <w:rFonts w:ascii="宋体" w:hAnsi="宋体" w:cs="Arial" w:hint="eastAsia"/>
                <w:b/>
                <w:bCs/>
                <w:kern w:val="0"/>
                <w:sz w:val="22"/>
              </w:rPr>
              <w:t>117.20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一般公共服务支出</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11.21</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11.21</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20129</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群众团体事务</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2012906</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工会事务</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20199</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其他一般公共服务支出</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2019999</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其他一般公共服务支出</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8.10</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社会保障和就业支出</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20805</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行政事业单位养老支出</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52.39</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2080502</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事业单位离退休</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13.05</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13.05</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2080505</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机关事业单位基本养老保险缴费支出</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39.34</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39.34</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卫生健康支出</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21011</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行政事业单位医疗</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38.46</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2101102</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事业单位医疗</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19.87</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19.87</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2101103</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公务员医疗补助</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18.58</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18.58</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住房保障支出</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900.10</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782.90</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117.20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22102</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住房改革支出</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lastRenderedPageBreak/>
              <w:t>2210201</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37.86</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22103</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城乡社区住宅</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862.24</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745.04</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117.20</w:t>
            </w:r>
          </w:p>
        </w:tc>
      </w:tr>
      <w:tr w:rsidR="00000000">
        <w:trPr>
          <w:trHeight w:val="308"/>
        </w:trPr>
        <w:tc>
          <w:tcPr>
            <w:tcW w:w="986"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2210302</w:t>
            </w:r>
          </w:p>
        </w:tc>
        <w:tc>
          <w:tcPr>
            <w:tcW w:w="504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住房公积金管理</w:t>
            </w:r>
          </w:p>
        </w:tc>
        <w:tc>
          <w:tcPr>
            <w:tcW w:w="2773"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862.24</w:t>
            </w:r>
          </w:p>
        </w:tc>
        <w:tc>
          <w:tcPr>
            <w:tcW w:w="2551"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745.04</w:t>
            </w:r>
          </w:p>
        </w:tc>
        <w:tc>
          <w:tcPr>
            <w:tcW w:w="241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117.20</w:t>
            </w:r>
          </w:p>
        </w:tc>
      </w:tr>
      <w:tr w:rsidR="00000000">
        <w:trPr>
          <w:trHeight w:val="308"/>
        </w:trPr>
        <w:tc>
          <w:tcPr>
            <w:tcW w:w="13763" w:type="dxa"/>
            <w:gridSpan w:val="9"/>
            <w:tcBorders>
              <w:top w:val="nil"/>
              <w:left w:val="nil"/>
              <w:bottom w:val="nil"/>
              <w:right w:val="nil"/>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注：本表反映部门本年度一般公共预算财政拨款支出情况。本表金额单位转换为万元时，因四舍五入可能存在尾差。</w:t>
            </w:r>
          </w:p>
        </w:tc>
      </w:tr>
    </w:tbl>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sectPr w:rsidR="00000000">
          <w:pgSz w:w="16838" w:h="11906" w:orient="landscape"/>
          <w:pgMar w:top="1800" w:right="1440" w:bottom="1800" w:left="1440" w:header="720" w:footer="720" w:gutter="0"/>
          <w:pgNumType w:fmt="numberInDash"/>
          <w:cols w:space="720"/>
          <w:docGrid w:type="lines" w:linePitch="312"/>
        </w:sectPr>
      </w:pPr>
    </w:p>
    <w:tbl>
      <w:tblPr>
        <w:tblW w:w="14079" w:type="dxa"/>
        <w:tblInd w:w="95" w:type="dxa"/>
        <w:tblLook w:val="0000"/>
      </w:tblPr>
      <w:tblGrid>
        <w:gridCol w:w="765"/>
        <w:gridCol w:w="99"/>
        <w:gridCol w:w="2828"/>
        <w:gridCol w:w="281"/>
        <w:gridCol w:w="851"/>
        <w:gridCol w:w="766"/>
        <w:gridCol w:w="2147"/>
        <w:gridCol w:w="766"/>
        <w:gridCol w:w="765"/>
        <w:gridCol w:w="384"/>
        <w:gridCol w:w="3403"/>
        <w:gridCol w:w="1024"/>
      </w:tblGrid>
      <w:tr w:rsidR="00000000">
        <w:trPr>
          <w:trHeight w:val="390"/>
        </w:trPr>
        <w:tc>
          <w:tcPr>
            <w:tcW w:w="14079" w:type="dxa"/>
            <w:gridSpan w:val="12"/>
            <w:tcBorders>
              <w:top w:val="nil"/>
              <w:left w:val="nil"/>
              <w:bottom w:val="nil"/>
              <w:right w:val="nil"/>
            </w:tcBorders>
            <w:noWrap/>
            <w:vAlign w:val="bottom"/>
          </w:tcPr>
          <w:p w:rsidR="00000000" w:rsidRDefault="00361716">
            <w:pPr>
              <w:widowControl/>
              <w:jc w:val="center"/>
              <w:rPr>
                <w:rFonts w:ascii="宋体" w:hAnsi="宋体" w:cs="Arial"/>
                <w:kern w:val="0"/>
                <w:sz w:val="30"/>
                <w:szCs w:val="30"/>
              </w:rPr>
            </w:pPr>
            <w:r>
              <w:rPr>
                <w:rFonts w:ascii="宋体" w:hAnsi="宋体" w:cs="Arial" w:hint="eastAsia"/>
                <w:kern w:val="0"/>
                <w:sz w:val="30"/>
                <w:szCs w:val="30"/>
              </w:rPr>
              <w:lastRenderedPageBreak/>
              <w:t>一般公共预算财政拨款基本支出决算明细表</w:t>
            </w:r>
          </w:p>
        </w:tc>
      </w:tr>
      <w:tr w:rsidR="00000000" w:rsidRPr="004A4415">
        <w:trPr>
          <w:trHeight w:val="255"/>
        </w:trPr>
        <w:tc>
          <w:tcPr>
            <w:tcW w:w="765"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3208" w:type="dxa"/>
            <w:gridSpan w:val="3"/>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851"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76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2147"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76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765"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811" w:type="dxa"/>
            <w:gridSpan w:val="3"/>
            <w:tcBorders>
              <w:top w:val="nil"/>
              <w:left w:val="nil"/>
              <w:bottom w:val="nil"/>
              <w:right w:val="nil"/>
            </w:tcBorders>
            <w:noWrap/>
            <w:vAlign w:val="bottom"/>
          </w:tcPr>
          <w:p w:rsidR="00000000" w:rsidRPr="004A4415" w:rsidRDefault="00361716">
            <w:pPr>
              <w:widowControl/>
              <w:jc w:val="right"/>
              <w:rPr>
                <w:rFonts w:ascii="宋体" w:hAnsi="宋体" w:cs="Arial"/>
                <w:kern w:val="0"/>
                <w:sz w:val="20"/>
                <w:szCs w:val="20"/>
              </w:rPr>
            </w:pPr>
            <w:r w:rsidRPr="004A4415">
              <w:rPr>
                <w:rFonts w:ascii="宋体" w:hAnsi="宋体" w:cs="Arial" w:hint="eastAsia"/>
                <w:kern w:val="0"/>
                <w:sz w:val="20"/>
                <w:szCs w:val="20"/>
              </w:rPr>
              <w:t>公开</w:t>
            </w:r>
            <w:r w:rsidRPr="004A4415">
              <w:rPr>
                <w:rFonts w:ascii="宋体" w:hAnsi="宋体" w:cs="Arial" w:hint="eastAsia"/>
                <w:kern w:val="0"/>
                <w:sz w:val="20"/>
                <w:szCs w:val="20"/>
              </w:rPr>
              <w:t>06</w:t>
            </w:r>
            <w:r w:rsidRPr="004A4415">
              <w:rPr>
                <w:rFonts w:ascii="宋体" w:hAnsi="宋体" w:cs="Arial" w:hint="eastAsia"/>
                <w:kern w:val="0"/>
                <w:sz w:val="20"/>
                <w:szCs w:val="20"/>
              </w:rPr>
              <w:t>表</w:t>
            </w:r>
          </w:p>
        </w:tc>
      </w:tr>
      <w:tr w:rsidR="00000000" w:rsidRPr="004A4415">
        <w:trPr>
          <w:trHeight w:val="255"/>
        </w:trPr>
        <w:tc>
          <w:tcPr>
            <w:tcW w:w="3973" w:type="dxa"/>
            <w:gridSpan w:val="4"/>
            <w:tcBorders>
              <w:top w:val="nil"/>
              <w:left w:val="nil"/>
              <w:bottom w:val="nil"/>
              <w:right w:val="nil"/>
            </w:tcBorders>
            <w:noWrap/>
            <w:vAlign w:val="bottom"/>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部门：许昌市住房公积金中心</w:t>
            </w:r>
          </w:p>
        </w:tc>
        <w:tc>
          <w:tcPr>
            <w:tcW w:w="851"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76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2147"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76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765"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811" w:type="dxa"/>
            <w:gridSpan w:val="3"/>
            <w:tcBorders>
              <w:top w:val="nil"/>
              <w:left w:val="nil"/>
              <w:bottom w:val="single" w:sz="4" w:space="0" w:color="000000"/>
              <w:right w:val="nil"/>
            </w:tcBorders>
            <w:noWrap/>
            <w:vAlign w:val="bottom"/>
          </w:tcPr>
          <w:p w:rsidR="00000000" w:rsidRPr="004A4415" w:rsidRDefault="00361716">
            <w:pPr>
              <w:widowControl/>
              <w:jc w:val="right"/>
              <w:rPr>
                <w:rFonts w:ascii="宋体" w:hAnsi="宋体" w:cs="Arial"/>
                <w:kern w:val="0"/>
                <w:sz w:val="20"/>
                <w:szCs w:val="20"/>
              </w:rPr>
            </w:pPr>
            <w:r w:rsidRPr="004A4415">
              <w:rPr>
                <w:rFonts w:ascii="宋体" w:hAnsi="宋体" w:cs="Arial" w:hint="eastAsia"/>
                <w:kern w:val="0"/>
                <w:sz w:val="20"/>
                <w:szCs w:val="20"/>
              </w:rPr>
              <w:t>金额单位：万元</w:t>
            </w:r>
          </w:p>
        </w:tc>
      </w:tr>
      <w:tr w:rsidR="00000000">
        <w:trPr>
          <w:trHeight w:val="308"/>
        </w:trPr>
        <w:tc>
          <w:tcPr>
            <w:tcW w:w="4824" w:type="dxa"/>
            <w:gridSpan w:val="5"/>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人员经费</w:t>
            </w:r>
          </w:p>
        </w:tc>
        <w:tc>
          <w:tcPr>
            <w:tcW w:w="9255" w:type="dxa"/>
            <w:gridSpan w:val="7"/>
            <w:tcBorders>
              <w:top w:val="single" w:sz="4" w:space="0" w:color="000000"/>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公用经费</w:t>
            </w:r>
          </w:p>
        </w:tc>
      </w:tr>
      <w:tr w:rsidR="00000000">
        <w:trPr>
          <w:trHeight w:val="312"/>
        </w:trPr>
        <w:tc>
          <w:tcPr>
            <w:tcW w:w="864" w:type="dxa"/>
            <w:gridSpan w:val="2"/>
            <w:vMerge w:val="restart"/>
            <w:tcBorders>
              <w:top w:val="nil"/>
              <w:left w:val="single" w:sz="4" w:space="0" w:color="000000"/>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科目代码</w:t>
            </w:r>
          </w:p>
        </w:tc>
        <w:tc>
          <w:tcPr>
            <w:tcW w:w="2828"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科目名称</w:t>
            </w:r>
          </w:p>
        </w:tc>
        <w:tc>
          <w:tcPr>
            <w:tcW w:w="1132"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决算数</w:t>
            </w:r>
          </w:p>
        </w:tc>
        <w:tc>
          <w:tcPr>
            <w:tcW w:w="766"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科目代码</w:t>
            </w:r>
          </w:p>
        </w:tc>
        <w:tc>
          <w:tcPr>
            <w:tcW w:w="2147"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科目名称</w:t>
            </w:r>
          </w:p>
        </w:tc>
        <w:tc>
          <w:tcPr>
            <w:tcW w:w="766"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决算数</w:t>
            </w:r>
          </w:p>
        </w:tc>
        <w:tc>
          <w:tcPr>
            <w:tcW w:w="1149"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科目代码</w:t>
            </w:r>
          </w:p>
        </w:tc>
        <w:tc>
          <w:tcPr>
            <w:tcW w:w="3403"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科目名称</w:t>
            </w:r>
          </w:p>
        </w:tc>
        <w:tc>
          <w:tcPr>
            <w:tcW w:w="1024"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决算数</w:t>
            </w:r>
          </w:p>
        </w:tc>
      </w:tr>
      <w:tr w:rsidR="00000000">
        <w:trPr>
          <w:trHeight w:val="312"/>
        </w:trPr>
        <w:tc>
          <w:tcPr>
            <w:tcW w:w="864" w:type="dxa"/>
            <w:gridSpan w:val="2"/>
            <w:vMerge/>
            <w:tcBorders>
              <w:top w:val="nil"/>
              <w:left w:val="single" w:sz="4" w:space="0" w:color="000000"/>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2828"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2"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766"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2147"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766"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49"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3403"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024"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工资福利支出</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829.90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商品和服务支出</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35.93</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307</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债务利息及费用支出</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30101</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基本工资</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344.18</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30201</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办公费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3.72</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30701</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国内债务付息</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30102</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津贴补贴</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11.38</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30202</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印刷费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30702</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国外债务付息</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30103</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奖金</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165.92</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30203</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咨询费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资本性支出</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3.13</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30106</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伙食补助费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30204</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手续费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31001</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房屋建筑物购建</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30107</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绩效工资</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192.03</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30205</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水费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0.11</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31002</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办公设备购置</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3.13</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30108</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机关事业单位基本养老保险缴费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39.83</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30206</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电费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1.44</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31003</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专用设备购置</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30109</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职</w:t>
            </w:r>
            <w:r>
              <w:rPr>
                <w:rFonts w:ascii="宋体" w:hAnsi="宋体" w:cs="Arial" w:hint="eastAsia"/>
                <w:kern w:val="0"/>
                <w:sz w:val="22"/>
              </w:rPr>
              <w:t>业年金缴费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30207</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邮电费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0.72</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31005</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基础设施建设</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30110</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职工基本医疗保险缴费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19.46</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30208</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取暖费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31006</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大型修缮</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30111</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公务员医疗补助缴费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18.53</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30209</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物业管理费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0.58</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31007</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信息网络及软件购置更新</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30112</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其他社会保障缴费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0.25</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30211</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差旅费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4.83</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31008</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物资储备</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30113</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38.33</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30212</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因公出国（境）费用</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31009</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土地补偿</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30114</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医疗费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30213</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维修（护）费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1.65</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31010</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安置补助</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30199</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其他工资福利支出</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30214</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租赁费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31011</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地上附着物和青苗补偿</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对个人和家庭的补助</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15.99</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30215</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会议费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31012</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拆迁补偿</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30301</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离休费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30216</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培训费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w:t>
            </w:r>
            <w:r>
              <w:rPr>
                <w:rFonts w:ascii="宋体" w:hAnsi="宋体" w:cs="Arial" w:hint="eastAsia"/>
                <w:kern w:val="0"/>
                <w:sz w:val="22"/>
              </w:rPr>
              <w:t>13</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公务用车购置</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lastRenderedPageBreak/>
              <w:t>30302</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退休费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13.24</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30217</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公务接待费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31019</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其他交通工具购置</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30303</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退职（役）费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30218</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专用材料费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31021</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文物和陈列品购置</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30304</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抚恤金</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30224</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被装购置费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31022</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无形资产购置</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30305</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生活补助</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30225</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专用燃料费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31099</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其他资本性支出</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30306</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救济费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30226</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劳务费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399</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其他支出</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30307</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医疗费补助</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30227</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委托业务费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9.00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39907</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国家赔偿费用支出</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30308</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助学金</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30228</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工会经费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3.10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39908</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对民间非营利组织和群众性自治组织补贴</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30309</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奖励金</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30229</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福利费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7.58</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39909</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经常性赠与</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30310</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个人农业生产补贴</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w:t>
            </w:r>
            <w:r>
              <w:rPr>
                <w:rFonts w:ascii="宋体" w:hAnsi="宋体" w:cs="Arial" w:hint="eastAsia"/>
                <w:kern w:val="0"/>
                <w:sz w:val="22"/>
              </w:rPr>
              <w:t>231</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公务用车运行维护费</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2.87</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39910</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资本性赠与</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30311</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代缴社会保险费</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30239</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其他交通费用</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39999</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其他支出</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30399</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其他对个人和家庭的补助</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2.75</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30240</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税金及附加费用</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r>
      <w:tr w:rsidR="00000000">
        <w:trPr>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2828"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30299</w:t>
            </w:r>
          </w:p>
        </w:tc>
        <w:tc>
          <w:tcPr>
            <w:tcW w:w="2147"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其他商品和服务支出</w:t>
            </w:r>
          </w:p>
        </w:tc>
        <w:tc>
          <w:tcPr>
            <w:tcW w:w="76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0.31</w:t>
            </w:r>
          </w:p>
        </w:tc>
        <w:tc>
          <w:tcPr>
            <w:tcW w:w="1149" w:type="dxa"/>
            <w:gridSpan w:val="2"/>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3403" w:type="dxa"/>
            <w:tcBorders>
              <w:top w:val="nil"/>
              <w:left w:val="nil"/>
              <w:bottom w:val="single" w:sz="4" w:space="0" w:color="000000"/>
              <w:right w:val="single" w:sz="4" w:space="0" w:color="000000"/>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 xml:space="preserve">　</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 xml:space="preserve">　</w:t>
            </w:r>
          </w:p>
        </w:tc>
      </w:tr>
      <w:tr w:rsidR="00000000">
        <w:trPr>
          <w:trHeight w:val="308"/>
        </w:trPr>
        <w:tc>
          <w:tcPr>
            <w:tcW w:w="3692" w:type="dxa"/>
            <w:gridSpan w:val="3"/>
            <w:tcBorders>
              <w:top w:val="nil"/>
              <w:left w:val="single" w:sz="4" w:space="0" w:color="000000"/>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人员经费合计</w:t>
            </w:r>
          </w:p>
        </w:tc>
        <w:tc>
          <w:tcPr>
            <w:tcW w:w="113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845.88</w:t>
            </w:r>
          </w:p>
        </w:tc>
        <w:tc>
          <w:tcPr>
            <w:tcW w:w="8231" w:type="dxa"/>
            <w:gridSpan w:val="6"/>
            <w:tcBorders>
              <w:top w:val="nil"/>
              <w:left w:val="nil"/>
              <w:bottom w:val="single" w:sz="4" w:space="0" w:color="000000"/>
              <w:right w:val="single" w:sz="4" w:space="0" w:color="000000"/>
            </w:tcBorders>
            <w:noWrap/>
            <w:vAlign w:val="center"/>
          </w:tcPr>
          <w:p w:rsidR="00000000" w:rsidRDefault="00361716">
            <w:pPr>
              <w:widowControl/>
              <w:jc w:val="center"/>
              <w:rPr>
                <w:rFonts w:ascii="宋体" w:hAnsi="宋体" w:cs="Arial"/>
                <w:kern w:val="0"/>
                <w:sz w:val="22"/>
              </w:rPr>
            </w:pPr>
            <w:r>
              <w:rPr>
                <w:rFonts w:ascii="宋体" w:hAnsi="宋体" w:cs="Arial" w:hint="eastAsia"/>
                <w:kern w:val="0"/>
                <w:sz w:val="22"/>
              </w:rPr>
              <w:t>公用经费合计</w:t>
            </w:r>
          </w:p>
        </w:tc>
        <w:tc>
          <w:tcPr>
            <w:tcW w:w="1024"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39.06</w:t>
            </w:r>
          </w:p>
        </w:tc>
      </w:tr>
      <w:tr w:rsidR="00000000">
        <w:trPr>
          <w:trHeight w:val="308"/>
        </w:trPr>
        <w:tc>
          <w:tcPr>
            <w:tcW w:w="14079" w:type="dxa"/>
            <w:gridSpan w:val="12"/>
            <w:tcBorders>
              <w:top w:val="nil"/>
              <w:left w:val="nil"/>
              <w:bottom w:val="nil"/>
              <w:right w:val="nil"/>
            </w:tcBorders>
            <w:noWrap/>
            <w:vAlign w:val="center"/>
          </w:tcPr>
          <w:p w:rsidR="00000000" w:rsidRDefault="00361716">
            <w:pPr>
              <w:widowControl/>
              <w:jc w:val="left"/>
              <w:rPr>
                <w:rFonts w:ascii="宋体" w:hAnsi="宋体" w:cs="Arial"/>
                <w:kern w:val="0"/>
                <w:sz w:val="22"/>
              </w:rPr>
            </w:pPr>
            <w:r>
              <w:rPr>
                <w:rFonts w:ascii="宋体" w:hAnsi="宋体" w:cs="Arial" w:hint="eastAsia"/>
                <w:kern w:val="0"/>
                <w:sz w:val="22"/>
              </w:rPr>
              <w:t>注：本表反映部门本年度一般公共预算财政拨款基本支出明细情况。本表金额单位转换</w:t>
            </w:r>
            <w:r>
              <w:rPr>
                <w:rFonts w:ascii="宋体" w:hAnsi="宋体" w:cs="Arial" w:hint="eastAsia"/>
                <w:kern w:val="0"/>
                <w:sz w:val="22"/>
              </w:rPr>
              <w:t>为万元时，因四舍五入可能存在尾差。</w:t>
            </w:r>
          </w:p>
        </w:tc>
      </w:tr>
    </w:tbl>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sectPr w:rsidR="00000000">
          <w:pgSz w:w="16838" w:h="11906" w:orient="landscape"/>
          <w:pgMar w:top="1800" w:right="1440" w:bottom="1800" w:left="1440" w:header="720" w:footer="720" w:gutter="0"/>
          <w:pgNumType w:fmt="numberInDash"/>
          <w:cols w:space="720"/>
          <w:docGrid w:type="lines" w:linePitch="312"/>
        </w:sectPr>
      </w:pPr>
    </w:p>
    <w:tbl>
      <w:tblPr>
        <w:tblW w:w="14175" w:type="dxa"/>
        <w:tblInd w:w="0" w:type="dxa"/>
        <w:tblLayout w:type="fixed"/>
        <w:tblCellMar>
          <w:left w:w="0" w:type="dxa"/>
          <w:right w:w="0" w:type="dxa"/>
        </w:tblCellMar>
        <w:tblLook w:val="0000"/>
      </w:tblPr>
      <w:tblGrid>
        <w:gridCol w:w="612"/>
        <w:gridCol w:w="536"/>
        <w:gridCol w:w="1276"/>
        <w:gridCol w:w="1926"/>
        <w:gridCol w:w="30"/>
        <w:gridCol w:w="1896"/>
        <w:gridCol w:w="30"/>
        <w:gridCol w:w="1896"/>
        <w:gridCol w:w="30"/>
        <w:gridCol w:w="1897"/>
        <w:gridCol w:w="30"/>
        <w:gridCol w:w="1607"/>
        <w:gridCol w:w="2409"/>
      </w:tblGrid>
      <w:tr w:rsidR="00000000">
        <w:trPr>
          <w:trHeight w:val="600"/>
        </w:trPr>
        <w:tc>
          <w:tcPr>
            <w:tcW w:w="14175" w:type="dxa"/>
            <w:gridSpan w:val="13"/>
            <w:tcBorders>
              <w:top w:val="nil"/>
              <w:left w:val="nil"/>
              <w:bottom w:val="nil"/>
              <w:right w:val="nil"/>
            </w:tcBorders>
            <w:shd w:val="clear" w:color="auto" w:fill="FFFFFF"/>
            <w:tcMar>
              <w:top w:w="15" w:type="dxa"/>
              <w:left w:w="15" w:type="dxa"/>
              <w:right w:w="15" w:type="dxa"/>
            </w:tcMar>
            <w:vAlign w:val="center"/>
          </w:tcPr>
          <w:p w:rsidR="00000000" w:rsidRDefault="00361716">
            <w:pPr>
              <w:widowControl/>
              <w:jc w:val="center"/>
              <w:textAlignment w:val="center"/>
              <w:rPr>
                <w:rFonts w:ascii="华文中宋" w:eastAsia="华文中宋" w:hAnsi="华文中宋" w:cs="华文中宋"/>
                <w:sz w:val="32"/>
                <w:szCs w:val="32"/>
              </w:rPr>
            </w:pPr>
            <w:r>
              <w:rPr>
                <w:rFonts w:ascii="华文中宋" w:eastAsia="华文中宋" w:hAnsi="华文中宋" w:cs="华文中宋" w:hint="eastAsia"/>
                <w:kern w:val="0"/>
                <w:sz w:val="32"/>
                <w:szCs w:val="32"/>
                <w:lang/>
              </w:rPr>
              <w:lastRenderedPageBreak/>
              <w:t>政府性基金预算财政拨款收入支出决算表</w:t>
            </w:r>
          </w:p>
        </w:tc>
      </w:tr>
      <w:tr w:rsidR="00000000">
        <w:trPr>
          <w:trHeight w:val="222"/>
        </w:trPr>
        <w:tc>
          <w:tcPr>
            <w:tcW w:w="612" w:type="dxa"/>
            <w:tcBorders>
              <w:top w:val="nil"/>
              <w:left w:val="nil"/>
              <w:bottom w:val="nil"/>
              <w:right w:val="nil"/>
            </w:tcBorders>
            <w:shd w:val="clear" w:color="auto" w:fill="FFFFFF"/>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000000" w:rsidRDefault="00361716">
            <w:pPr>
              <w:rPr>
                <w:rFonts w:ascii="宋体" w:hAnsi="宋体" w:cs="宋体" w:hint="eastAsia"/>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rsidR="00000000" w:rsidRDefault="00361716">
            <w:pPr>
              <w:rPr>
                <w:rFonts w:ascii="宋体" w:hAnsi="宋体" w:cs="宋体" w:hint="eastAsia"/>
                <w:sz w:val="20"/>
                <w:szCs w:val="20"/>
              </w:rPr>
            </w:pPr>
          </w:p>
        </w:tc>
        <w:tc>
          <w:tcPr>
            <w:tcW w:w="1637" w:type="dxa"/>
            <w:gridSpan w:val="2"/>
            <w:tcBorders>
              <w:top w:val="nil"/>
              <w:left w:val="nil"/>
              <w:bottom w:val="nil"/>
              <w:right w:val="nil"/>
            </w:tcBorders>
            <w:shd w:val="clear" w:color="auto" w:fill="FFFFFF"/>
            <w:tcMar>
              <w:top w:w="15" w:type="dxa"/>
              <w:left w:w="15" w:type="dxa"/>
              <w:right w:w="15" w:type="dxa"/>
            </w:tcMar>
            <w:vAlign w:val="center"/>
          </w:tcPr>
          <w:p w:rsidR="00000000" w:rsidRDefault="00361716">
            <w:pPr>
              <w:rPr>
                <w:rFonts w:ascii="宋体" w:hAnsi="宋体" w:cs="宋体" w:hint="eastAsia"/>
                <w:sz w:val="20"/>
                <w:szCs w:val="20"/>
              </w:rPr>
            </w:pPr>
          </w:p>
        </w:tc>
        <w:tc>
          <w:tcPr>
            <w:tcW w:w="2409" w:type="dxa"/>
            <w:tcBorders>
              <w:top w:val="nil"/>
              <w:left w:val="nil"/>
              <w:bottom w:val="nil"/>
              <w:right w:val="nil"/>
            </w:tcBorders>
            <w:shd w:val="clear" w:color="auto" w:fill="FFFFFF"/>
            <w:noWrap/>
            <w:tcMar>
              <w:top w:w="15" w:type="dxa"/>
              <w:left w:w="15" w:type="dxa"/>
              <w:right w:w="15" w:type="dxa"/>
            </w:tcMar>
            <w:vAlign w:val="center"/>
          </w:tcPr>
          <w:p w:rsidR="00000000" w:rsidRDefault="00361716">
            <w:pPr>
              <w:widowControl/>
              <w:jc w:val="right"/>
              <w:textAlignment w:val="center"/>
              <w:rPr>
                <w:rFonts w:ascii="宋体" w:hAnsi="宋体" w:cs="宋体" w:hint="eastAsia"/>
                <w:sz w:val="20"/>
                <w:szCs w:val="20"/>
              </w:rPr>
            </w:pPr>
            <w:r>
              <w:rPr>
                <w:rFonts w:ascii="宋体" w:hAnsi="宋体" w:cs="宋体" w:hint="eastAsia"/>
                <w:kern w:val="0"/>
                <w:sz w:val="20"/>
                <w:szCs w:val="20"/>
                <w:lang/>
              </w:rPr>
              <w:t>公开</w:t>
            </w:r>
            <w:r>
              <w:rPr>
                <w:rFonts w:ascii="宋体" w:hAnsi="宋体" w:cs="宋体" w:hint="eastAsia"/>
                <w:kern w:val="0"/>
                <w:sz w:val="20"/>
                <w:szCs w:val="20"/>
                <w:lang/>
              </w:rPr>
              <w:t>0</w:t>
            </w:r>
            <w:r>
              <w:rPr>
                <w:rFonts w:ascii="宋体" w:hAnsi="宋体" w:cs="宋体"/>
                <w:kern w:val="0"/>
                <w:sz w:val="20"/>
                <w:szCs w:val="20"/>
                <w:lang/>
              </w:rPr>
              <w:t>7</w:t>
            </w:r>
            <w:r>
              <w:rPr>
                <w:rFonts w:ascii="宋体" w:hAnsi="宋体" w:cs="宋体" w:hint="eastAsia"/>
                <w:kern w:val="0"/>
                <w:sz w:val="20"/>
                <w:szCs w:val="20"/>
                <w:lang/>
              </w:rPr>
              <w:t>表</w:t>
            </w:r>
          </w:p>
        </w:tc>
      </w:tr>
      <w:tr w:rsidR="00000000">
        <w:trPr>
          <w:trHeight w:val="300"/>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rsidR="00000000" w:rsidRDefault="00361716">
            <w:pPr>
              <w:rPr>
                <w:rFonts w:ascii="宋体" w:hAnsi="宋体" w:cs="宋体" w:hint="eastAsia"/>
                <w:sz w:val="20"/>
                <w:szCs w:val="20"/>
              </w:rPr>
            </w:pPr>
            <w:r>
              <w:rPr>
                <w:rFonts w:ascii="宋体" w:hAnsi="宋体" w:cs="Arial" w:hint="eastAsia"/>
                <w:kern w:val="0"/>
                <w:sz w:val="20"/>
                <w:szCs w:val="20"/>
              </w:rPr>
              <w:t>部门：许昌市住房公积金中心</w:t>
            </w: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000000" w:rsidRDefault="00361716">
            <w:pPr>
              <w:rPr>
                <w:rFonts w:ascii="宋体" w:hAnsi="宋体" w:cs="宋体" w:hint="eastAsia"/>
                <w:sz w:val="20"/>
                <w:szCs w:val="20"/>
              </w:rPr>
            </w:pPr>
          </w:p>
        </w:tc>
        <w:tc>
          <w:tcPr>
            <w:tcW w:w="1927"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000000" w:rsidRDefault="00361716">
            <w:pPr>
              <w:rPr>
                <w:rFonts w:ascii="宋体" w:hAnsi="宋体" w:cs="宋体" w:hint="eastAsia"/>
                <w:sz w:val="20"/>
                <w:szCs w:val="20"/>
              </w:rPr>
            </w:pPr>
          </w:p>
        </w:tc>
        <w:tc>
          <w:tcPr>
            <w:tcW w:w="1607" w:type="dxa"/>
            <w:tcBorders>
              <w:top w:val="nil"/>
              <w:left w:val="nil"/>
              <w:bottom w:val="nil"/>
              <w:right w:val="nil"/>
            </w:tcBorders>
            <w:shd w:val="clear" w:color="auto" w:fill="FFFFFF"/>
            <w:tcMar>
              <w:top w:w="15" w:type="dxa"/>
              <w:left w:w="15" w:type="dxa"/>
              <w:right w:w="15" w:type="dxa"/>
            </w:tcMar>
            <w:vAlign w:val="center"/>
          </w:tcPr>
          <w:p w:rsidR="00000000" w:rsidRDefault="00361716">
            <w:pPr>
              <w:rPr>
                <w:rFonts w:ascii="宋体" w:hAnsi="宋体" w:cs="宋体" w:hint="eastAsia"/>
                <w:sz w:val="20"/>
                <w:szCs w:val="20"/>
              </w:rPr>
            </w:pPr>
          </w:p>
        </w:tc>
        <w:tc>
          <w:tcPr>
            <w:tcW w:w="2409" w:type="dxa"/>
            <w:tcBorders>
              <w:top w:val="nil"/>
              <w:left w:val="nil"/>
              <w:bottom w:val="nil"/>
              <w:right w:val="nil"/>
            </w:tcBorders>
            <w:shd w:val="clear" w:color="auto" w:fill="FFFFFF"/>
            <w:noWrap/>
            <w:tcMar>
              <w:top w:w="15" w:type="dxa"/>
              <w:left w:w="15" w:type="dxa"/>
              <w:right w:w="15" w:type="dxa"/>
            </w:tcMar>
            <w:vAlign w:val="center"/>
          </w:tcPr>
          <w:p w:rsidR="00000000" w:rsidRDefault="00361716">
            <w:pPr>
              <w:widowControl/>
              <w:jc w:val="right"/>
              <w:textAlignment w:val="center"/>
              <w:rPr>
                <w:rFonts w:ascii="宋体" w:hAnsi="宋体" w:cs="宋体" w:hint="eastAsia"/>
                <w:sz w:val="20"/>
                <w:szCs w:val="20"/>
              </w:rPr>
            </w:pPr>
            <w:r>
              <w:rPr>
                <w:rFonts w:ascii="宋体" w:hAnsi="宋体" w:cs="宋体" w:hint="eastAsia"/>
                <w:kern w:val="0"/>
                <w:sz w:val="20"/>
                <w:szCs w:val="20"/>
                <w:lang/>
              </w:rPr>
              <w:t>单位：万元</w:t>
            </w:r>
          </w:p>
        </w:tc>
      </w:tr>
      <w:tr w:rsidR="00000000">
        <w:trPr>
          <w:trHeight w:val="405"/>
        </w:trPr>
        <w:tc>
          <w:tcPr>
            <w:tcW w:w="2424"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项</w:t>
            </w:r>
            <w:r>
              <w:rPr>
                <w:rFonts w:ascii="宋体" w:hAnsi="宋体" w:cs="宋体" w:hint="eastAsia"/>
                <w:kern w:val="0"/>
                <w:sz w:val="20"/>
                <w:szCs w:val="20"/>
                <w:lang/>
              </w:rPr>
              <w:t xml:space="preserve">    </w:t>
            </w:r>
            <w:r>
              <w:rPr>
                <w:rFonts w:ascii="宋体" w:hAnsi="宋体" w:cs="宋体" w:hint="eastAsia"/>
                <w:kern w:val="0"/>
                <w:sz w:val="20"/>
                <w:szCs w:val="20"/>
                <w:lang/>
              </w:rPr>
              <w:t>目</w:t>
            </w:r>
          </w:p>
        </w:tc>
        <w:tc>
          <w:tcPr>
            <w:tcW w:w="1926" w:type="dxa"/>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年初结转和结余</w:t>
            </w:r>
          </w:p>
        </w:tc>
        <w:tc>
          <w:tcPr>
            <w:tcW w:w="1926" w:type="dxa"/>
            <w:gridSpan w:val="2"/>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本年收入</w:t>
            </w:r>
          </w:p>
        </w:tc>
        <w:tc>
          <w:tcPr>
            <w:tcW w:w="5490"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本年支出</w:t>
            </w:r>
          </w:p>
        </w:tc>
        <w:tc>
          <w:tcPr>
            <w:tcW w:w="2409"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年末结转和结余</w:t>
            </w:r>
          </w:p>
        </w:tc>
      </w:tr>
      <w:tr w:rsidR="00000000">
        <w:trPr>
          <w:trHeight w:val="540"/>
        </w:trPr>
        <w:tc>
          <w:tcPr>
            <w:tcW w:w="1148"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kern w:val="0"/>
                <w:sz w:val="20"/>
                <w:szCs w:val="20"/>
                <w:lang/>
              </w:rPr>
            </w:pPr>
            <w:r>
              <w:rPr>
                <w:rFonts w:ascii="宋体" w:hAnsi="宋体" w:cs="宋体" w:hint="eastAsia"/>
                <w:kern w:val="0"/>
                <w:sz w:val="20"/>
                <w:szCs w:val="20"/>
                <w:lang/>
              </w:rPr>
              <w:t>功能分类</w:t>
            </w:r>
          </w:p>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科目编码</w:t>
            </w:r>
          </w:p>
        </w:tc>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科目名称</w:t>
            </w: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小计</w:t>
            </w:r>
          </w:p>
        </w:tc>
        <w:tc>
          <w:tcPr>
            <w:tcW w:w="1927"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基本支出</w:t>
            </w:r>
          </w:p>
        </w:tc>
        <w:tc>
          <w:tcPr>
            <w:tcW w:w="1637" w:type="dxa"/>
            <w:gridSpan w:val="2"/>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项目支出</w:t>
            </w:r>
          </w:p>
        </w:tc>
        <w:tc>
          <w:tcPr>
            <w:tcW w:w="2409"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r>
      <w:tr w:rsidR="00000000">
        <w:trPr>
          <w:trHeight w:val="36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637"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2409"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r>
      <w:tr w:rsidR="00000000">
        <w:trPr>
          <w:trHeight w:val="45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637"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2409"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r>
      <w:tr w:rsidR="00000000">
        <w:trPr>
          <w:trHeight w:val="450"/>
        </w:trPr>
        <w:tc>
          <w:tcPr>
            <w:tcW w:w="2424"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栏次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1</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2</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3</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4</w:t>
            </w:r>
          </w:p>
        </w:tc>
        <w:tc>
          <w:tcPr>
            <w:tcW w:w="1637"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5</w:t>
            </w: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6</w:t>
            </w:r>
          </w:p>
        </w:tc>
      </w:tr>
      <w:tr w:rsidR="00000000">
        <w:trPr>
          <w:trHeight w:val="450"/>
        </w:trPr>
        <w:tc>
          <w:tcPr>
            <w:tcW w:w="2424" w:type="dxa"/>
            <w:gridSpan w:val="3"/>
            <w:tcBorders>
              <w:top w:val="nil"/>
              <w:left w:val="single" w:sz="8" w:space="0" w:color="000000"/>
              <w:bottom w:val="single" w:sz="4" w:space="0" w:color="000000"/>
              <w:right w:val="single" w:sz="4" w:space="0" w:color="000000"/>
            </w:tcBorders>
            <w:tcMar>
              <w:top w:w="15" w:type="dxa"/>
              <w:left w:w="15" w:type="dxa"/>
              <w:right w:w="15" w:type="dxa"/>
            </w:tcMar>
            <w:vAlign w:val="center"/>
          </w:tcPr>
          <w:p w:rsidR="00000000" w:rsidRDefault="00361716">
            <w:pPr>
              <w:widowControl/>
              <w:jc w:val="center"/>
              <w:textAlignment w:val="center"/>
              <w:rPr>
                <w:rFonts w:ascii="宋体" w:hAnsi="宋体" w:cs="宋体" w:hint="eastAsia"/>
                <w:sz w:val="20"/>
                <w:szCs w:val="20"/>
              </w:rPr>
            </w:pPr>
            <w:r>
              <w:rPr>
                <w:rFonts w:ascii="宋体" w:hAnsi="宋体" w:cs="宋体" w:hint="eastAsia"/>
                <w:kern w:val="0"/>
                <w:sz w:val="20"/>
                <w:szCs w:val="20"/>
                <w:lang/>
              </w:rPr>
              <w:t>合计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637"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r>
      <w:tr w:rsidR="00000000">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637"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r>
      <w:tr w:rsidR="00000000">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637"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r>
      <w:tr w:rsidR="00000000">
        <w:trPr>
          <w:trHeight w:val="450"/>
        </w:trPr>
        <w:tc>
          <w:tcPr>
            <w:tcW w:w="1148"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000000" w:rsidRDefault="00361716">
            <w:pPr>
              <w:jc w:val="center"/>
              <w:rPr>
                <w:rFonts w:ascii="宋体" w:hAnsi="宋体" w:cs="宋体" w:hint="eastAsia"/>
                <w:sz w:val="20"/>
                <w:szCs w:val="20"/>
              </w:rPr>
            </w:pPr>
          </w:p>
        </w:tc>
        <w:tc>
          <w:tcPr>
            <w:tcW w:w="127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927"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1637"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361716">
            <w:pPr>
              <w:rPr>
                <w:rFonts w:ascii="宋体" w:hAnsi="宋体" w:cs="宋体" w:hint="eastAsia"/>
                <w:sz w:val="20"/>
                <w:szCs w:val="20"/>
              </w:rPr>
            </w:pPr>
          </w:p>
        </w:tc>
      </w:tr>
      <w:tr w:rsidR="00000000">
        <w:trPr>
          <w:trHeight w:val="450"/>
        </w:trPr>
        <w:tc>
          <w:tcPr>
            <w:tcW w:w="14175" w:type="dxa"/>
            <w:gridSpan w:val="13"/>
            <w:tcBorders>
              <w:top w:val="single" w:sz="8" w:space="0" w:color="000000"/>
              <w:left w:val="nil"/>
              <w:bottom w:val="nil"/>
              <w:right w:val="nil"/>
            </w:tcBorders>
            <w:tcMar>
              <w:top w:w="15" w:type="dxa"/>
              <w:left w:w="15" w:type="dxa"/>
              <w:right w:w="15" w:type="dxa"/>
            </w:tcMar>
            <w:vAlign w:val="center"/>
          </w:tcPr>
          <w:p w:rsidR="00000000" w:rsidRDefault="00361716">
            <w:pPr>
              <w:widowControl/>
              <w:jc w:val="left"/>
              <w:textAlignment w:val="center"/>
              <w:rPr>
                <w:rFonts w:ascii="宋体" w:hAnsi="宋体" w:cs="宋体" w:hint="eastAsia"/>
                <w:sz w:val="20"/>
                <w:szCs w:val="20"/>
              </w:rPr>
            </w:pPr>
            <w:r>
              <w:rPr>
                <w:rFonts w:ascii="宋体" w:hAnsi="宋体" w:cs="Arial" w:hint="eastAsia"/>
                <w:kern w:val="0"/>
                <w:sz w:val="22"/>
              </w:rPr>
              <w:t>注：本表反映部门本年度政府性基金预算财政拨款收入、支出及结转和结余情况。</w:t>
            </w:r>
            <w:r>
              <w:rPr>
                <w:rFonts w:ascii="宋体" w:hAnsi="宋体" w:cs="Arial" w:hint="eastAsia"/>
                <w:kern w:val="0"/>
                <w:sz w:val="22"/>
              </w:rPr>
              <w:t>本表金额转换为万元时，因四舍五入可能存在尾差。</w:t>
            </w:r>
          </w:p>
        </w:tc>
      </w:tr>
    </w:tbl>
    <w:p w:rsidR="00000000" w:rsidRDefault="00361716">
      <w:pPr>
        <w:widowControl/>
        <w:jc w:val="left"/>
        <w:textAlignment w:val="center"/>
        <w:rPr>
          <w:rFonts w:ascii="仿宋_GB2312" w:eastAsia="仿宋_GB2312" w:hAnsi="仿宋_GB2312" w:cs="仿宋_GB2312" w:hint="eastAsia"/>
          <w:sz w:val="28"/>
          <w:szCs w:val="28"/>
        </w:rPr>
        <w:sectPr w:rsidR="00000000">
          <w:pgSz w:w="16838" w:h="11906" w:orient="landscape"/>
          <w:pgMar w:top="1800" w:right="1440" w:bottom="1800" w:left="1440" w:header="720" w:footer="720" w:gutter="0"/>
          <w:pgNumType w:fmt="numberInDash"/>
          <w:cols w:space="720"/>
          <w:docGrid w:type="lines" w:linePitch="312"/>
        </w:sectPr>
      </w:pPr>
      <w:r>
        <w:rPr>
          <w:rFonts w:ascii="仿宋_GB2312" w:eastAsia="仿宋_GB2312" w:hAnsi="仿宋_GB2312" w:cs="仿宋_GB2312" w:hint="eastAsia"/>
          <w:sz w:val="28"/>
          <w:szCs w:val="28"/>
        </w:rPr>
        <w:t>说明：我</w:t>
      </w:r>
      <w:r>
        <w:rPr>
          <w:rFonts w:ascii="仿宋_GB2312" w:eastAsia="仿宋_GB2312" w:hAnsi="仿宋_GB2312" w:cs="仿宋_GB2312" w:hint="eastAsia"/>
          <w:sz w:val="32"/>
          <w:szCs w:val="32"/>
        </w:rPr>
        <w:t>部门本年度</w:t>
      </w:r>
      <w:r>
        <w:rPr>
          <w:rFonts w:ascii="仿宋_GB2312" w:eastAsia="仿宋_GB2312" w:hAnsi="仿宋_GB2312" w:cs="仿宋_GB2312" w:hint="eastAsia"/>
          <w:sz w:val="28"/>
          <w:szCs w:val="28"/>
        </w:rPr>
        <w:t>没有政府性基金收入，也没有使用政府性基金安排的支出，故本表无数据。</w:t>
      </w:r>
    </w:p>
    <w:tbl>
      <w:tblPr>
        <w:tblW w:w="5000" w:type="pct"/>
        <w:tblInd w:w="0" w:type="dxa"/>
        <w:tblLook w:val="0000"/>
      </w:tblPr>
      <w:tblGrid>
        <w:gridCol w:w="2816"/>
        <w:gridCol w:w="517"/>
        <w:gridCol w:w="3000"/>
        <w:gridCol w:w="1731"/>
        <w:gridCol w:w="3001"/>
        <w:gridCol w:w="3109"/>
      </w:tblGrid>
      <w:tr w:rsidR="00000000">
        <w:trPr>
          <w:trHeight w:val="720"/>
        </w:trPr>
        <w:tc>
          <w:tcPr>
            <w:tcW w:w="5000" w:type="pct"/>
            <w:gridSpan w:val="6"/>
            <w:tcBorders>
              <w:top w:val="nil"/>
              <w:left w:val="nil"/>
              <w:bottom w:val="nil"/>
              <w:right w:val="nil"/>
            </w:tcBorders>
            <w:shd w:val="clear" w:color="000000" w:fill="FFFFFF"/>
            <w:vAlign w:val="center"/>
          </w:tcPr>
          <w:p w:rsidR="00000000" w:rsidRDefault="00361716">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国有资本经营预算财政拨款支出决算表</w:t>
            </w:r>
          </w:p>
        </w:tc>
      </w:tr>
      <w:tr w:rsidR="00000000">
        <w:trPr>
          <w:trHeight w:val="285"/>
        </w:trPr>
        <w:tc>
          <w:tcPr>
            <w:tcW w:w="806" w:type="pct"/>
            <w:tcBorders>
              <w:top w:val="nil"/>
              <w:left w:val="nil"/>
              <w:bottom w:val="nil"/>
              <w:right w:val="nil"/>
            </w:tcBorders>
            <w:shd w:val="clear" w:color="000000" w:fill="FFFFFF"/>
            <w:vAlign w:val="center"/>
          </w:tcPr>
          <w:p w:rsidR="00000000" w:rsidRDefault="00361716">
            <w:pPr>
              <w:widowControl/>
              <w:jc w:val="center"/>
              <w:rPr>
                <w:rFonts w:ascii="宋体" w:hAnsi="宋体" w:cs="宋体" w:hint="eastAsia"/>
                <w:kern w:val="0"/>
                <w:sz w:val="20"/>
                <w:szCs w:val="20"/>
              </w:rPr>
            </w:pPr>
            <w:r>
              <w:rPr>
                <w:rFonts w:ascii="宋体" w:hAnsi="宋体" w:cs="宋体" w:hint="eastAsia"/>
                <w:kern w:val="0"/>
                <w:sz w:val="20"/>
                <w:szCs w:val="20"/>
              </w:rPr>
              <w:t xml:space="preserve">　</w:t>
            </w:r>
          </w:p>
        </w:tc>
        <w:tc>
          <w:tcPr>
            <w:tcW w:w="220" w:type="pct"/>
            <w:tcBorders>
              <w:top w:val="nil"/>
              <w:left w:val="nil"/>
              <w:bottom w:val="nil"/>
              <w:right w:val="nil"/>
            </w:tcBorders>
            <w:shd w:val="clear" w:color="000000" w:fill="FFFFFF"/>
            <w:vAlign w:val="center"/>
          </w:tcPr>
          <w:p w:rsidR="00000000" w:rsidRDefault="00361716">
            <w:pPr>
              <w:widowControl/>
              <w:jc w:val="center"/>
              <w:rPr>
                <w:rFonts w:ascii="宋体" w:hAnsi="宋体" w:cs="宋体" w:hint="eastAsia"/>
                <w:kern w:val="0"/>
                <w:sz w:val="20"/>
                <w:szCs w:val="20"/>
              </w:rPr>
            </w:pPr>
            <w:r>
              <w:rPr>
                <w:rFonts w:ascii="宋体" w:hAnsi="宋体" w:cs="宋体" w:hint="eastAsia"/>
                <w:kern w:val="0"/>
                <w:sz w:val="20"/>
                <w:szCs w:val="20"/>
              </w:rPr>
              <w:t xml:space="preserve">　</w:t>
            </w:r>
          </w:p>
        </w:tc>
        <w:tc>
          <w:tcPr>
            <w:tcW w:w="1095" w:type="pct"/>
            <w:tcBorders>
              <w:top w:val="nil"/>
              <w:left w:val="nil"/>
              <w:bottom w:val="nil"/>
              <w:right w:val="nil"/>
            </w:tcBorders>
            <w:shd w:val="clear" w:color="000000" w:fill="FFFFFF"/>
            <w:vAlign w:val="center"/>
          </w:tcPr>
          <w:p w:rsidR="00000000" w:rsidRDefault="00361716">
            <w:pPr>
              <w:widowControl/>
              <w:jc w:val="center"/>
              <w:rPr>
                <w:rFonts w:ascii="宋体" w:hAnsi="宋体" w:cs="宋体" w:hint="eastAsia"/>
                <w:kern w:val="0"/>
                <w:sz w:val="20"/>
                <w:szCs w:val="20"/>
              </w:rPr>
            </w:pPr>
            <w:r>
              <w:rPr>
                <w:rFonts w:ascii="宋体" w:hAnsi="宋体" w:cs="宋体" w:hint="eastAsia"/>
                <w:kern w:val="0"/>
                <w:sz w:val="20"/>
                <w:szCs w:val="20"/>
              </w:rPr>
              <w:t xml:space="preserve">　</w:t>
            </w:r>
          </w:p>
        </w:tc>
        <w:tc>
          <w:tcPr>
            <w:tcW w:w="648" w:type="pct"/>
            <w:tcBorders>
              <w:top w:val="nil"/>
              <w:left w:val="nil"/>
              <w:bottom w:val="nil"/>
              <w:right w:val="nil"/>
            </w:tcBorders>
            <w:shd w:val="clear" w:color="000000" w:fill="FFFFFF"/>
            <w:vAlign w:val="center"/>
          </w:tcPr>
          <w:p w:rsidR="00000000" w:rsidRDefault="00361716">
            <w:pPr>
              <w:widowControl/>
              <w:jc w:val="left"/>
              <w:rPr>
                <w:rFonts w:ascii="宋体" w:hAnsi="宋体" w:cs="宋体" w:hint="eastAsia"/>
                <w:kern w:val="0"/>
                <w:sz w:val="20"/>
                <w:szCs w:val="20"/>
              </w:rPr>
            </w:pPr>
            <w:r>
              <w:rPr>
                <w:rFonts w:ascii="宋体" w:hAnsi="宋体" w:cs="宋体" w:hint="eastAsia"/>
                <w:kern w:val="0"/>
                <w:sz w:val="20"/>
                <w:szCs w:val="20"/>
              </w:rPr>
              <w:t xml:space="preserve">　</w:t>
            </w:r>
          </w:p>
        </w:tc>
        <w:tc>
          <w:tcPr>
            <w:tcW w:w="1096" w:type="pct"/>
            <w:tcBorders>
              <w:top w:val="nil"/>
              <w:left w:val="nil"/>
              <w:bottom w:val="nil"/>
              <w:right w:val="nil"/>
            </w:tcBorders>
            <w:shd w:val="clear" w:color="000000" w:fill="FFFFFF"/>
            <w:vAlign w:val="center"/>
          </w:tcPr>
          <w:p w:rsidR="00000000" w:rsidRDefault="00361716">
            <w:pPr>
              <w:widowControl/>
              <w:jc w:val="left"/>
              <w:rPr>
                <w:rFonts w:ascii="宋体" w:hAnsi="宋体" w:cs="宋体" w:hint="eastAsia"/>
                <w:kern w:val="0"/>
                <w:sz w:val="20"/>
                <w:szCs w:val="20"/>
              </w:rPr>
            </w:pPr>
            <w:r>
              <w:rPr>
                <w:rFonts w:ascii="宋体" w:hAnsi="宋体" w:cs="宋体" w:hint="eastAsia"/>
                <w:kern w:val="0"/>
                <w:sz w:val="20"/>
                <w:szCs w:val="20"/>
              </w:rPr>
              <w:t xml:space="preserve">　</w:t>
            </w:r>
          </w:p>
        </w:tc>
        <w:tc>
          <w:tcPr>
            <w:tcW w:w="1133" w:type="pct"/>
            <w:tcBorders>
              <w:top w:val="nil"/>
              <w:left w:val="nil"/>
              <w:bottom w:val="nil"/>
              <w:right w:val="nil"/>
            </w:tcBorders>
            <w:shd w:val="clear" w:color="000000" w:fill="FFFFFF"/>
            <w:noWrap/>
            <w:vAlign w:val="center"/>
          </w:tcPr>
          <w:p w:rsidR="00000000" w:rsidRDefault="00361716">
            <w:pPr>
              <w:widowControl/>
              <w:jc w:val="right"/>
              <w:rPr>
                <w:rFonts w:ascii="宋体" w:hAnsi="宋体" w:cs="宋体" w:hint="eastAsia"/>
                <w:kern w:val="0"/>
                <w:sz w:val="20"/>
                <w:szCs w:val="20"/>
              </w:rPr>
            </w:pPr>
            <w:r>
              <w:rPr>
                <w:rFonts w:ascii="宋体" w:hAnsi="宋体" w:cs="宋体" w:hint="eastAsia"/>
                <w:kern w:val="0"/>
                <w:sz w:val="20"/>
                <w:szCs w:val="20"/>
              </w:rPr>
              <w:t>公开</w:t>
            </w:r>
            <w:r>
              <w:rPr>
                <w:rFonts w:ascii="宋体" w:hAnsi="宋体" w:cs="宋体" w:hint="eastAsia"/>
                <w:kern w:val="0"/>
                <w:sz w:val="20"/>
                <w:szCs w:val="20"/>
              </w:rPr>
              <w:t>08</w:t>
            </w:r>
            <w:r>
              <w:rPr>
                <w:rFonts w:ascii="宋体" w:hAnsi="宋体" w:cs="宋体" w:hint="eastAsia"/>
                <w:kern w:val="0"/>
                <w:sz w:val="20"/>
                <w:szCs w:val="20"/>
              </w:rPr>
              <w:t>表</w:t>
            </w:r>
          </w:p>
        </w:tc>
      </w:tr>
      <w:tr w:rsidR="00000000">
        <w:trPr>
          <w:trHeight w:val="285"/>
        </w:trPr>
        <w:tc>
          <w:tcPr>
            <w:tcW w:w="806" w:type="pct"/>
            <w:tcBorders>
              <w:top w:val="nil"/>
              <w:left w:val="nil"/>
              <w:bottom w:val="nil"/>
              <w:right w:val="nil"/>
            </w:tcBorders>
            <w:shd w:val="clear" w:color="000000" w:fill="FFFFFF"/>
            <w:noWrap/>
            <w:vAlign w:val="center"/>
          </w:tcPr>
          <w:p w:rsidR="00000000" w:rsidRDefault="00361716">
            <w:pPr>
              <w:widowControl/>
              <w:jc w:val="left"/>
              <w:rPr>
                <w:rFonts w:ascii="宋体" w:hAnsi="宋体" w:cs="宋体" w:hint="eastAsia"/>
                <w:kern w:val="0"/>
                <w:sz w:val="20"/>
                <w:szCs w:val="20"/>
              </w:rPr>
            </w:pPr>
            <w:r>
              <w:rPr>
                <w:rFonts w:ascii="宋体" w:hAnsi="宋体" w:cs="宋体" w:hint="eastAsia"/>
                <w:kern w:val="0"/>
                <w:sz w:val="20"/>
                <w:szCs w:val="20"/>
              </w:rPr>
              <w:t>部门：许昌市住房公积金中心</w:t>
            </w:r>
          </w:p>
        </w:tc>
        <w:tc>
          <w:tcPr>
            <w:tcW w:w="220" w:type="pct"/>
            <w:tcBorders>
              <w:top w:val="nil"/>
              <w:left w:val="nil"/>
              <w:bottom w:val="nil"/>
              <w:right w:val="nil"/>
            </w:tcBorders>
            <w:shd w:val="clear" w:color="000000" w:fill="FFFFFF"/>
            <w:vAlign w:val="center"/>
          </w:tcPr>
          <w:p w:rsidR="00000000" w:rsidRDefault="00361716">
            <w:pPr>
              <w:widowControl/>
              <w:jc w:val="center"/>
              <w:rPr>
                <w:rFonts w:ascii="宋体" w:hAnsi="宋体" w:cs="宋体" w:hint="eastAsia"/>
                <w:kern w:val="0"/>
                <w:sz w:val="20"/>
                <w:szCs w:val="20"/>
              </w:rPr>
            </w:pPr>
            <w:r>
              <w:rPr>
                <w:rFonts w:ascii="宋体" w:hAnsi="宋体" w:cs="宋体" w:hint="eastAsia"/>
                <w:kern w:val="0"/>
                <w:sz w:val="20"/>
                <w:szCs w:val="20"/>
              </w:rPr>
              <w:t xml:space="preserve">　</w:t>
            </w:r>
          </w:p>
        </w:tc>
        <w:tc>
          <w:tcPr>
            <w:tcW w:w="1095" w:type="pct"/>
            <w:tcBorders>
              <w:top w:val="nil"/>
              <w:left w:val="nil"/>
              <w:bottom w:val="nil"/>
              <w:right w:val="nil"/>
            </w:tcBorders>
            <w:shd w:val="clear" w:color="000000" w:fill="FFFFFF"/>
            <w:vAlign w:val="center"/>
          </w:tcPr>
          <w:p w:rsidR="00000000" w:rsidRDefault="00361716">
            <w:pPr>
              <w:widowControl/>
              <w:jc w:val="center"/>
              <w:rPr>
                <w:rFonts w:ascii="宋体" w:hAnsi="宋体" w:cs="宋体" w:hint="eastAsia"/>
                <w:kern w:val="0"/>
                <w:sz w:val="20"/>
                <w:szCs w:val="20"/>
              </w:rPr>
            </w:pPr>
            <w:r>
              <w:rPr>
                <w:rFonts w:ascii="宋体" w:hAnsi="宋体" w:cs="宋体" w:hint="eastAsia"/>
                <w:kern w:val="0"/>
                <w:sz w:val="20"/>
                <w:szCs w:val="20"/>
              </w:rPr>
              <w:t xml:space="preserve">　</w:t>
            </w:r>
          </w:p>
        </w:tc>
        <w:tc>
          <w:tcPr>
            <w:tcW w:w="648" w:type="pct"/>
            <w:tcBorders>
              <w:top w:val="nil"/>
              <w:left w:val="nil"/>
              <w:bottom w:val="nil"/>
              <w:right w:val="nil"/>
            </w:tcBorders>
            <w:shd w:val="clear" w:color="000000" w:fill="FFFFFF"/>
            <w:vAlign w:val="center"/>
          </w:tcPr>
          <w:p w:rsidR="00000000" w:rsidRDefault="00361716">
            <w:pPr>
              <w:widowControl/>
              <w:jc w:val="left"/>
              <w:rPr>
                <w:rFonts w:ascii="宋体" w:hAnsi="宋体" w:cs="宋体" w:hint="eastAsia"/>
                <w:kern w:val="0"/>
                <w:sz w:val="20"/>
                <w:szCs w:val="20"/>
              </w:rPr>
            </w:pPr>
            <w:r>
              <w:rPr>
                <w:rFonts w:ascii="宋体" w:hAnsi="宋体" w:cs="宋体" w:hint="eastAsia"/>
                <w:kern w:val="0"/>
                <w:sz w:val="20"/>
                <w:szCs w:val="20"/>
              </w:rPr>
              <w:t xml:space="preserve">　</w:t>
            </w:r>
          </w:p>
        </w:tc>
        <w:tc>
          <w:tcPr>
            <w:tcW w:w="1096" w:type="pct"/>
            <w:tcBorders>
              <w:top w:val="nil"/>
              <w:left w:val="nil"/>
              <w:bottom w:val="nil"/>
              <w:right w:val="nil"/>
            </w:tcBorders>
            <w:shd w:val="clear" w:color="000000" w:fill="FFFFFF"/>
            <w:vAlign w:val="center"/>
          </w:tcPr>
          <w:p w:rsidR="00000000" w:rsidRDefault="00361716">
            <w:pPr>
              <w:widowControl/>
              <w:jc w:val="left"/>
              <w:rPr>
                <w:rFonts w:ascii="宋体" w:hAnsi="宋体" w:cs="宋体" w:hint="eastAsia"/>
                <w:kern w:val="0"/>
                <w:sz w:val="20"/>
                <w:szCs w:val="20"/>
              </w:rPr>
            </w:pPr>
            <w:r>
              <w:rPr>
                <w:rFonts w:ascii="宋体" w:hAnsi="宋体" w:cs="宋体" w:hint="eastAsia"/>
                <w:kern w:val="0"/>
                <w:sz w:val="20"/>
                <w:szCs w:val="20"/>
              </w:rPr>
              <w:t xml:space="preserve">　</w:t>
            </w:r>
          </w:p>
        </w:tc>
        <w:tc>
          <w:tcPr>
            <w:tcW w:w="1133" w:type="pct"/>
            <w:tcBorders>
              <w:top w:val="nil"/>
              <w:left w:val="nil"/>
              <w:bottom w:val="nil"/>
              <w:right w:val="nil"/>
            </w:tcBorders>
            <w:shd w:val="clear" w:color="000000" w:fill="FFFFFF"/>
            <w:noWrap/>
            <w:vAlign w:val="center"/>
          </w:tcPr>
          <w:p w:rsidR="00000000" w:rsidRDefault="00361716">
            <w:pPr>
              <w:widowControl/>
              <w:jc w:val="right"/>
              <w:rPr>
                <w:rFonts w:ascii="宋体" w:hAnsi="宋体" w:cs="宋体" w:hint="eastAsia"/>
                <w:kern w:val="0"/>
                <w:sz w:val="20"/>
                <w:szCs w:val="20"/>
              </w:rPr>
            </w:pPr>
            <w:r>
              <w:rPr>
                <w:rFonts w:ascii="宋体" w:hAnsi="宋体" w:cs="宋体" w:hint="eastAsia"/>
                <w:kern w:val="0"/>
                <w:sz w:val="20"/>
                <w:szCs w:val="20"/>
              </w:rPr>
              <w:t>单位：万元</w:t>
            </w:r>
          </w:p>
        </w:tc>
      </w:tr>
      <w:tr w:rsidR="00000000">
        <w:trPr>
          <w:trHeight w:val="402"/>
        </w:trPr>
        <w:tc>
          <w:tcPr>
            <w:tcW w:w="2122" w:type="pct"/>
            <w:gridSpan w:val="3"/>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2"/>
              </w:rPr>
              <w:t xml:space="preserve">   </w:t>
            </w:r>
            <w:r>
              <w:rPr>
                <w:rFonts w:ascii="宋体" w:hAnsi="宋体" w:cs="宋体" w:hint="eastAsia"/>
                <w:kern w:val="0"/>
                <w:sz w:val="24"/>
                <w:szCs w:val="24"/>
              </w:rPr>
              <w:t>目</w:t>
            </w:r>
          </w:p>
        </w:tc>
        <w:tc>
          <w:tcPr>
            <w:tcW w:w="2877" w:type="pct"/>
            <w:gridSpan w:val="3"/>
            <w:tcBorders>
              <w:top w:val="single" w:sz="4" w:space="0" w:color="auto"/>
              <w:left w:val="nil"/>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本年支出</w:t>
            </w:r>
          </w:p>
        </w:tc>
      </w:tr>
      <w:tr w:rsidR="00000000">
        <w:trPr>
          <w:trHeight w:val="402"/>
        </w:trPr>
        <w:tc>
          <w:tcPr>
            <w:tcW w:w="1026" w:type="pct"/>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科目代码</w:t>
            </w:r>
          </w:p>
        </w:tc>
        <w:tc>
          <w:tcPr>
            <w:tcW w:w="1095" w:type="pct"/>
            <w:vMerge w:val="restart"/>
            <w:tcBorders>
              <w:top w:val="nil"/>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科目名称</w:t>
            </w:r>
          </w:p>
        </w:tc>
        <w:tc>
          <w:tcPr>
            <w:tcW w:w="648" w:type="pct"/>
            <w:vMerge w:val="restart"/>
            <w:tcBorders>
              <w:top w:val="nil"/>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合计</w:t>
            </w:r>
          </w:p>
        </w:tc>
        <w:tc>
          <w:tcPr>
            <w:tcW w:w="1096" w:type="pct"/>
            <w:vMerge w:val="restart"/>
            <w:tcBorders>
              <w:top w:val="nil"/>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133" w:type="pct"/>
            <w:vMerge w:val="restart"/>
            <w:tcBorders>
              <w:top w:val="nil"/>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项目支出</w:t>
            </w:r>
          </w:p>
        </w:tc>
      </w:tr>
      <w:tr w:rsidR="00000000">
        <w:trPr>
          <w:trHeight w:val="402"/>
        </w:trPr>
        <w:tc>
          <w:tcPr>
            <w:tcW w:w="1026" w:type="pct"/>
            <w:gridSpan w:val="2"/>
            <w:vMerge/>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c>
          <w:tcPr>
            <w:tcW w:w="1095" w:type="pct"/>
            <w:vMerge/>
            <w:tcBorders>
              <w:top w:val="nil"/>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c>
          <w:tcPr>
            <w:tcW w:w="648" w:type="pct"/>
            <w:vMerge/>
            <w:tcBorders>
              <w:top w:val="nil"/>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c>
          <w:tcPr>
            <w:tcW w:w="1096" w:type="pct"/>
            <w:vMerge/>
            <w:tcBorders>
              <w:top w:val="nil"/>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c>
          <w:tcPr>
            <w:tcW w:w="1133" w:type="pct"/>
            <w:vMerge/>
            <w:tcBorders>
              <w:top w:val="nil"/>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r>
      <w:tr w:rsidR="00000000">
        <w:trPr>
          <w:trHeight w:val="402"/>
        </w:trPr>
        <w:tc>
          <w:tcPr>
            <w:tcW w:w="1026" w:type="pct"/>
            <w:gridSpan w:val="2"/>
            <w:vMerge/>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c>
          <w:tcPr>
            <w:tcW w:w="1095" w:type="pct"/>
            <w:vMerge/>
            <w:tcBorders>
              <w:top w:val="nil"/>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c>
          <w:tcPr>
            <w:tcW w:w="648" w:type="pct"/>
            <w:vMerge/>
            <w:tcBorders>
              <w:top w:val="nil"/>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c>
          <w:tcPr>
            <w:tcW w:w="1096" w:type="pct"/>
            <w:vMerge/>
            <w:tcBorders>
              <w:top w:val="nil"/>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c>
          <w:tcPr>
            <w:tcW w:w="1133" w:type="pct"/>
            <w:vMerge/>
            <w:tcBorders>
              <w:top w:val="nil"/>
              <w:left w:val="single" w:sz="4" w:space="0" w:color="auto"/>
              <w:bottom w:val="single" w:sz="4" w:space="0" w:color="auto"/>
              <w:right w:val="single" w:sz="4" w:space="0" w:color="auto"/>
            </w:tcBorders>
            <w:vAlign w:val="center"/>
          </w:tcPr>
          <w:p w:rsidR="00000000" w:rsidRDefault="00361716">
            <w:pPr>
              <w:widowControl/>
              <w:jc w:val="left"/>
              <w:rPr>
                <w:rFonts w:ascii="宋体" w:hAnsi="宋体" w:cs="宋体"/>
                <w:kern w:val="0"/>
                <w:sz w:val="24"/>
                <w:szCs w:val="24"/>
              </w:rPr>
            </w:pPr>
          </w:p>
        </w:tc>
      </w:tr>
      <w:tr w:rsidR="00000000">
        <w:trPr>
          <w:trHeight w:val="402"/>
        </w:trPr>
        <w:tc>
          <w:tcPr>
            <w:tcW w:w="2122" w:type="pct"/>
            <w:gridSpan w:val="3"/>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栏次</w:t>
            </w:r>
          </w:p>
        </w:tc>
        <w:tc>
          <w:tcPr>
            <w:tcW w:w="648" w:type="pct"/>
            <w:tcBorders>
              <w:top w:val="nil"/>
              <w:left w:val="nil"/>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1</w:t>
            </w:r>
          </w:p>
        </w:tc>
        <w:tc>
          <w:tcPr>
            <w:tcW w:w="1096" w:type="pct"/>
            <w:tcBorders>
              <w:top w:val="nil"/>
              <w:left w:val="nil"/>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2</w:t>
            </w:r>
          </w:p>
        </w:tc>
        <w:tc>
          <w:tcPr>
            <w:tcW w:w="1133" w:type="pct"/>
            <w:tcBorders>
              <w:top w:val="nil"/>
              <w:left w:val="nil"/>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3</w:t>
            </w:r>
          </w:p>
        </w:tc>
      </w:tr>
      <w:tr w:rsidR="00000000">
        <w:trPr>
          <w:trHeight w:val="402"/>
        </w:trPr>
        <w:tc>
          <w:tcPr>
            <w:tcW w:w="2122" w:type="pct"/>
            <w:gridSpan w:val="3"/>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合计</w:t>
            </w:r>
          </w:p>
        </w:tc>
        <w:tc>
          <w:tcPr>
            <w:tcW w:w="648" w:type="pct"/>
            <w:tcBorders>
              <w:top w:val="nil"/>
              <w:left w:val="nil"/>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096" w:type="pct"/>
            <w:tcBorders>
              <w:top w:val="nil"/>
              <w:left w:val="nil"/>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33" w:type="pct"/>
            <w:tcBorders>
              <w:top w:val="nil"/>
              <w:left w:val="nil"/>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r>
      <w:tr w:rsidR="00000000">
        <w:trPr>
          <w:trHeight w:val="402"/>
        </w:trPr>
        <w:tc>
          <w:tcPr>
            <w:tcW w:w="1026" w:type="pct"/>
            <w:gridSpan w:val="2"/>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095"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0"/>
                <w:szCs w:val="20"/>
              </w:rPr>
            </w:pPr>
            <w:r>
              <w:rPr>
                <w:rFonts w:ascii="宋体" w:hAnsi="宋体" w:cs="宋体" w:hint="eastAsia"/>
                <w:kern w:val="0"/>
                <w:sz w:val="20"/>
                <w:szCs w:val="20"/>
              </w:rPr>
              <w:t xml:space="preserve">　</w:t>
            </w:r>
          </w:p>
        </w:tc>
        <w:tc>
          <w:tcPr>
            <w:tcW w:w="648"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096"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133"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r>
      <w:tr w:rsidR="00000000">
        <w:trPr>
          <w:trHeight w:val="402"/>
        </w:trPr>
        <w:tc>
          <w:tcPr>
            <w:tcW w:w="1026" w:type="pct"/>
            <w:gridSpan w:val="2"/>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095"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648"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096"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133"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r>
      <w:tr w:rsidR="00000000">
        <w:trPr>
          <w:trHeight w:val="402"/>
        </w:trPr>
        <w:tc>
          <w:tcPr>
            <w:tcW w:w="1026" w:type="pct"/>
            <w:gridSpan w:val="2"/>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095"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0"/>
                <w:szCs w:val="20"/>
              </w:rPr>
            </w:pPr>
            <w:r>
              <w:rPr>
                <w:rFonts w:ascii="宋体" w:hAnsi="宋体" w:cs="宋体" w:hint="eastAsia"/>
                <w:kern w:val="0"/>
                <w:sz w:val="20"/>
                <w:szCs w:val="20"/>
              </w:rPr>
              <w:t xml:space="preserve">　</w:t>
            </w:r>
          </w:p>
        </w:tc>
        <w:tc>
          <w:tcPr>
            <w:tcW w:w="648"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096"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133"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r>
      <w:tr w:rsidR="00000000">
        <w:trPr>
          <w:trHeight w:val="402"/>
        </w:trPr>
        <w:tc>
          <w:tcPr>
            <w:tcW w:w="1026" w:type="pct"/>
            <w:gridSpan w:val="2"/>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095"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648"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096"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133"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r>
      <w:tr w:rsidR="00000000">
        <w:trPr>
          <w:trHeight w:val="402"/>
        </w:trPr>
        <w:tc>
          <w:tcPr>
            <w:tcW w:w="1026" w:type="pct"/>
            <w:gridSpan w:val="2"/>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095"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648"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096"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133"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r>
      <w:tr w:rsidR="00000000">
        <w:trPr>
          <w:trHeight w:val="402"/>
        </w:trPr>
        <w:tc>
          <w:tcPr>
            <w:tcW w:w="1026" w:type="pct"/>
            <w:gridSpan w:val="2"/>
            <w:tcBorders>
              <w:top w:val="single" w:sz="4" w:space="0" w:color="auto"/>
              <w:left w:val="single" w:sz="4" w:space="0" w:color="auto"/>
              <w:bottom w:val="single" w:sz="4" w:space="0" w:color="auto"/>
              <w:right w:val="single" w:sz="4" w:space="0" w:color="auto"/>
            </w:tcBorders>
            <w:vAlign w:val="center"/>
          </w:tcPr>
          <w:p w:rsidR="00000000" w:rsidRDefault="00361716">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095"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648"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096"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c>
          <w:tcPr>
            <w:tcW w:w="1133" w:type="pct"/>
            <w:tcBorders>
              <w:top w:val="nil"/>
              <w:left w:val="nil"/>
              <w:bottom w:val="single" w:sz="4" w:space="0" w:color="auto"/>
              <w:right w:val="single" w:sz="4" w:space="0" w:color="auto"/>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 xml:space="preserve">　</w:t>
            </w:r>
          </w:p>
        </w:tc>
      </w:tr>
      <w:tr w:rsidR="00000000">
        <w:trPr>
          <w:trHeight w:val="492"/>
        </w:trPr>
        <w:tc>
          <w:tcPr>
            <w:tcW w:w="5000" w:type="pct"/>
            <w:gridSpan w:val="6"/>
            <w:tcBorders>
              <w:top w:val="nil"/>
              <w:left w:val="nil"/>
              <w:bottom w:val="nil"/>
              <w:right w:val="nil"/>
            </w:tcBorders>
            <w:vAlign w:val="center"/>
          </w:tcPr>
          <w:p w:rsidR="00000000" w:rsidRDefault="00361716">
            <w:pPr>
              <w:widowControl/>
              <w:jc w:val="left"/>
              <w:rPr>
                <w:rFonts w:ascii="宋体" w:hAnsi="宋体" w:cs="宋体" w:hint="eastAsia"/>
                <w:kern w:val="0"/>
                <w:sz w:val="24"/>
                <w:szCs w:val="24"/>
              </w:rPr>
            </w:pPr>
            <w:r>
              <w:rPr>
                <w:rFonts w:ascii="宋体" w:hAnsi="宋体" w:cs="宋体" w:hint="eastAsia"/>
                <w:kern w:val="0"/>
                <w:sz w:val="24"/>
                <w:szCs w:val="24"/>
              </w:rPr>
              <w:t>注：</w:t>
            </w:r>
            <w:r>
              <w:rPr>
                <w:rFonts w:ascii="宋体" w:hAnsi="宋体" w:cs="Arial" w:hint="eastAsia"/>
                <w:kern w:val="0"/>
                <w:sz w:val="22"/>
              </w:rPr>
              <w:t>本表反映部门本年度国有资本经营预算财政拨款支出情况。本表金额转换为万元时，因四舍五入可能存在尾差。</w:t>
            </w:r>
          </w:p>
        </w:tc>
      </w:tr>
    </w:tbl>
    <w:p w:rsidR="00000000" w:rsidRDefault="00361716">
      <w:pPr>
        <w:rPr>
          <w:rFonts w:ascii="仿宋_GB2312" w:eastAsia="仿宋_GB2312" w:hAnsi="仿宋_GB2312" w:cs="仿宋_GB2312" w:hint="eastAsia"/>
          <w:sz w:val="32"/>
          <w:szCs w:val="32"/>
        </w:rPr>
        <w:sectPr w:rsidR="00000000">
          <w:pgSz w:w="16838" w:h="11906" w:orient="landscape"/>
          <w:pgMar w:top="1800" w:right="1440" w:bottom="1800" w:left="1440" w:header="720" w:footer="720" w:gutter="0"/>
          <w:pgNumType w:fmt="numberInDash"/>
          <w:cols w:space="720"/>
          <w:docGrid w:type="lines" w:linePitch="312"/>
        </w:sectPr>
      </w:pPr>
      <w:r>
        <w:rPr>
          <w:rFonts w:ascii="仿宋_GB2312" w:eastAsia="仿宋_GB2312" w:hAnsi="仿宋_GB2312" w:cs="仿宋_GB2312" w:hint="eastAsia"/>
          <w:sz w:val="32"/>
          <w:szCs w:val="32"/>
        </w:rPr>
        <w:t>说明：我部门本年度没有使用国有资本经营预算安排的支出，故本表无数据。</w:t>
      </w:r>
    </w:p>
    <w:tbl>
      <w:tblPr>
        <w:tblW w:w="14033" w:type="dxa"/>
        <w:tblInd w:w="95" w:type="dxa"/>
        <w:tblLook w:val="0000"/>
      </w:tblPr>
      <w:tblGrid>
        <w:gridCol w:w="740"/>
        <w:gridCol w:w="124"/>
        <w:gridCol w:w="1036"/>
        <w:gridCol w:w="900"/>
        <w:gridCol w:w="1120"/>
        <w:gridCol w:w="204"/>
        <w:gridCol w:w="716"/>
        <w:gridCol w:w="560"/>
        <w:gridCol w:w="992"/>
        <w:gridCol w:w="236"/>
        <w:gridCol w:w="1040"/>
        <w:gridCol w:w="60"/>
        <w:gridCol w:w="940"/>
        <w:gridCol w:w="134"/>
        <w:gridCol w:w="926"/>
        <w:gridCol w:w="66"/>
        <w:gridCol w:w="992"/>
        <w:gridCol w:w="1418"/>
        <w:gridCol w:w="1701"/>
        <w:gridCol w:w="128"/>
      </w:tblGrid>
      <w:tr w:rsidR="00000000">
        <w:trPr>
          <w:gridAfter w:val="1"/>
          <w:wAfter w:w="128" w:type="dxa"/>
          <w:trHeight w:val="540"/>
        </w:trPr>
        <w:tc>
          <w:tcPr>
            <w:tcW w:w="13905" w:type="dxa"/>
            <w:gridSpan w:val="19"/>
            <w:tcBorders>
              <w:top w:val="nil"/>
              <w:left w:val="nil"/>
              <w:bottom w:val="nil"/>
              <w:right w:val="nil"/>
            </w:tcBorders>
            <w:noWrap/>
            <w:vAlign w:val="bottom"/>
          </w:tcPr>
          <w:p w:rsidR="00000000" w:rsidRDefault="00361716">
            <w:pPr>
              <w:widowControl/>
              <w:jc w:val="center"/>
              <w:rPr>
                <w:rFonts w:ascii="宋体" w:hAnsi="宋体" w:cs="Arial"/>
                <w:kern w:val="0"/>
                <w:sz w:val="44"/>
                <w:szCs w:val="44"/>
              </w:rPr>
            </w:pPr>
            <w:r>
              <w:rPr>
                <w:rFonts w:ascii="宋体" w:hAnsi="宋体" w:cs="Arial" w:hint="eastAsia"/>
                <w:kern w:val="0"/>
                <w:sz w:val="44"/>
                <w:szCs w:val="44"/>
              </w:rPr>
              <w:lastRenderedPageBreak/>
              <w:t>财政拨款“三公”经费支出决算表</w:t>
            </w:r>
          </w:p>
        </w:tc>
      </w:tr>
      <w:tr w:rsidR="00000000">
        <w:trPr>
          <w:trHeight w:val="255"/>
        </w:trPr>
        <w:tc>
          <w:tcPr>
            <w:tcW w:w="74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16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90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12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92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52"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23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10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94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06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305" w:type="dxa"/>
            <w:gridSpan w:val="5"/>
            <w:tcBorders>
              <w:top w:val="nil"/>
              <w:left w:val="nil"/>
              <w:bottom w:val="nil"/>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公开</w:t>
            </w:r>
            <w:r>
              <w:rPr>
                <w:rFonts w:ascii="宋体" w:hAnsi="宋体" w:cs="Arial" w:hint="eastAsia"/>
                <w:kern w:val="0"/>
                <w:sz w:val="20"/>
                <w:szCs w:val="20"/>
              </w:rPr>
              <w:t>09</w:t>
            </w:r>
            <w:r>
              <w:rPr>
                <w:rFonts w:ascii="宋体" w:hAnsi="宋体" w:cs="Arial" w:hint="eastAsia"/>
                <w:kern w:val="0"/>
                <w:sz w:val="20"/>
                <w:szCs w:val="20"/>
              </w:rPr>
              <w:t>表</w:t>
            </w:r>
          </w:p>
        </w:tc>
      </w:tr>
      <w:tr w:rsidR="00000000">
        <w:trPr>
          <w:trHeight w:val="255"/>
        </w:trPr>
        <w:tc>
          <w:tcPr>
            <w:tcW w:w="2800" w:type="dxa"/>
            <w:gridSpan w:val="4"/>
            <w:tcBorders>
              <w:top w:val="nil"/>
              <w:left w:val="nil"/>
              <w:bottom w:val="nil"/>
              <w:right w:val="nil"/>
            </w:tcBorders>
            <w:noWrap/>
            <w:vAlign w:val="bottom"/>
          </w:tcPr>
          <w:p w:rsidR="00000000" w:rsidRDefault="00361716">
            <w:pPr>
              <w:widowControl/>
              <w:jc w:val="left"/>
              <w:rPr>
                <w:rFonts w:ascii="宋体" w:hAnsi="宋体" w:cs="Arial"/>
                <w:kern w:val="0"/>
                <w:sz w:val="20"/>
                <w:szCs w:val="20"/>
              </w:rPr>
            </w:pPr>
            <w:r>
              <w:rPr>
                <w:rFonts w:ascii="宋体" w:hAnsi="宋体" w:cs="Arial" w:hint="eastAsia"/>
                <w:kern w:val="0"/>
                <w:sz w:val="20"/>
                <w:szCs w:val="20"/>
              </w:rPr>
              <w:t>部门：许昌市住房公积金中心</w:t>
            </w:r>
          </w:p>
        </w:tc>
        <w:tc>
          <w:tcPr>
            <w:tcW w:w="112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92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552"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236"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10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940" w:type="dxa"/>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1060" w:type="dxa"/>
            <w:gridSpan w:val="2"/>
            <w:tcBorders>
              <w:top w:val="nil"/>
              <w:left w:val="nil"/>
              <w:bottom w:val="nil"/>
              <w:right w:val="nil"/>
            </w:tcBorders>
            <w:noWrap/>
            <w:vAlign w:val="bottom"/>
          </w:tcPr>
          <w:p w:rsidR="00000000" w:rsidRDefault="00361716">
            <w:pPr>
              <w:widowControl/>
              <w:jc w:val="left"/>
              <w:rPr>
                <w:rFonts w:ascii="Arial" w:hAnsi="Arial" w:cs="Arial"/>
                <w:kern w:val="0"/>
                <w:sz w:val="20"/>
                <w:szCs w:val="20"/>
              </w:rPr>
            </w:pPr>
          </w:p>
        </w:tc>
        <w:tc>
          <w:tcPr>
            <w:tcW w:w="4305" w:type="dxa"/>
            <w:gridSpan w:val="5"/>
            <w:tcBorders>
              <w:top w:val="nil"/>
              <w:left w:val="nil"/>
              <w:bottom w:val="single" w:sz="4" w:space="0" w:color="000000"/>
              <w:right w:val="nil"/>
            </w:tcBorders>
            <w:noWrap/>
            <w:vAlign w:val="bottom"/>
          </w:tcPr>
          <w:p w:rsidR="00000000" w:rsidRDefault="00361716">
            <w:pPr>
              <w:widowControl/>
              <w:jc w:val="right"/>
              <w:rPr>
                <w:rFonts w:ascii="宋体" w:hAnsi="宋体" w:cs="Arial"/>
                <w:kern w:val="0"/>
                <w:sz w:val="20"/>
                <w:szCs w:val="20"/>
              </w:rPr>
            </w:pPr>
            <w:r>
              <w:rPr>
                <w:rFonts w:ascii="宋体" w:hAnsi="宋体" w:cs="Arial" w:hint="eastAsia"/>
                <w:kern w:val="0"/>
                <w:sz w:val="20"/>
                <w:szCs w:val="20"/>
              </w:rPr>
              <w:t>金额单位：万元</w:t>
            </w:r>
          </w:p>
        </w:tc>
      </w:tr>
      <w:tr w:rsidR="00000000">
        <w:trPr>
          <w:gridAfter w:val="1"/>
          <w:wAfter w:w="128" w:type="dxa"/>
          <w:trHeight w:val="308"/>
        </w:trPr>
        <w:tc>
          <w:tcPr>
            <w:tcW w:w="6392" w:type="dxa"/>
            <w:gridSpan w:val="9"/>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预算数</w:t>
            </w:r>
          </w:p>
        </w:tc>
        <w:tc>
          <w:tcPr>
            <w:tcW w:w="7513" w:type="dxa"/>
            <w:gridSpan w:val="10"/>
            <w:tcBorders>
              <w:top w:val="single" w:sz="4" w:space="0" w:color="000000"/>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决算数</w:t>
            </w:r>
          </w:p>
        </w:tc>
      </w:tr>
      <w:tr w:rsidR="00000000">
        <w:trPr>
          <w:gridAfter w:val="1"/>
          <w:wAfter w:w="128" w:type="dxa"/>
          <w:trHeight w:val="308"/>
        </w:trPr>
        <w:tc>
          <w:tcPr>
            <w:tcW w:w="864" w:type="dxa"/>
            <w:gridSpan w:val="2"/>
            <w:vMerge w:val="restart"/>
            <w:tcBorders>
              <w:top w:val="nil"/>
              <w:left w:val="single" w:sz="4" w:space="0" w:color="000000"/>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合计</w:t>
            </w:r>
          </w:p>
        </w:tc>
        <w:tc>
          <w:tcPr>
            <w:tcW w:w="1036"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因公出国（境）费</w:t>
            </w:r>
          </w:p>
        </w:tc>
        <w:tc>
          <w:tcPr>
            <w:tcW w:w="3500" w:type="dxa"/>
            <w:gridSpan w:val="5"/>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公务用车购置及运行维护费</w:t>
            </w:r>
          </w:p>
        </w:tc>
        <w:tc>
          <w:tcPr>
            <w:tcW w:w="992"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公务接待费</w:t>
            </w:r>
          </w:p>
        </w:tc>
        <w:tc>
          <w:tcPr>
            <w:tcW w:w="1276" w:type="dxa"/>
            <w:gridSpan w:val="2"/>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合计</w:t>
            </w:r>
          </w:p>
        </w:tc>
        <w:tc>
          <w:tcPr>
            <w:tcW w:w="1134" w:type="dxa"/>
            <w:gridSpan w:val="3"/>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因公出国（境）费</w:t>
            </w:r>
          </w:p>
        </w:tc>
        <w:tc>
          <w:tcPr>
            <w:tcW w:w="3402" w:type="dxa"/>
            <w:gridSpan w:val="4"/>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公务用车购置及运行维护费</w:t>
            </w:r>
          </w:p>
        </w:tc>
        <w:tc>
          <w:tcPr>
            <w:tcW w:w="1701" w:type="dxa"/>
            <w:vMerge w:val="restart"/>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公务接待费</w:t>
            </w:r>
          </w:p>
        </w:tc>
      </w:tr>
      <w:tr w:rsidR="00000000">
        <w:trPr>
          <w:gridAfter w:val="1"/>
          <w:wAfter w:w="128" w:type="dxa"/>
          <w:trHeight w:val="1155"/>
        </w:trPr>
        <w:tc>
          <w:tcPr>
            <w:tcW w:w="864" w:type="dxa"/>
            <w:gridSpan w:val="2"/>
            <w:vMerge/>
            <w:tcBorders>
              <w:top w:val="nil"/>
              <w:left w:val="single" w:sz="4" w:space="0" w:color="000000"/>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036"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900"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小计</w:t>
            </w:r>
          </w:p>
        </w:tc>
        <w:tc>
          <w:tcPr>
            <w:tcW w:w="1324" w:type="dxa"/>
            <w:gridSpan w:val="2"/>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公务用车购置费</w:t>
            </w:r>
          </w:p>
        </w:tc>
        <w:tc>
          <w:tcPr>
            <w:tcW w:w="1276" w:type="dxa"/>
            <w:gridSpan w:val="2"/>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公务用车运</w:t>
            </w:r>
            <w:r>
              <w:rPr>
                <w:rFonts w:ascii="宋体" w:hAnsi="宋体" w:cs="Arial" w:hint="eastAsia"/>
                <w:kern w:val="0"/>
                <w:sz w:val="22"/>
              </w:rPr>
              <w:t>行维护费</w:t>
            </w:r>
          </w:p>
        </w:tc>
        <w:tc>
          <w:tcPr>
            <w:tcW w:w="992"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276" w:type="dxa"/>
            <w:gridSpan w:val="2"/>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1134" w:type="dxa"/>
            <w:gridSpan w:val="3"/>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c>
          <w:tcPr>
            <w:tcW w:w="992" w:type="dxa"/>
            <w:gridSpan w:val="2"/>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小计</w:t>
            </w:r>
          </w:p>
        </w:tc>
        <w:tc>
          <w:tcPr>
            <w:tcW w:w="992"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公务用车购置费</w:t>
            </w:r>
          </w:p>
        </w:tc>
        <w:tc>
          <w:tcPr>
            <w:tcW w:w="1418"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公务用车运行维护费</w:t>
            </w:r>
          </w:p>
        </w:tc>
        <w:tc>
          <w:tcPr>
            <w:tcW w:w="1701" w:type="dxa"/>
            <w:vMerge/>
            <w:tcBorders>
              <w:top w:val="nil"/>
              <w:left w:val="nil"/>
              <w:bottom w:val="single" w:sz="4" w:space="0" w:color="000000"/>
              <w:right w:val="single" w:sz="4" w:space="0" w:color="000000"/>
            </w:tcBorders>
            <w:vAlign w:val="center"/>
          </w:tcPr>
          <w:p w:rsidR="00000000" w:rsidRDefault="00361716">
            <w:pPr>
              <w:widowControl/>
              <w:jc w:val="left"/>
              <w:rPr>
                <w:rFonts w:ascii="宋体" w:hAnsi="宋体" w:cs="Arial"/>
                <w:kern w:val="0"/>
                <w:sz w:val="22"/>
              </w:rPr>
            </w:pPr>
          </w:p>
        </w:tc>
      </w:tr>
      <w:tr w:rsidR="00000000">
        <w:trPr>
          <w:gridAfter w:val="1"/>
          <w:wAfter w:w="128" w:type="dxa"/>
          <w:trHeight w:val="308"/>
        </w:trPr>
        <w:tc>
          <w:tcPr>
            <w:tcW w:w="864" w:type="dxa"/>
            <w:gridSpan w:val="2"/>
            <w:tcBorders>
              <w:top w:val="nil"/>
              <w:left w:val="single" w:sz="4" w:space="0" w:color="000000"/>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1</w:t>
            </w:r>
          </w:p>
        </w:tc>
        <w:tc>
          <w:tcPr>
            <w:tcW w:w="1036"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2</w:t>
            </w:r>
          </w:p>
        </w:tc>
        <w:tc>
          <w:tcPr>
            <w:tcW w:w="900"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3</w:t>
            </w:r>
          </w:p>
        </w:tc>
        <w:tc>
          <w:tcPr>
            <w:tcW w:w="1324" w:type="dxa"/>
            <w:gridSpan w:val="2"/>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4</w:t>
            </w:r>
          </w:p>
        </w:tc>
        <w:tc>
          <w:tcPr>
            <w:tcW w:w="1276" w:type="dxa"/>
            <w:gridSpan w:val="2"/>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5</w:t>
            </w:r>
          </w:p>
        </w:tc>
        <w:tc>
          <w:tcPr>
            <w:tcW w:w="992"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6</w:t>
            </w:r>
          </w:p>
        </w:tc>
        <w:tc>
          <w:tcPr>
            <w:tcW w:w="1276" w:type="dxa"/>
            <w:gridSpan w:val="2"/>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7</w:t>
            </w:r>
          </w:p>
        </w:tc>
        <w:tc>
          <w:tcPr>
            <w:tcW w:w="1134" w:type="dxa"/>
            <w:gridSpan w:val="3"/>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8</w:t>
            </w:r>
          </w:p>
        </w:tc>
        <w:tc>
          <w:tcPr>
            <w:tcW w:w="992" w:type="dxa"/>
            <w:gridSpan w:val="2"/>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9</w:t>
            </w:r>
          </w:p>
        </w:tc>
        <w:tc>
          <w:tcPr>
            <w:tcW w:w="992"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10</w:t>
            </w:r>
          </w:p>
        </w:tc>
        <w:tc>
          <w:tcPr>
            <w:tcW w:w="1418"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11</w:t>
            </w:r>
          </w:p>
        </w:tc>
        <w:tc>
          <w:tcPr>
            <w:tcW w:w="1701" w:type="dxa"/>
            <w:tcBorders>
              <w:top w:val="nil"/>
              <w:left w:val="nil"/>
              <w:bottom w:val="single" w:sz="4" w:space="0" w:color="000000"/>
              <w:right w:val="single" w:sz="4" w:space="0" w:color="000000"/>
            </w:tcBorders>
            <w:vAlign w:val="center"/>
          </w:tcPr>
          <w:p w:rsidR="00000000" w:rsidRDefault="00361716">
            <w:pPr>
              <w:widowControl/>
              <w:jc w:val="center"/>
              <w:rPr>
                <w:rFonts w:ascii="宋体" w:hAnsi="宋体" w:cs="Arial"/>
                <w:kern w:val="0"/>
                <w:sz w:val="22"/>
              </w:rPr>
            </w:pPr>
            <w:r>
              <w:rPr>
                <w:rFonts w:ascii="宋体" w:hAnsi="宋体" w:cs="Arial" w:hint="eastAsia"/>
                <w:kern w:val="0"/>
                <w:sz w:val="22"/>
              </w:rPr>
              <w:t>12</w:t>
            </w:r>
          </w:p>
        </w:tc>
      </w:tr>
      <w:tr w:rsidR="00000000">
        <w:trPr>
          <w:gridAfter w:val="1"/>
          <w:wAfter w:w="128" w:type="dxa"/>
          <w:trHeight w:val="308"/>
        </w:trPr>
        <w:tc>
          <w:tcPr>
            <w:tcW w:w="864" w:type="dxa"/>
            <w:gridSpan w:val="2"/>
            <w:tcBorders>
              <w:top w:val="nil"/>
              <w:left w:val="single" w:sz="4" w:space="0" w:color="000000"/>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3.00</w:t>
            </w:r>
          </w:p>
        </w:tc>
        <w:tc>
          <w:tcPr>
            <w:tcW w:w="1036"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00"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3.00</w:t>
            </w:r>
          </w:p>
        </w:tc>
        <w:tc>
          <w:tcPr>
            <w:tcW w:w="1324"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3.00</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276"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2.87</w:t>
            </w:r>
          </w:p>
        </w:tc>
        <w:tc>
          <w:tcPr>
            <w:tcW w:w="1134" w:type="dxa"/>
            <w:gridSpan w:val="3"/>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992" w:type="dxa"/>
            <w:gridSpan w:val="2"/>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2.87</w:t>
            </w:r>
          </w:p>
        </w:tc>
        <w:tc>
          <w:tcPr>
            <w:tcW w:w="992"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c>
          <w:tcPr>
            <w:tcW w:w="1418"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2.87</w:t>
            </w:r>
          </w:p>
        </w:tc>
        <w:tc>
          <w:tcPr>
            <w:tcW w:w="1701" w:type="dxa"/>
            <w:tcBorders>
              <w:top w:val="nil"/>
              <w:left w:val="nil"/>
              <w:bottom w:val="single" w:sz="4" w:space="0" w:color="000000"/>
              <w:right w:val="single" w:sz="4" w:space="0" w:color="000000"/>
            </w:tcBorders>
            <w:noWrap/>
            <w:vAlign w:val="center"/>
          </w:tcPr>
          <w:p w:rsidR="00000000" w:rsidRDefault="00361716">
            <w:pPr>
              <w:widowControl/>
              <w:jc w:val="right"/>
              <w:rPr>
                <w:rFonts w:ascii="宋体" w:hAnsi="宋体" w:cs="Arial"/>
                <w:kern w:val="0"/>
                <w:sz w:val="22"/>
              </w:rPr>
            </w:pPr>
            <w:r>
              <w:rPr>
                <w:rFonts w:ascii="宋体" w:hAnsi="宋体" w:cs="Arial" w:hint="eastAsia"/>
                <w:kern w:val="0"/>
                <w:sz w:val="22"/>
              </w:rPr>
              <w:t>0.00</w:t>
            </w:r>
          </w:p>
        </w:tc>
      </w:tr>
      <w:tr w:rsidR="00000000">
        <w:trPr>
          <w:gridAfter w:val="1"/>
          <w:wAfter w:w="128" w:type="dxa"/>
          <w:trHeight w:val="615"/>
        </w:trPr>
        <w:tc>
          <w:tcPr>
            <w:tcW w:w="13905" w:type="dxa"/>
            <w:gridSpan w:val="19"/>
            <w:tcBorders>
              <w:top w:val="nil"/>
              <w:left w:val="nil"/>
              <w:bottom w:val="nil"/>
              <w:right w:val="nil"/>
            </w:tcBorders>
            <w:vAlign w:val="center"/>
          </w:tcPr>
          <w:p w:rsidR="00000000" w:rsidRDefault="00361716">
            <w:pPr>
              <w:widowControl/>
              <w:jc w:val="left"/>
              <w:rPr>
                <w:rFonts w:ascii="宋体" w:hAnsi="宋体" w:cs="Arial"/>
                <w:kern w:val="0"/>
                <w:sz w:val="22"/>
              </w:rPr>
            </w:pPr>
            <w:r>
              <w:rPr>
                <w:rFonts w:ascii="宋体" w:hAnsi="宋体" w:cs="Arial" w:hint="eastAsia"/>
                <w:kern w:val="0"/>
                <w:sz w:val="22"/>
              </w:rPr>
              <w:t>注：本表反映部门本年度财政拨款“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pPr>
    </w:p>
    <w:p w:rsidR="00000000" w:rsidRDefault="00361716">
      <w:pPr>
        <w:rPr>
          <w:rFonts w:ascii="仿宋_GB2312" w:eastAsia="仿宋_GB2312" w:hAnsi="仿宋_GB2312" w:cs="仿宋_GB2312" w:hint="eastAsia"/>
          <w:sz w:val="32"/>
          <w:szCs w:val="32"/>
        </w:rPr>
        <w:sectPr w:rsidR="00000000">
          <w:pgSz w:w="16838" w:h="11906" w:orient="landscape"/>
          <w:pgMar w:top="1800" w:right="1440" w:bottom="1800" w:left="1440" w:header="720" w:footer="720" w:gutter="0"/>
          <w:pgNumType w:fmt="numberInDash"/>
          <w:cols w:space="720"/>
          <w:docGrid w:type="lines" w:linePitch="312"/>
        </w:sectPr>
      </w:pPr>
    </w:p>
    <w:p w:rsidR="00000000" w:rsidRDefault="00361716">
      <w:pPr>
        <w:tabs>
          <w:tab w:val="left" w:pos="5665"/>
        </w:tabs>
        <w:rPr>
          <w:rFonts w:ascii="仿宋_GB2312" w:eastAsia="仿宋_GB2312" w:hAnsi="仿宋_GB2312" w:cs="仿宋_GB2312"/>
          <w:sz w:val="32"/>
          <w:szCs w:val="32"/>
        </w:rPr>
      </w:pPr>
    </w:p>
    <w:p w:rsidR="00000000" w:rsidRDefault="00361716">
      <w:pPr>
        <w:tabs>
          <w:tab w:val="left" w:pos="5665"/>
        </w:tabs>
        <w:rPr>
          <w:rFonts w:ascii="黑体" w:eastAsia="黑体" w:hAnsi="宋体" w:cs="宋体"/>
          <w:kern w:val="0"/>
          <w:sz w:val="28"/>
          <w:szCs w:val="28"/>
        </w:rPr>
      </w:pPr>
    </w:p>
    <w:p w:rsidR="00000000" w:rsidRDefault="00361716">
      <w:pPr>
        <w:widowControl/>
        <w:jc w:val="left"/>
        <w:rPr>
          <w:rFonts w:ascii="黑体" w:eastAsia="黑体" w:hAnsi="宋体" w:cs="宋体"/>
          <w:kern w:val="0"/>
          <w:sz w:val="28"/>
          <w:szCs w:val="28"/>
        </w:rPr>
      </w:pPr>
    </w:p>
    <w:p w:rsidR="00000000" w:rsidRDefault="00361716">
      <w:pPr>
        <w:widowControl/>
        <w:jc w:val="left"/>
        <w:rPr>
          <w:rFonts w:ascii="黑体" w:eastAsia="黑体" w:hAnsi="宋体" w:cs="宋体"/>
          <w:kern w:val="0"/>
          <w:sz w:val="28"/>
          <w:szCs w:val="28"/>
        </w:rPr>
      </w:pPr>
    </w:p>
    <w:p w:rsidR="00000000" w:rsidRDefault="00361716">
      <w:pPr>
        <w:widowControl/>
        <w:jc w:val="left"/>
        <w:rPr>
          <w:rFonts w:ascii="黑体" w:eastAsia="黑体" w:hAnsi="宋体" w:cs="宋体"/>
          <w:kern w:val="0"/>
          <w:sz w:val="28"/>
          <w:szCs w:val="28"/>
        </w:rPr>
      </w:pPr>
    </w:p>
    <w:p w:rsidR="00000000" w:rsidRDefault="00361716">
      <w:pPr>
        <w:widowControl/>
        <w:jc w:val="left"/>
        <w:rPr>
          <w:rFonts w:ascii="黑体" w:eastAsia="黑体" w:hAnsi="宋体" w:cs="宋体"/>
          <w:kern w:val="0"/>
          <w:sz w:val="28"/>
          <w:szCs w:val="28"/>
        </w:rPr>
      </w:pPr>
    </w:p>
    <w:p w:rsidR="00000000" w:rsidRDefault="00361716">
      <w:pPr>
        <w:widowControl/>
        <w:jc w:val="left"/>
        <w:rPr>
          <w:rFonts w:ascii="黑体" w:eastAsia="黑体" w:hAnsi="宋体" w:cs="宋体"/>
          <w:kern w:val="0"/>
          <w:sz w:val="28"/>
          <w:szCs w:val="28"/>
        </w:rPr>
      </w:pPr>
    </w:p>
    <w:p w:rsidR="00000000" w:rsidRDefault="00361716">
      <w:pPr>
        <w:widowControl/>
        <w:jc w:val="left"/>
        <w:rPr>
          <w:rFonts w:ascii="黑体" w:eastAsia="黑体" w:hAnsi="宋体" w:cs="宋体"/>
          <w:kern w:val="0"/>
          <w:sz w:val="28"/>
          <w:szCs w:val="28"/>
        </w:rPr>
      </w:pPr>
    </w:p>
    <w:p w:rsidR="00000000" w:rsidRDefault="00361716">
      <w:pPr>
        <w:widowControl/>
        <w:jc w:val="left"/>
        <w:rPr>
          <w:rFonts w:ascii="黑体" w:eastAsia="黑体" w:hAnsi="宋体" w:cs="宋体" w:hint="eastAsia"/>
          <w:kern w:val="0"/>
          <w:sz w:val="28"/>
          <w:szCs w:val="28"/>
        </w:rPr>
      </w:pPr>
    </w:p>
    <w:p w:rsidR="00000000" w:rsidRDefault="00361716">
      <w:pPr>
        <w:jc w:val="center"/>
        <w:outlineLvl w:val="0"/>
        <w:rPr>
          <w:rFonts w:ascii="黑体" w:eastAsia="黑体" w:hAnsi="黑体" w:cs="黑体" w:hint="eastAsia"/>
          <w:sz w:val="48"/>
          <w:szCs w:val="48"/>
        </w:rPr>
      </w:pPr>
      <w:r>
        <w:rPr>
          <w:rFonts w:ascii="黑体" w:eastAsia="黑体" w:hAnsi="黑体" w:cs="黑体" w:hint="eastAsia"/>
          <w:sz w:val="48"/>
          <w:szCs w:val="48"/>
        </w:rPr>
        <w:t>第</w:t>
      </w:r>
      <w:r>
        <w:rPr>
          <w:rFonts w:ascii="黑体" w:eastAsia="黑体" w:hAnsi="黑体" w:cs="黑体" w:hint="eastAsia"/>
          <w:sz w:val="48"/>
          <w:szCs w:val="48"/>
        </w:rPr>
        <w:t>三部分</w:t>
      </w:r>
      <w:r>
        <w:rPr>
          <w:rFonts w:ascii="黑体" w:eastAsia="黑体" w:hAnsi="黑体" w:cs="黑体" w:hint="eastAsia"/>
          <w:sz w:val="48"/>
          <w:szCs w:val="48"/>
        </w:rPr>
        <w:t xml:space="preserve"> 202</w:t>
      </w:r>
      <w:r>
        <w:rPr>
          <w:rFonts w:ascii="黑体" w:eastAsia="黑体" w:hAnsi="黑体" w:cs="黑体"/>
          <w:sz w:val="48"/>
          <w:szCs w:val="48"/>
        </w:rPr>
        <w:t>2</w:t>
      </w:r>
      <w:r>
        <w:rPr>
          <w:rFonts w:ascii="黑体" w:eastAsia="黑体" w:hAnsi="黑体" w:cs="黑体" w:hint="eastAsia"/>
          <w:sz w:val="48"/>
          <w:szCs w:val="48"/>
        </w:rPr>
        <w:t>年度部门决算情况说明</w:t>
      </w:r>
    </w:p>
    <w:p w:rsidR="00000000" w:rsidRDefault="00361716">
      <w:pPr>
        <w:widowControl/>
        <w:jc w:val="left"/>
        <w:rPr>
          <w:rFonts w:ascii="黑体" w:eastAsia="黑体" w:hAnsi="黑体" w:cs="黑体" w:hint="eastAsia"/>
          <w:sz w:val="48"/>
          <w:szCs w:val="48"/>
        </w:rPr>
      </w:pPr>
    </w:p>
    <w:p w:rsidR="00000000" w:rsidRDefault="00361716">
      <w:pPr>
        <w:widowControl/>
        <w:jc w:val="left"/>
        <w:rPr>
          <w:rFonts w:ascii="黑体" w:eastAsia="黑体" w:hAnsi="黑体" w:cs="黑体" w:hint="eastAsia"/>
          <w:sz w:val="48"/>
          <w:szCs w:val="48"/>
        </w:rPr>
      </w:pPr>
    </w:p>
    <w:p w:rsidR="00000000" w:rsidRDefault="00361716">
      <w:pPr>
        <w:widowControl/>
        <w:jc w:val="left"/>
        <w:rPr>
          <w:rFonts w:ascii="黑体" w:eastAsia="黑体" w:hAnsi="黑体" w:cs="黑体" w:hint="eastAsia"/>
          <w:sz w:val="48"/>
          <w:szCs w:val="48"/>
        </w:rPr>
      </w:pPr>
    </w:p>
    <w:p w:rsidR="00000000" w:rsidRDefault="00361716">
      <w:pPr>
        <w:widowControl/>
        <w:jc w:val="left"/>
        <w:rPr>
          <w:rFonts w:ascii="黑体" w:eastAsia="黑体" w:hAnsi="黑体" w:cs="黑体" w:hint="eastAsia"/>
          <w:sz w:val="48"/>
          <w:szCs w:val="48"/>
        </w:rPr>
      </w:pPr>
    </w:p>
    <w:p w:rsidR="00000000" w:rsidRDefault="00361716">
      <w:pPr>
        <w:widowControl/>
        <w:jc w:val="left"/>
        <w:rPr>
          <w:rFonts w:ascii="黑体" w:eastAsia="黑体" w:hAnsi="黑体" w:cs="黑体" w:hint="eastAsia"/>
          <w:sz w:val="48"/>
          <w:szCs w:val="48"/>
        </w:rPr>
        <w:sectPr w:rsidR="00000000">
          <w:pgSz w:w="11906" w:h="16838"/>
          <w:pgMar w:top="1440" w:right="1800" w:bottom="1440" w:left="1800" w:header="720" w:footer="720" w:gutter="0"/>
          <w:pgNumType w:fmt="numberInDash"/>
          <w:cols w:space="720"/>
          <w:docGrid w:type="lines" w:linePitch="312"/>
        </w:sectPr>
      </w:pP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lastRenderedPageBreak/>
        <w:t>一、收入支出决算总体情况说明</w:t>
      </w:r>
    </w:p>
    <w:p w:rsidR="00000000" w:rsidRDefault="00361716">
      <w:pPr>
        <w:widowControl/>
        <w:spacing w:line="590" w:lineRule="exact"/>
        <w:ind w:firstLineChars="200" w:firstLine="640"/>
        <w:rPr>
          <w:rFonts w:ascii="黑体" w:eastAsia="黑体" w:hAnsi="黑体" w:cs="黑体" w:hint="eastAsia"/>
          <w:sz w:val="32"/>
          <w:szCs w:val="32"/>
        </w:rPr>
      </w:pPr>
      <w:r>
        <w:rPr>
          <w:rFonts w:ascii="仿宋_GB2312" w:eastAsia="仿宋_GB2312" w:cs="仿宋_GB2312"/>
          <w:sz w:val="32"/>
          <w:szCs w:val="32"/>
        </w:rPr>
        <w:t>2022</w:t>
      </w:r>
      <w:r>
        <w:rPr>
          <w:rFonts w:ascii="仿宋_GB2312" w:eastAsia="仿宋_GB2312" w:cs="仿宋_GB2312" w:hint="eastAsia"/>
          <w:sz w:val="32"/>
          <w:szCs w:val="32"/>
        </w:rPr>
        <w:t>年度收、支总计均为</w:t>
      </w:r>
      <w:r>
        <w:rPr>
          <w:rFonts w:ascii="仿宋_GB2312" w:eastAsia="仿宋_GB2312" w:cs="仿宋_GB2312"/>
          <w:sz w:val="32"/>
          <w:szCs w:val="32"/>
        </w:rPr>
        <w:t>1002.14</w:t>
      </w:r>
      <w:r>
        <w:rPr>
          <w:rFonts w:ascii="仿宋_GB2312" w:eastAsia="仿宋_GB2312" w:cs="仿宋_GB2312" w:hint="eastAsia"/>
          <w:sz w:val="32"/>
          <w:szCs w:val="32"/>
        </w:rPr>
        <w:t>万元。与上年度相比，收、支总计各减少</w:t>
      </w:r>
      <w:r>
        <w:rPr>
          <w:rFonts w:ascii="仿宋_GB2312" w:eastAsia="仿宋_GB2312" w:cs="仿宋_GB2312"/>
          <w:sz w:val="32"/>
          <w:szCs w:val="32"/>
        </w:rPr>
        <w:t>2399.28</w:t>
      </w:r>
      <w:r>
        <w:rPr>
          <w:rFonts w:ascii="仿宋_GB2312" w:eastAsia="仿宋_GB2312" w:cs="仿宋_GB2312" w:hint="eastAsia"/>
          <w:sz w:val="32"/>
          <w:szCs w:val="32"/>
        </w:rPr>
        <w:t>万元，下降</w:t>
      </w:r>
      <w:r>
        <w:rPr>
          <w:rFonts w:ascii="仿宋_GB2312" w:eastAsia="仿宋_GB2312" w:cs="仿宋_GB2312"/>
          <w:sz w:val="32"/>
          <w:szCs w:val="32"/>
        </w:rPr>
        <w:t>70.54%</w:t>
      </w:r>
      <w:r>
        <w:rPr>
          <w:rFonts w:ascii="仿宋_GB2312" w:eastAsia="仿宋_GB2312" w:cs="仿宋_GB2312" w:hint="eastAsia"/>
          <w:sz w:val="32"/>
          <w:szCs w:val="32"/>
        </w:rPr>
        <w:t>。主要原因是</w:t>
      </w:r>
      <w:r>
        <w:rPr>
          <w:rFonts w:ascii="仿宋_GB2312" w:eastAsia="仿宋_GB2312" w:hAnsi="宋体" w:hint="eastAsia"/>
          <w:sz w:val="32"/>
          <w:szCs w:val="32"/>
        </w:rPr>
        <w:t>专项支出减少，去年由于往来账造成账务支出虚增，本年正常</w:t>
      </w:r>
      <w:r>
        <w:rPr>
          <w:rFonts w:ascii="仿宋_GB2312" w:eastAsia="仿宋_GB2312" w:cs="仿宋_GB2312" w:hint="eastAsia"/>
          <w:sz w:val="32"/>
          <w:szCs w:val="32"/>
        </w:rPr>
        <w:t>。</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二、收入决算情况说明</w:t>
      </w:r>
    </w:p>
    <w:p w:rsidR="00000000" w:rsidRDefault="00361716">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2022</w:t>
      </w:r>
      <w:r>
        <w:rPr>
          <w:rFonts w:ascii="仿宋_GB2312" w:eastAsia="仿宋_GB2312" w:cs="仿宋_GB2312" w:hint="eastAsia"/>
          <w:sz w:val="32"/>
          <w:szCs w:val="32"/>
        </w:rPr>
        <w:t>年度收入合计</w:t>
      </w:r>
      <w:r>
        <w:rPr>
          <w:rFonts w:ascii="仿宋_GB2312" w:eastAsia="仿宋_GB2312" w:cs="仿宋_GB2312"/>
          <w:sz w:val="32"/>
          <w:szCs w:val="32"/>
        </w:rPr>
        <w:t>1002.14</w:t>
      </w:r>
      <w:r>
        <w:rPr>
          <w:rFonts w:ascii="仿宋_GB2312" w:eastAsia="仿宋_GB2312" w:cs="仿宋_GB2312" w:hint="eastAsia"/>
          <w:sz w:val="32"/>
          <w:szCs w:val="32"/>
        </w:rPr>
        <w:t>万元，其中：财政拨款收入</w:t>
      </w:r>
      <w:r>
        <w:rPr>
          <w:rFonts w:ascii="仿宋_GB2312" w:eastAsia="仿宋_GB2312" w:cs="仿宋_GB2312"/>
          <w:sz w:val="32"/>
          <w:szCs w:val="32"/>
        </w:rPr>
        <w:t>1002.14</w:t>
      </w:r>
      <w:r>
        <w:rPr>
          <w:rFonts w:ascii="仿宋_GB2312" w:eastAsia="仿宋_GB2312" w:cs="仿宋_GB2312" w:hint="eastAsia"/>
          <w:sz w:val="32"/>
          <w:szCs w:val="32"/>
        </w:rPr>
        <w:t>万元，占</w:t>
      </w:r>
      <w:r>
        <w:rPr>
          <w:rFonts w:ascii="仿宋_GB2312" w:eastAsia="仿宋_GB2312" w:cs="仿宋_GB2312"/>
          <w:sz w:val="32"/>
          <w:szCs w:val="32"/>
        </w:rPr>
        <w:t>100%</w:t>
      </w:r>
      <w:r>
        <w:rPr>
          <w:rFonts w:ascii="仿宋_GB2312" w:eastAsia="仿宋_GB2312" w:cs="仿宋_GB2312" w:hint="eastAsia"/>
          <w:sz w:val="32"/>
          <w:szCs w:val="32"/>
        </w:rPr>
        <w:t>；上级补助收入</w:t>
      </w:r>
      <w:r>
        <w:rPr>
          <w:rFonts w:ascii="仿宋_GB2312" w:eastAsia="仿宋_GB2312" w:cs="仿宋_GB2312"/>
          <w:sz w:val="32"/>
          <w:szCs w:val="32"/>
        </w:rPr>
        <w:t>0</w:t>
      </w:r>
      <w:r>
        <w:rPr>
          <w:rFonts w:ascii="仿宋_GB2312" w:eastAsia="仿宋_GB2312" w:cs="仿宋_GB2312" w:hint="eastAsia"/>
          <w:sz w:val="32"/>
          <w:szCs w:val="32"/>
        </w:rPr>
        <w:t>万元，占</w:t>
      </w:r>
      <w:r>
        <w:rPr>
          <w:rFonts w:ascii="仿宋_GB2312" w:eastAsia="仿宋_GB2312" w:cs="仿宋_GB2312"/>
          <w:sz w:val="32"/>
          <w:szCs w:val="32"/>
        </w:rPr>
        <w:t>0%</w:t>
      </w:r>
      <w:r>
        <w:rPr>
          <w:rFonts w:ascii="仿宋_GB2312" w:eastAsia="仿宋_GB2312" w:cs="仿宋_GB2312" w:hint="eastAsia"/>
          <w:sz w:val="32"/>
          <w:szCs w:val="32"/>
        </w:rPr>
        <w:t>；事业收入</w:t>
      </w:r>
      <w:r>
        <w:rPr>
          <w:rFonts w:ascii="仿宋_GB2312" w:eastAsia="仿宋_GB2312" w:cs="仿宋_GB2312"/>
          <w:sz w:val="32"/>
          <w:szCs w:val="32"/>
        </w:rPr>
        <w:t>0</w:t>
      </w:r>
      <w:r>
        <w:rPr>
          <w:rFonts w:ascii="仿宋_GB2312" w:eastAsia="仿宋_GB2312" w:cs="仿宋_GB2312" w:hint="eastAsia"/>
          <w:sz w:val="32"/>
          <w:szCs w:val="32"/>
        </w:rPr>
        <w:t>万元，占</w:t>
      </w:r>
      <w:r>
        <w:rPr>
          <w:rFonts w:ascii="仿宋_GB2312" w:eastAsia="仿宋_GB2312" w:cs="仿宋_GB2312"/>
          <w:sz w:val="32"/>
          <w:szCs w:val="32"/>
        </w:rPr>
        <w:t>0%</w:t>
      </w:r>
      <w:r>
        <w:rPr>
          <w:rFonts w:ascii="仿宋_GB2312" w:eastAsia="仿宋_GB2312" w:cs="仿宋_GB2312" w:hint="eastAsia"/>
          <w:sz w:val="32"/>
          <w:szCs w:val="32"/>
        </w:rPr>
        <w:t>；经营收入</w:t>
      </w:r>
      <w:r>
        <w:rPr>
          <w:rFonts w:ascii="仿宋_GB2312" w:eastAsia="仿宋_GB2312" w:cs="仿宋_GB2312"/>
          <w:sz w:val="32"/>
          <w:szCs w:val="32"/>
        </w:rPr>
        <w:t>0</w:t>
      </w:r>
      <w:r>
        <w:rPr>
          <w:rFonts w:ascii="仿宋_GB2312" w:eastAsia="仿宋_GB2312" w:cs="仿宋_GB2312" w:hint="eastAsia"/>
          <w:sz w:val="32"/>
          <w:szCs w:val="32"/>
        </w:rPr>
        <w:t>万元，占</w:t>
      </w:r>
      <w:r>
        <w:rPr>
          <w:rFonts w:ascii="仿宋_GB2312" w:eastAsia="仿宋_GB2312" w:cs="仿宋_GB2312"/>
          <w:sz w:val="32"/>
          <w:szCs w:val="32"/>
        </w:rPr>
        <w:t>0%</w:t>
      </w:r>
      <w:r>
        <w:rPr>
          <w:rFonts w:ascii="仿宋_GB2312" w:eastAsia="仿宋_GB2312" w:cs="仿宋_GB2312" w:hint="eastAsia"/>
          <w:sz w:val="32"/>
          <w:szCs w:val="32"/>
        </w:rPr>
        <w:t>；附属单位上缴收入</w:t>
      </w:r>
      <w:r>
        <w:rPr>
          <w:rFonts w:ascii="仿宋_GB2312" w:eastAsia="仿宋_GB2312" w:cs="仿宋_GB2312"/>
          <w:sz w:val="32"/>
          <w:szCs w:val="32"/>
        </w:rPr>
        <w:t>0</w:t>
      </w:r>
      <w:r>
        <w:rPr>
          <w:rFonts w:ascii="仿宋_GB2312" w:eastAsia="仿宋_GB2312" w:cs="仿宋_GB2312" w:hint="eastAsia"/>
          <w:sz w:val="32"/>
          <w:szCs w:val="32"/>
        </w:rPr>
        <w:t>万元，占</w:t>
      </w:r>
      <w:r>
        <w:rPr>
          <w:rFonts w:ascii="仿宋_GB2312" w:eastAsia="仿宋_GB2312" w:cs="仿宋_GB2312"/>
          <w:sz w:val="32"/>
          <w:szCs w:val="32"/>
        </w:rPr>
        <w:t>0%</w:t>
      </w:r>
      <w:r>
        <w:rPr>
          <w:rFonts w:ascii="仿宋_GB2312" w:eastAsia="仿宋_GB2312" w:cs="仿宋_GB2312" w:hint="eastAsia"/>
          <w:sz w:val="32"/>
          <w:szCs w:val="32"/>
        </w:rPr>
        <w:t>；其他收入</w:t>
      </w:r>
      <w:r>
        <w:rPr>
          <w:rFonts w:ascii="仿宋_GB2312" w:eastAsia="仿宋_GB2312" w:cs="仿宋_GB2312"/>
          <w:sz w:val="32"/>
          <w:szCs w:val="32"/>
        </w:rPr>
        <w:t>0</w:t>
      </w:r>
      <w:r>
        <w:rPr>
          <w:rFonts w:ascii="仿宋_GB2312" w:eastAsia="仿宋_GB2312" w:cs="仿宋_GB2312" w:hint="eastAsia"/>
          <w:sz w:val="32"/>
          <w:szCs w:val="32"/>
        </w:rPr>
        <w:t>万元，占</w:t>
      </w:r>
      <w:r>
        <w:rPr>
          <w:rFonts w:ascii="仿宋_GB2312" w:eastAsia="仿宋_GB2312" w:cs="仿宋_GB2312"/>
          <w:sz w:val="32"/>
          <w:szCs w:val="32"/>
        </w:rPr>
        <w:t>0%</w:t>
      </w:r>
      <w:r>
        <w:rPr>
          <w:rFonts w:ascii="仿宋_GB2312" w:eastAsia="仿宋_GB2312" w:cs="仿宋_GB2312" w:hint="eastAsia"/>
          <w:sz w:val="32"/>
          <w:szCs w:val="32"/>
        </w:rPr>
        <w:t>。</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三、支</w:t>
      </w:r>
      <w:r>
        <w:rPr>
          <w:rFonts w:ascii="黑体" w:eastAsia="黑体" w:hAnsi="黑体" w:cs="黑体" w:hint="eastAsia"/>
          <w:sz w:val="32"/>
          <w:szCs w:val="32"/>
        </w:rPr>
        <w:t>出决算情况说明</w:t>
      </w:r>
    </w:p>
    <w:p w:rsidR="00000000" w:rsidRDefault="00361716">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2022</w:t>
      </w:r>
      <w:r>
        <w:rPr>
          <w:rFonts w:ascii="仿宋_GB2312" w:eastAsia="仿宋_GB2312" w:cs="仿宋_GB2312" w:hint="eastAsia"/>
          <w:sz w:val="32"/>
          <w:szCs w:val="32"/>
        </w:rPr>
        <w:t>年度支出合计</w:t>
      </w:r>
      <w:r>
        <w:rPr>
          <w:rFonts w:ascii="仿宋_GB2312" w:eastAsia="仿宋_GB2312" w:cs="仿宋_GB2312"/>
          <w:sz w:val="32"/>
          <w:szCs w:val="32"/>
        </w:rPr>
        <w:t>1002.14</w:t>
      </w:r>
      <w:r>
        <w:rPr>
          <w:rFonts w:ascii="仿宋_GB2312" w:eastAsia="仿宋_GB2312" w:cs="仿宋_GB2312" w:hint="eastAsia"/>
          <w:sz w:val="32"/>
          <w:szCs w:val="32"/>
        </w:rPr>
        <w:t>万元，其中：基本支出</w:t>
      </w:r>
      <w:r>
        <w:rPr>
          <w:rFonts w:ascii="仿宋_GB2312" w:eastAsia="仿宋_GB2312" w:cs="仿宋_GB2312"/>
          <w:sz w:val="32"/>
          <w:szCs w:val="32"/>
        </w:rPr>
        <w:t>884.94</w:t>
      </w:r>
      <w:r>
        <w:rPr>
          <w:rFonts w:ascii="仿宋_GB2312" w:eastAsia="仿宋_GB2312" w:cs="仿宋_GB2312" w:hint="eastAsia"/>
          <w:sz w:val="32"/>
          <w:szCs w:val="32"/>
        </w:rPr>
        <w:t>万元，占</w:t>
      </w:r>
      <w:r>
        <w:rPr>
          <w:rFonts w:ascii="仿宋_GB2312" w:eastAsia="仿宋_GB2312" w:cs="仿宋_GB2312"/>
          <w:sz w:val="32"/>
          <w:szCs w:val="32"/>
        </w:rPr>
        <w:t>88.31%</w:t>
      </w:r>
      <w:r>
        <w:rPr>
          <w:rFonts w:ascii="仿宋_GB2312" w:eastAsia="仿宋_GB2312" w:cs="仿宋_GB2312" w:hint="eastAsia"/>
          <w:sz w:val="32"/>
          <w:szCs w:val="32"/>
        </w:rPr>
        <w:t>；项目支出</w:t>
      </w:r>
      <w:r>
        <w:rPr>
          <w:rFonts w:ascii="仿宋_GB2312" w:eastAsia="仿宋_GB2312" w:cs="仿宋_GB2312"/>
          <w:sz w:val="32"/>
          <w:szCs w:val="32"/>
        </w:rPr>
        <w:t>117.2</w:t>
      </w:r>
      <w:r>
        <w:rPr>
          <w:rFonts w:ascii="仿宋_GB2312" w:eastAsia="仿宋_GB2312" w:cs="仿宋_GB2312" w:hint="eastAsia"/>
          <w:sz w:val="32"/>
          <w:szCs w:val="32"/>
        </w:rPr>
        <w:t>0</w:t>
      </w:r>
      <w:r>
        <w:rPr>
          <w:rFonts w:ascii="仿宋_GB2312" w:eastAsia="仿宋_GB2312" w:cs="仿宋_GB2312" w:hint="eastAsia"/>
          <w:sz w:val="32"/>
          <w:szCs w:val="32"/>
        </w:rPr>
        <w:t>万元，占</w:t>
      </w:r>
      <w:r>
        <w:rPr>
          <w:rFonts w:ascii="仿宋_GB2312" w:eastAsia="仿宋_GB2312" w:cs="仿宋_GB2312"/>
          <w:sz w:val="32"/>
          <w:szCs w:val="32"/>
        </w:rPr>
        <w:t>11.69%</w:t>
      </w:r>
      <w:r>
        <w:rPr>
          <w:rFonts w:ascii="仿宋_GB2312" w:eastAsia="仿宋_GB2312" w:cs="仿宋_GB2312" w:hint="eastAsia"/>
          <w:sz w:val="32"/>
          <w:szCs w:val="32"/>
        </w:rPr>
        <w:t>；上缴上级支出</w:t>
      </w:r>
      <w:r>
        <w:rPr>
          <w:rFonts w:ascii="仿宋_GB2312" w:eastAsia="仿宋_GB2312" w:cs="仿宋_GB2312"/>
          <w:sz w:val="32"/>
          <w:szCs w:val="32"/>
        </w:rPr>
        <w:t>0</w:t>
      </w:r>
      <w:r>
        <w:rPr>
          <w:rFonts w:ascii="仿宋_GB2312" w:eastAsia="仿宋_GB2312" w:cs="仿宋_GB2312" w:hint="eastAsia"/>
          <w:sz w:val="32"/>
          <w:szCs w:val="32"/>
        </w:rPr>
        <w:t>万元，占</w:t>
      </w:r>
      <w:r>
        <w:rPr>
          <w:rFonts w:ascii="仿宋_GB2312" w:eastAsia="仿宋_GB2312" w:cs="仿宋_GB2312"/>
          <w:sz w:val="32"/>
          <w:szCs w:val="32"/>
        </w:rPr>
        <w:t>0%</w:t>
      </w:r>
      <w:r>
        <w:rPr>
          <w:rFonts w:ascii="仿宋_GB2312" w:eastAsia="仿宋_GB2312" w:cs="仿宋_GB2312" w:hint="eastAsia"/>
          <w:sz w:val="32"/>
          <w:szCs w:val="32"/>
        </w:rPr>
        <w:t>；经营支出</w:t>
      </w:r>
      <w:r>
        <w:rPr>
          <w:rFonts w:ascii="仿宋_GB2312" w:eastAsia="仿宋_GB2312" w:cs="仿宋_GB2312"/>
          <w:sz w:val="32"/>
          <w:szCs w:val="32"/>
        </w:rPr>
        <w:t>0</w:t>
      </w:r>
      <w:r>
        <w:rPr>
          <w:rFonts w:ascii="仿宋_GB2312" w:eastAsia="仿宋_GB2312" w:cs="仿宋_GB2312" w:hint="eastAsia"/>
          <w:sz w:val="32"/>
          <w:szCs w:val="32"/>
        </w:rPr>
        <w:t>万元，占</w:t>
      </w:r>
      <w:r>
        <w:rPr>
          <w:rFonts w:ascii="仿宋_GB2312" w:eastAsia="仿宋_GB2312" w:cs="仿宋_GB2312"/>
          <w:sz w:val="32"/>
          <w:szCs w:val="32"/>
        </w:rPr>
        <w:t>0%</w:t>
      </w:r>
      <w:r>
        <w:rPr>
          <w:rFonts w:ascii="仿宋_GB2312" w:eastAsia="仿宋_GB2312" w:cs="仿宋_GB2312" w:hint="eastAsia"/>
          <w:sz w:val="32"/>
          <w:szCs w:val="32"/>
        </w:rPr>
        <w:t>；对附属单位补助支出</w:t>
      </w:r>
      <w:r>
        <w:rPr>
          <w:rFonts w:ascii="仿宋_GB2312" w:eastAsia="仿宋_GB2312" w:cs="仿宋_GB2312"/>
          <w:sz w:val="32"/>
          <w:szCs w:val="32"/>
        </w:rPr>
        <w:t>0</w:t>
      </w:r>
      <w:r>
        <w:rPr>
          <w:rFonts w:ascii="仿宋_GB2312" w:eastAsia="仿宋_GB2312" w:cs="仿宋_GB2312" w:hint="eastAsia"/>
          <w:sz w:val="32"/>
          <w:szCs w:val="32"/>
        </w:rPr>
        <w:t>万元，占</w:t>
      </w:r>
      <w:r>
        <w:rPr>
          <w:rFonts w:ascii="仿宋_GB2312" w:eastAsia="仿宋_GB2312" w:cs="仿宋_GB2312"/>
          <w:sz w:val="32"/>
          <w:szCs w:val="32"/>
        </w:rPr>
        <w:t>0%</w:t>
      </w:r>
      <w:r>
        <w:rPr>
          <w:rFonts w:ascii="仿宋_GB2312" w:eastAsia="仿宋_GB2312" w:cs="仿宋_GB2312" w:hint="eastAsia"/>
          <w:sz w:val="32"/>
          <w:szCs w:val="32"/>
        </w:rPr>
        <w:t>。</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四、财政拨款收入支出决算总体情况说明</w:t>
      </w:r>
    </w:p>
    <w:p w:rsidR="00000000" w:rsidRDefault="00361716">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2022</w:t>
      </w:r>
      <w:r>
        <w:rPr>
          <w:rFonts w:ascii="仿宋_GB2312" w:eastAsia="仿宋_GB2312" w:cs="仿宋_GB2312" w:hint="eastAsia"/>
          <w:sz w:val="32"/>
          <w:szCs w:val="32"/>
        </w:rPr>
        <w:t>年度财政拨款收、支总计均为</w:t>
      </w:r>
      <w:r>
        <w:rPr>
          <w:rFonts w:ascii="仿宋_GB2312" w:eastAsia="仿宋_GB2312" w:cs="仿宋_GB2312"/>
          <w:sz w:val="32"/>
          <w:szCs w:val="32"/>
        </w:rPr>
        <w:t>1002.14</w:t>
      </w:r>
      <w:r>
        <w:rPr>
          <w:rFonts w:ascii="仿宋_GB2312" w:eastAsia="仿宋_GB2312" w:cs="仿宋_GB2312" w:hint="eastAsia"/>
          <w:sz w:val="32"/>
          <w:szCs w:val="32"/>
        </w:rPr>
        <w:t>万元。与上年度相比，财政拨款收、支总计各减少</w:t>
      </w:r>
      <w:r>
        <w:rPr>
          <w:rFonts w:ascii="仿宋_GB2312" w:eastAsia="仿宋_GB2312" w:cs="仿宋_GB2312"/>
          <w:sz w:val="32"/>
          <w:szCs w:val="32"/>
        </w:rPr>
        <w:t>2399.28</w:t>
      </w:r>
      <w:r>
        <w:rPr>
          <w:rFonts w:ascii="仿宋_GB2312" w:eastAsia="仿宋_GB2312" w:cs="仿宋_GB2312" w:hint="eastAsia"/>
          <w:sz w:val="32"/>
          <w:szCs w:val="32"/>
        </w:rPr>
        <w:t>万元，下降</w:t>
      </w:r>
      <w:r>
        <w:rPr>
          <w:rFonts w:ascii="仿宋_GB2312" w:eastAsia="仿宋_GB2312" w:cs="仿宋_GB2312"/>
          <w:sz w:val="32"/>
          <w:szCs w:val="32"/>
        </w:rPr>
        <w:t>70.54%</w:t>
      </w:r>
      <w:r>
        <w:rPr>
          <w:rFonts w:ascii="仿宋_GB2312" w:eastAsia="仿宋_GB2312" w:cs="仿宋_GB2312" w:hint="eastAsia"/>
          <w:sz w:val="32"/>
          <w:szCs w:val="32"/>
        </w:rPr>
        <w:t>。主要原因是</w:t>
      </w:r>
      <w:r>
        <w:rPr>
          <w:rFonts w:ascii="仿宋_GB2312" w:eastAsia="仿宋_GB2312" w:hAnsi="宋体" w:hint="eastAsia"/>
          <w:sz w:val="32"/>
          <w:szCs w:val="32"/>
        </w:rPr>
        <w:t>专项支出减少，去年由于往来账造成账务支出虚增，本年正常</w:t>
      </w:r>
      <w:r>
        <w:rPr>
          <w:rFonts w:ascii="仿宋_GB2312" w:eastAsia="仿宋_GB2312" w:cs="仿宋_GB2312" w:hint="eastAsia"/>
          <w:sz w:val="32"/>
          <w:szCs w:val="32"/>
        </w:rPr>
        <w:t>。</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五、一般公共预算财政拨款支出决算情况说明</w:t>
      </w:r>
    </w:p>
    <w:p w:rsidR="00000000" w:rsidRDefault="00361716">
      <w:pPr>
        <w:widowControl/>
        <w:spacing w:line="59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（一）总体情况。</w:t>
      </w:r>
    </w:p>
    <w:p w:rsidR="00000000" w:rsidRDefault="0036171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2022</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sz w:val="32"/>
          <w:szCs w:val="32"/>
        </w:rPr>
        <w:t>1002.14</w:t>
      </w:r>
      <w:r>
        <w:rPr>
          <w:rFonts w:ascii="仿宋_GB2312" w:eastAsia="仿宋_GB2312" w:hAnsi="仿宋_GB2312" w:cs="仿宋_GB2312" w:hint="eastAsia"/>
          <w:sz w:val="32"/>
          <w:szCs w:val="32"/>
        </w:rPr>
        <w:t>万元，占支出合计的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。与上年度相比，一般公共预算财政拨款支出减少</w:t>
      </w:r>
      <w:r>
        <w:rPr>
          <w:rFonts w:ascii="仿宋_GB2312" w:eastAsia="仿宋_GB2312" w:hAnsi="仿宋_GB2312" w:cs="仿宋_GB2312"/>
          <w:sz w:val="32"/>
          <w:szCs w:val="32"/>
        </w:rPr>
        <w:t>2399.28</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70.54%</w:t>
      </w:r>
      <w:r>
        <w:rPr>
          <w:rFonts w:ascii="仿宋_GB2312" w:eastAsia="仿宋_GB2312" w:hAnsi="仿宋_GB2312" w:cs="仿宋_GB2312" w:hint="eastAsia"/>
          <w:sz w:val="32"/>
          <w:szCs w:val="32"/>
        </w:rPr>
        <w:t>。主要原因是</w:t>
      </w:r>
      <w:r>
        <w:rPr>
          <w:rFonts w:ascii="仿宋_GB2312" w:eastAsia="仿宋_GB2312" w:hAnsi="宋体" w:hint="eastAsia"/>
          <w:sz w:val="32"/>
          <w:szCs w:val="32"/>
        </w:rPr>
        <w:t>专项支出减少，去年由于往来账造成账务支出虚增，本年正常</w:t>
      </w:r>
      <w:r>
        <w:rPr>
          <w:rFonts w:ascii="仿宋_GB2312" w:eastAsia="仿宋_GB2312" w:cs="仿宋_GB2312" w:hint="eastAsia"/>
          <w:sz w:val="32"/>
          <w:szCs w:val="32"/>
        </w:rPr>
        <w:t>。</w:t>
      </w:r>
    </w:p>
    <w:p w:rsidR="00000000" w:rsidRDefault="00361716">
      <w:pPr>
        <w:widowControl/>
        <w:spacing w:line="59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（二）结构情况。</w:t>
      </w:r>
    </w:p>
    <w:p w:rsidR="00000000" w:rsidRDefault="00361716">
      <w:pPr>
        <w:widowControl/>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sz w:val="32"/>
          <w:szCs w:val="32"/>
        </w:rPr>
        <w:t>1002.14</w:t>
      </w:r>
      <w:r>
        <w:rPr>
          <w:rFonts w:ascii="仿宋_GB2312" w:eastAsia="仿宋_GB2312" w:hAnsi="仿宋_GB2312" w:cs="仿宋_GB2312" w:hint="eastAsia"/>
          <w:sz w:val="32"/>
          <w:szCs w:val="32"/>
        </w:rPr>
        <w:t>万元，主要用于以下方面：一般公共服务支出</w:t>
      </w:r>
      <w:r>
        <w:rPr>
          <w:rFonts w:ascii="仿宋_GB2312" w:eastAsia="仿宋_GB2312" w:hAnsi="仿宋_GB2312" w:cs="仿宋_GB2312" w:hint="eastAsia"/>
          <w:sz w:val="32"/>
          <w:szCs w:val="32"/>
        </w:rPr>
        <w:t>11.21</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52.39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5.23%</w:t>
      </w: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38.46</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3.84%</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900.10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89.8</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000000" w:rsidRDefault="00361716">
      <w:pPr>
        <w:widowControl/>
        <w:spacing w:line="59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（三）具体情况。</w:t>
      </w:r>
    </w:p>
    <w:p w:rsidR="00000000" w:rsidRDefault="00361716">
      <w:pPr>
        <w:autoSpaceDE w:val="0"/>
        <w:autoSpaceDN w:val="0"/>
        <w:adjustRightInd w:val="0"/>
        <w:spacing w:line="590" w:lineRule="exact"/>
        <w:ind w:firstLine="640"/>
        <w:rPr>
          <w:rFonts w:eastAsia="仿宋_GB2312"/>
          <w:sz w:val="32"/>
          <w:szCs w:val="32"/>
        </w:rPr>
      </w:pPr>
      <w:r>
        <w:rPr>
          <w:rFonts w:ascii="仿宋_GB2312" w:eastAsia="仿宋_GB2312" w:cs="仿宋_GB2312"/>
          <w:sz w:val="32"/>
          <w:szCs w:val="32"/>
        </w:rPr>
        <w:t>2022</w:t>
      </w:r>
      <w:r>
        <w:rPr>
          <w:rFonts w:ascii="仿宋_GB2312" w:eastAsia="仿宋_GB2312" w:cs="仿宋_GB2312" w:hint="eastAsia"/>
          <w:sz w:val="32"/>
          <w:szCs w:val="32"/>
        </w:rPr>
        <w:t>年度一般公共预算财政拨款支出年初预算为</w:t>
      </w:r>
      <w:r>
        <w:rPr>
          <w:rFonts w:ascii="仿宋_GB2312" w:eastAsia="仿宋_GB2312" w:cs="仿宋_GB2312"/>
          <w:sz w:val="32"/>
          <w:szCs w:val="32"/>
        </w:rPr>
        <w:t>980.64</w:t>
      </w:r>
      <w:r>
        <w:rPr>
          <w:rFonts w:ascii="仿宋_GB2312" w:eastAsia="仿宋_GB2312" w:cs="仿宋_GB2312" w:hint="eastAsia"/>
          <w:sz w:val="32"/>
          <w:szCs w:val="32"/>
        </w:rPr>
        <w:t>万元，支出决算为</w:t>
      </w:r>
      <w:r>
        <w:rPr>
          <w:rFonts w:ascii="仿宋_GB2312" w:eastAsia="仿宋_GB2312" w:cs="仿宋_GB2312"/>
          <w:sz w:val="32"/>
          <w:szCs w:val="32"/>
        </w:rPr>
        <w:t>1002.14</w:t>
      </w:r>
      <w:r>
        <w:rPr>
          <w:rFonts w:ascii="仿宋_GB2312" w:eastAsia="仿宋_GB2312" w:cs="仿宋_GB2312" w:hint="eastAsia"/>
          <w:sz w:val="32"/>
          <w:szCs w:val="32"/>
        </w:rPr>
        <w:t>万元，完成年初预算的</w:t>
      </w:r>
      <w:r>
        <w:rPr>
          <w:rFonts w:ascii="仿宋_GB2312" w:eastAsia="仿宋_GB2312" w:cs="仿宋_GB2312"/>
          <w:sz w:val="32"/>
          <w:szCs w:val="32"/>
        </w:rPr>
        <w:t>102.19%</w:t>
      </w:r>
      <w:r>
        <w:rPr>
          <w:rFonts w:ascii="仿宋_GB2312" w:eastAsia="仿宋_GB2312" w:cs="仿宋_GB2312" w:hint="eastAsia"/>
          <w:sz w:val="32"/>
          <w:szCs w:val="32"/>
        </w:rPr>
        <w:t>。其中：</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．一般公共服务支出（类）群众团体事务（款）工会事务（项）。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3.10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3.10</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。决算数与年初预算数不存在差异。</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．一般公共服务支出（类）其他一般公共服务支出（款）其他一般公共服务支出（项）。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8.10</w:t>
      </w:r>
      <w:r>
        <w:rPr>
          <w:rFonts w:ascii="仿宋_GB2312" w:eastAsia="仿宋_GB2312" w:hAnsi="仿宋_GB2312" w:cs="仿宋_GB2312" w:hint="eastAsia"/>
          <w:sz w:val="32"/>
          <w:szCs w:val="32"/>
        </w:rPr>
        <w:t>万元。决算数与年初预算数存在差异的主要原因是</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年未休假补贴款项放入其</w:t>
      </w:r>
      <w:r>
        <w:rPr>
          <w:rFonts w:ascii="仿宋_GB2312" w:eastAsia="仿宋_GB2312" w:hAnsi="仿宋_GB2312" w:cs="仿宋_GB2312" w:hint="eastAsia"/>
          <w:sz w:val="32"/>
          <w:szCs w:val="32"/>
        </w:rPr>
        <w:t>他一般公共服务支出科目支出。</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．社会保障和就业支出（类）行政事业单位养老支出（款）事业单位离退休（项）。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13.05</w:t>
      </w:r>
      <w:r>
        <w:rPr>
          <w:rFonts w:ascii="仿宋_GB2312" w:eastAsia="仿宋_GB2312" w:hAnsi="仿宋_GB2312" w:cs="仿宋_GB2312" w:hint="eastAsia"/>
          <w:sz w:val="32"/>
          <w:szCs w:val="32"/>
        </w:rPr>
        <w:t>万元，支</w:t>
      </w:r>
      <w:r>
        <w:rPr>
          <w:rFonts w:ascii="仿宋_GB2312" w:eastAsia="仿宋_GB2312" w:hAnsi="仿宋_GB2312" w:cs="仿宋_GB2312" w:hint="eastAsia"/>
          <w:sz w:val="32"/>
          <w:szCs w:val="32"/>
        </w:rPr>
        <w:lastRenderedPageBreak/>
        <w:t>出决算为</w:t>
      </w:r>
      <w:r>
        <w:rPr>
          <w:rFonts w:ascii="仿宋_GB2312" w:eastAsia="仿宋_GB2312" w:hAnsi="仿宋_GB2312" w:cs="仿宋_GB2312" w:hint="eastAsia"/>
          <w:sz w:val="32"/>
          <w:szCs w:val="32"/>
        </w:rPr>
        <w:t>13.05</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。决算数与年初预算数不存在差异。</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．社会保障和就业支出（类）行政事业单位养老支出（款）机关事业单位基本养老保险缴费支出（项）。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39.34</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39.34</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。决算数与年初预算数不存在差异。</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．卫生健康支出（类）行政事业单位医疗（款）事业单位医疗（项）。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19.87</w:t>
      </w:r>
      <w:r>
        <w:rPr>
          <w:rFonts w:ascii="仿宋_GB2312" w:eastAsia="仿宋_GB2312" w:hAnsi="仿宋_GB2312" w:cs="仿宋_GB2312" w:hint="eastAsia"/>
          <w:sz w:val="32"/>
          <w:szCs w:val="32"/>
        </w:rPr>
        <w:t>万元，支出决</w:t>
      </w:r>
      <w:r>
        <w:rPr>
          <w:rFonts w:ascii="仿宋_GB2312" w:eastAsia="仿宋_GB2312" w:hAnsi="仿宋_GB2312" w:cs="仿宋_GB2312" w:hint="eastAsia"/>
          <w:sz w:val="32"/>
          <w:szCs w:val="32"/>
        </w:rPr>
        <w:t>算为</w:t>
      </w:r>
      <w:r>
        <w:rPr>
          <w:rFonts w:ascii="仿宋_GB2312" w:eastAsia="仿宋_GB2312" w:hAnsi="仿宋_GB2312" w:cs="仿宋_GB2312" w:hint="eastAsia"/>
          <w:sz w:val="32"/>
          <w:szCs w:val="32"/>
        </w:rPr>
        <w:t>19.87</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。决算数与年初预算数不存在差异。</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．卫生健康支出（类）行政事业单位医疗（款）公务员医疗补助（项）。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18.93</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18.58</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98.15%</w:t>
      </w:r>
      <w:r>
        <w:rPr>
          <w:rFonts w:ascii="仿宋_GB2312" w:eastAsia="仿宋_GB2312" w:hAnsi="仿宋_GB2312" w:cs="仿宋_GB2312" w:hint="eastAsia"/>
          <w:sz w:val="32"/>
          <w:szCs w:val="32"/>
        </w:rPr>
        <w:t>。决算数与年初预算数存在差异的主要原因是本年度有在职转退休人员。</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．住房保障支出（类）住房改革支出（款）住房公积金（项）。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37.86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37.86</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。决算数与年初预算数不存在差异。</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．住房保障支出（类）城乡社区住宅（款）住房公积金管理（项）</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848.49</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862.24</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101.62%</w:t>
      </w:r>
      <w:r>
        <w:rPr>
          <w:rFonts w:ascii="仿宋_GB2312" w:eastAsia="仿宋_GB2312" w:hAnsi="仿宋_GB2312" w:cs="仿宋_GB2312" w:hint="eastAsia"/>
          <w:sz w:val="32"/>
          <w:szCs w:val="32"/>
        </w:rPr>
        <w:t>。决算数与年初预算数存在差异的主要原因是人员经费按规定调整。</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六、一般公共预算财政拨款基本支出决算情况说明</w:t>
      </w:r>
    </w:p>
    <w:p w:rsidR="00000000" w:rsidRDefault="00361716">
      <w:pPr>
        <w:widowControl/>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lastRenderedPageBreak/>
        <w:t>2022</w:t>
      </w:r>
      <w:r>
        <w:rPr>
          <w:rFonts w:ascii="仿宋_GB2312" w:eastAsia="仿宋_GB2312" w:hAnsi="仿宋_GB2312" w:cs="仿宋_GB2312" w:hint="eastAsia"/>
          <w:sz w:val="32"/>
          <w:szCs w:val="32"/>
        </w:rPr>
        <w:t>年度一般公共预算财政拨款基本支出</w:t>
      </w:r>
      <w:r>
        <w:rPr>
          <w:rFonts w:ascii="仿宋_GB2312" w:eastAsia="仿宋_GB2312" w:hAnsi="仿宋_GB2312" w:cs="仿宋_GB2312" w:hint="eastAsia"/>
          <w:sz w:val="32"/>
          <w:szCs w:val="32"/>
        </w:rPr>
        <w:t>884.94</w:t>
      </w:r>
      <w:r>
        <w:rPr>
          <w:rFonts w:ascii="仿宋_GB2312" w:eastAsia="仿宋_GB2312" w:hAnsi="仿宋_GB2312" w:cs="仿宋_GB2312" w:hint="eastAsia"/>
          <w:sz w:val="32"/>
          <w:szCs w:val="32"/>
        </w:rPr>
        <w:t>万元。其中：人员经费</w:t>
      </w:r>
      <w:r>
        <w:rPr>
          <w:rFonts w:ascii="仿宋_GB2312" w:eastAsia="仿宋_GB2312" w:hAnsi="仿宋_GB2312" w:cs="仿宋_GB2312" w:hint="eastAsia"/>
          <w:sz w:val="32"/>
          <w:szCs w:val="32"/>
        </w:rPr>
        <w:t>845.88</w:t>
      </w:r>
      <w:r>
        <w:rPr>
          <w:rFonts w:ascii="仿宋_GB2312" w:eastAsia="仿宋_GB2312" w:hAnsi="仿宋_GB2312" w:cs="仿宋_GB2312" w:hint="eastAsia"/>
          <w:sz w:val="32"/>
          <w:szCs w:val="32"/>
        </w:rPr>
        <w:t>万元，主要包括：基本工资、津贴补贴、</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绩效工资、机关事业单位基本养老保险缴费、职工基本医疗保险缴费、公务员医疗补助缴费、其他社会保障缴费、住房公积金、其他工资福利支出、退休费、其他对个人和家庭的补助支出；公用经费</w:t>
      </w:r>
      <w:r>
        <w:rPr>
          <w:rFonts w:ascii="仿宋_GB2312" w:eastAsia="仿宋_GB2312" w:hAnsi="仿宋_GB2312" w:cs="仿宋_GB2312" w:hint="eastAsia"/>
          <w:sz w:val="32"/>
          <w:szCs w:val="32"/>
        </w:rPr>
        <w:t>39.06</w:t>
      </w:r>
      <w:r>
        <w:rPr>
          <w:rFonts w:ascii="仿宋_GB2312" w:eastAsia="仿宋_GB2312" w:hAnsi="仿宋_GB2312" w:cs="仿宋_GB2312" w:hint="eastAsia"/>
          <w:sz w:val="32"/>
          <w:szCs w:val="32"/>
        </w:rPr>
        <w:t>万元，主</w:t>
      </w:r>
      <w:r>
        <w:rPr>
          <w:rFonts w:ascii="仿宋_GB2312" w:eastAsia="仿宋_GB2312" w:hAnsi="仿宋_GB2312" w:cs="仿宋_GB2312" w:hint="eastAsia"/>
          <w:sz w:val="32"/>
          <w:szCs w:val="32"/>
        </w:rPr>
        <w:t>要包括：办公费、水费、电费、邮电费、物业管理费、差旅费、维修（护）费、委托业务费、工会经费、福利费、公务用车运行维护费、其他商品和服务支出、办公设备购置。</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七、政府性基金预算财政拨款支出决算情况说明</w:t>
      </w:r>
    </w:p>
    <w:p w:rsidR="00000000" w:rsidRDefault="00361716">
      <w:pPr>
        <w:widowControl/>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年度政府性基金预算财政拨款支出年初预算为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万元。我部门没有政府性基金预算财政拨款收入、支出、结转和结余。</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八、国有资本</w:t>
      </w:r>
      <w:r>
        <w:rPr>
          <w:rFonts w:ascii="黑体" w:eastAsia="黑体" w:hAnsi="黑体" w:cs="黑体"/>
          <w:sz w:val="32"/>
          <w:szCs w:val="32"/>
        </w:rPr>
        <w:t>经营</w:t>
      </w:r>
      <w:r>
        <w:rPr>
          <w:rFonts w:ascii="黑体" w:eastAsia="黑体" w:hAnsi="黑体" w:cs="黑体" w:hint="eastAsia"/>
          <w:sz w:val="32"/>
          <w:szCs w:val="32"/>
        </w:rPr>
        <w:t>预算财政拨款支出决算情况说明</w:t>
      </w:r>
    </w:p>
    <w:p w:rsidR="00000000" w:rsidRDefault="0036171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年度国有资本</w:t>
      </w:r>
      <w:r>
        <w:rPr>
          <w:rFonts w:ascii="仿宋_GB2312" w:eastAsia="仿宋_GB2312" w:hAnsi="仿宋_GB2312" w:cs="仿宋_GB2312"/>
          <w:sz w:val="32"/>
          <w:szCs w:val="32"/>
        </w:rPr>
        <w:t>经营</w:t>
      </w:r>
      <w:r>
        <w:rPr>
          <w:rFonts w:ascii="仿宋_GB2312" w:eastAsia="仿宋_GB2312" w:hAnsi="仿宋_GB2312" w:cs="仿宋_GB2312" w:hint="eastAsia"/>
          <w:sz w:val="32"/>
          <w:szCs w:val="32"/>
        </w:rPr>
        <w:t>预算财政拨款支出年初预算为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万元。我部门没有国有资本经营预算财政拨款收入、支出、结转和结余。</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九、财政拨款“三公”经费支出决算情况说明</w:t>
      </w:r>
    </w:p>
    <w:p w:rsidR="00000000" w:rsidRDefault="00361716">
      <w:pPr>
        <w:widowControl/>
        <w:spacing w:line="590" w:lineRule="exact"/>
        <w:ind w:firstLineChars="200" w:firstLine="643"/>
        <w:outlineLvl w:val="2"/>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（一）“三公”经费财政拨款支出决算总体情况说明。</w:t>
      </w:r>
    </w:p>
    <w:p w:rsidR="00000000" w:rsidRDefault="00361716">
      <w:pPr>
        <w:widowControl/>
        <w:spacing w:line="590" w:lineRule="exact"/>
        <w:ind w:firstLineChars="200" w:firstLine="640"/>
        <w:outlineLvl w:val="2"/>
        <w:rPr>
          <w:rFonts w:ascii="仿宋_GB2312" w:eastAsia="仿宋_GB2312" w:cs="仿宋_GB2312" w:hint="eastAsia"/>
          <w:sz w:val="32"/>
          <w:szCs w:val="32"/>
        </w:rPr>
      </w:pPr>
      <w:r>
        <w:rPr>
          <w:rFonts w:ascii="仿宋_GB2312" w:eastAsia="仿宋_GB2312" w:cs="仿宋_GB2312"/>
          <w:sz w:val="32"/>
          <w:szCs w:val="32"/>
        </w:rPr>
        <w:t>2022</w:t>
      </w:r>
      <w:r>
        <w:rPr>
          <w:rFonts w:ascii="仿宋_GB2312" w:eastAsia="仿宋_GB2312" w:cs="仿宋_GB2312" w:hint="eastAsia"/>
          <w:sz w:val="32"/>
          <w:szCs w:val="32"/>
        </w:rPr>
        <w:t>年度</w:t>
      </w:r>
      <w:r>
        <w:rPr>
          <w:rFonts w:eastAsia="仿宋_GB2312"/>
          <w:sz w:val="32"/>
          <w:szCs w:val="32"/>
        </w:rPr>
        <w:t>“</w:t>
      </w:r>
      <w:r>
        <w:rPr>
          <w:rFonts w:ascii="仿宋_GB2312" w:eastAsia="仿宋_GB2312" w:cs="仿宋_GB2312" w:hint="eastAsia"/>
          <w:sz w:val="32"/>
          <w:szCs w:val="32"/>
        </w:rPr>
        <w:t>三公</w:t>
      </w:r>
      <w:r>
        <w:rPr>
          <w:rFonts w:eastAsia="仿宋_GB2312"/>
          <w:sz w:val="32"/>
          <w:szCs w:val="32"/>
        </w:rPr>
        <w:t>”</w:t>
      </w:r>
      <w:r>
        <w:rPr>
          <w:rFonts w:ascii="仿宋_GB2312" w:eastAsia="仿宋_GB2312" w:cs="仿宋_GB2312" w:hint="eastAsia"/>
          <w:sz w:val="32"/>
          <w:szCs w:val="32"/>
        </w:rPr>
        <w:t>经费财政拨款支出预算为</w:t>
      </w:r>
      <w:r>
        <w:rPr>
          <w:rFonts w:ascii="仿宋_GB2312" w:eastAsia="仿宋_GB2312" w:cs="仿宋_GB2312"/>
          <w:sz w:val="32"/>
          <w:szCs w:val="32"/>
        </w:rPr>
        <w:t>3</w:t>
      </w:r>
      <w:r>
        <w:rPr>
          <w:rFonts w:ascii="仿宋_GB2312" w:eastAsia="仿宋_GB2312" w:cs="仿宋_GB2312" w:hint="eastAsia"/>
          <w:sz w:val="32"/>
          <w:szCs w:val="32"/>
        </w:rPr>
        <w:t>万元，支出决算为</w:t>
      </w:r>
      <w:r>
        <w:rPr>
          <w:rFonts w:ascii="仿宋_GB2312" w:eastAsia="仿宋_GB2312" w:cs="仿宋_GB2312"/>
          <w:sz w:val="32"/>
          <w:szCs w:val="32"/>
        </w:rPr>
        <w:t>2.87</w:t>
      </w:r>
      <w:r>
        <w:rPr>
          <w:rFonts w:ascii="仿宋_GB2312" w:eastAsia="仿宋_GB2312" w:cs="仿宋_GB2312" w:hint="eastAsia"/>
          <w:sz w:val="32"/>
          <w:szCs w:val="32"/>
        </w:rPr>
        <w:t>万元，完成预算的</w:t>
      </w:r>
      <w:r>
        <w:rPr>
          <w:rFonts w:ascii="仿宋_GB2312" w:eastAsia="仿宋_GB2312" w:cs="仿宋_GB2312"/>
          <w:sz w:val="32"/>
          <w:szCs w:val="32"/>
        </w:rPr>
        <w:t>95.6</w:t>
      </w: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202</w:t>
      </w:r>
      <w:r>
        <w:rPr>
          <w:rFonts w:ascii="仿宋_GB2312" w:eastAsia="仿宋_GB2312" w:cs="仿宋_GB2312" w:hint="eastAsia"/>
          <w:sz w:val="32"/>
          <w:szCs w:val="32"/>
        </w:rPr>
        <w:t>2</w:t>
      </w:r>
      <w:r>
        <w:rPr>
          <w:rFonts w:ascii="仿宋_GB2312" w:eastAsia="仿宋_GB2312" w:cs="仿宋_GB2312" w:hint="eastAsia"/>
          <w:sz w:val="32"/>
          <w:szCs w:val="32"/>
        </w:rPr>
        <w:t>年度</w:t>
      </w:r>
      <w:r>
        <w:rPr>
          <w:rFonts w:eastAsia="仿宋_GB2312"/>
          <w:sz w:val="32"/>
          <w:szCs w:val="32"/>
        </w:rPr>
        <w:t>“</w:t>
      </w:r>
      <w:r>
        <w:rPr>
          <w:rFonts w:ascii="仿宋_GB2312" w:eastAsia="仿宋_GB2312" w:cs="仿宋_GB2312" w:hint="eastAsia"/>
          <w:sz w:val="32"/>
          <w:szCs w:val="32"/>
        </w:rPr>
        <w:t>三公</w:t>
      </w:r>
      <w:r>
        <w:rPr>
          <w:rFonts w:eastAsia="仿宋_GB2312"/>
          <w:sz w:val="32"/>
          <w:szCs w:val="32"/>
        </w:rPr>
        <w:t>”</w:t>
      </w:r>
      <w:r>
        <w:rPr>
          <w:rFonts w:ascii="仿宋_GB2312" w:eastAsia="仿宋_GB2312" w:cs="仿宋_GB2312" w:hint="eastAsia"/>
          <w:sz w:val="32"/>
          <w:szCs w:val="32"/>
        </w:rPr>
        <w:t>经费支出决算数与预算数存在差异的主要原因是疫情期间，公车出行率下降。</w:t>
      </w:r>
    </w:p>
    <w:p w:rsidR="00000000" w:rsidRDefault="00361716">
      <w:pPr>
        <w:widowControl/>
        <w:spacing w:line="590" w:lineRule="exact"/>
        <w:ind w:firstLineChars="200" w:firstLine="643"/>
        <w:outlineLvl w:val="2"/>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lastRenderedPageBreak/>
        <w:t>（二）“三公”经费财政拨款支出决算具体情况说明。</w:t>
      </w:r>
    </w:p>
    <w:p w:rsidR="00000000" w:rsidRDefault="00361716">
      <w:pPr>
        <w:widowControl/>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年度“三公”经费财政拨款支出决算中，因公出国（境）费支出决算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万元；公务用车购置及运行费支出决算</w:t>
      </w:r>
      <w:r>
        <w:rPr>
          <w:rFonts w:ascii="仿宋_GB2312" w:eastAsia="仿宋_GB2312" w:hAnsi="仿宋_GB2312" w:cs="仿宋_GB2312" w:hint="eastAsia"/>
          <w:sz w:val="32"/>
          <w:szCs w:val="32"/>
        </w:rPr>
        <w:t>2.87</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95.67%</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；公务接待费支出决算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具体情况如下：</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．因公出国（境）费</w:t>
      </w:r>
      <w:r>
        <w:rPr>
          <w:rFonts w:ascii="仿宋_GB2312" w:eastAsia="仿宋_GB2312" w:hAnsi="仿宋_GB2312" w:cs="仿宋_GB2312" w:hint="eastAsia"/>
          <w:sz w:val="32"/>
          <w:szCs w:val="32"/>
        </w:rPr>
        <w:t>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万元。决算数与预算数不存在差异。全年因公出国（境）组团</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个，累计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．公务用车购置及运行费</w:t>
      </w:r>
      <w:r>
        <w:rPr>
          <w:rFonts w:ascii="仿宋_GB2312" w:eastAsia="仿宋_GB2312" w:hAnsi="仿宋_GB2312" w:cs="仿宋_GB2312" w:hint="eastAsia"/>
          <w:sz w:val="32"/>
          <w:szCs w:val="32"/>
        </w:rPr>
        <w:t>预算为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2.87</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95.67%</w:t>
      </w:r>
      <w:r>
        <w:rPr>
          <w:rFonts w:ascii="仿宋_GB2312" w:eastAsia="仿宋_GB2312" w:hAnsi="仿宋_GB2312" w:cs="仿宋_GB2312" w:hint="eastAsia"/>
          <w:sz w:val="32"/>
          <w:szCs w:val="32"/>
        </w:rPr>
        <w:t>。决算数与预算数存在差异的主要原因是</w:t>
      </w:r>
      <w:r>
        <w:rPr>
          <w:rFonts w:ascii="仿宋_GB2312" w:eastAsia="仿宋_GB2312" w:cs="仿宋_GB2312" w:hint="eastAsia"/>
          <w:sz w:val="32"/>
          <w:szCs w:val="32"/>
        </w:rPr>
        <w:t>疫情期间，公车出行率下降。</w:t>
      </w:r>
      <w:r>
        <w:rPr>
          <w:rFonts w:ascii="仿宋_GB2312" w:eastAsia="仿宋_GB2312" w:hAnsi="仿宋_GB2312" w:cs="仿宋_GB2312" w:hint="eastAsia"/>
          <w:sz w:val="32"/>
          <w:szCs w:val="32"/>
        </w:rPr>
        <w:t>其中：</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万元，购置车辆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公务用车运行维护支出</w:t>
      </w:r>
      <w:r>
        <w:rPr>
          <w:rFonts w:ascii="仿宋_GB2312" w:eastAsia="仿宋_GB2312" w:hAnsi="仿宋_GB2312" w:cs="仿宋_GB2312" w:hint="eastAsia"/>
          <w:sz w:val="32"/>
          <w:szCs w:val="32"/>
        </w:rPr>
        <w:t>2.87</w:t>
      </w:r>
      <w:r>
        <w:rPr>
          <w:rFonts w:ascii="仿宋_GB2312" w:eastAsia="仿宋_GB2312" w:hAnsi="仿宋_GB2312" w:cs="仿宋_GB2312" w:hint="eastAsia"/>
          <w:sz w:val="32"/>
          <w:szCs w:val="32"/>
        </w:rPr>
        <w:t>万元。主要用于公车日常运行、加油、保险及维护。</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年期末，部门开支财政拨款的公务用车保有量为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辆。</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公务接待费</w:t>
      </w:r>
      <w:r>
        <w:rPr>
          <w:rFonts w:ascii="仿宋_GB2312" w:eastAsia="仿宋_GB2312" w:hAnsi="仿宋_GB2312" w:cs="仿宋_GB2312" w:hint="eastAsia"/>
          <w:sz w:val="32"/>
          <w:szCs w:val="32"/>
        </w:rPr>
        <w:t>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万元。决</w:t>
      </w:r>
      <w:r>
        <w:rPr>
          <w:rFonts w:ascii="仿宋_GB2312" w:eastAsia="仿宋_GB2312" w:hAnsi="仿宋_GB2312" w:cs="仿宋_GB2312" w:hint="eastAsia"/>
          <w:sz w:val="32"/>
          <w:szCs w:val="32"/>
        </w:rPr>
        <w:t>算数与预算数不存在差异。其中：</w:t>
      </w:r>
    </w:p>
    <w:p w:rsidR="00000000" w:rsidRDefault="0036171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年共接待国（境）外来访团组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个、来访外宾</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人次（不包括陪同人员）。</w:t>
      </w:r>
    </w:p>
    <w:p w:rsidR="00000000" w:rsidRDefault="00361716">
      <w:pPr>
        <w:widowControl/>
        <w:spacing w:line="59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年共接待国内来访团组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个、来宾</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人次（不包括陪同人员）。</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十、机关运行经费支出情况说明</w:t>
      </w:r>
    </w:p>
    <w:p w:rsidR="00000000" w:rsidRDefault="00361716">
      <w:pPr>
        <w:widowControl/>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我部门不是行政机关，也不是参照公务员管理事业单位，没有机关运行经费支出。</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十一、政府采购支出情况说明</w:t>
      </w:r>
    </w:p>
    <w:p w:rsidR="00000000" w:rsidRDefault="00361716">
      <w:pPr>
        <w:widowControl/>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年度政府采购支出总额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万元、政府采购工程支出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万元、政府采购服务支出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万元。授予中小企业合同金额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，其中：授予小微企业合同金额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万元。</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十二、国有资产占用情况说明</w:t>
      </w:r>
    </w:p>
    <w:p w:rsidR="00000000" w:rsidRDefault="00361716">
      <w:pPr>
        <w:widowControl/>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年期末，我部门共有车辆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辆，其中：省级领导干部用车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辆、主要领导干部用车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辆、应急保障车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辆、离退休干部用车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辆；单位价值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万元（含）以上设备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000000" w:rsidRDefault="00361716">
      <w:pPr>
        <w:widowControl/>
        <w:spacing w:line="590" w:lineRule="exact"/>
        <w:ind w:firstLineChars="200" w:firstLine="640"/>
        <w:outlineLvl w:val="1"/>
        <w:rPr>
          <w:rFonts w:ascii="黑体" w:eastAsia="黑体" w:hAnsi="黑体" w:cs="黑体" w:hint="eastAsia"/>
          <w:sz w:val="32"/>
          <w:szCs w:val="32"/>
        </w:rPr>
      </w:pPr>
      <w:r>
        <w:rPr>
          <w:rFonts w:ascii="黑体" w:eastAsia="黑体" w:hAnsi="黑体" w:cs="黑体" w:hint="eastAsia"/>
          <w:sz w:val="32"/>
          <w:szCs w:val="32"/>
        </w:rPr>
        <w:t>十三、预算绩效情况说明</w:t>
      </w:r>
    </w:p>
    <w:p w:rsidR="00000000" w:rsidRDefault="00361716">
      <w:pPr>
        <w:widowControl/>
        <w:spacing w:line="590" w:lineRule="exact"/>
        <w:ind w:firstLineChars="200" w:firstLine="643"/>
        <w:outlineLvl w:val="2"/>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（一）绩效管理工作开展情况。</w:t>
      </w:r>
    </w:p>
    <w:p w:rsidR="00000000" w:rsidRDefault="00361716">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我部门按照《中共许昌市委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许昌市人民政府关于全面实施预算绩效管理的实施意见》（许发〔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号）文件要求，对本部门整体支出和项目支出开展全过</w:t>
      </w:r>
      <w:r>
        <w:rPr>
          <w:rFonts w:ascii="仿宋_GB2312" w:eastAsia="仿宋_GB2312" w:hAnsi="仿宋_GB2312" w:cs="仿宋_GB2312" w:hint="eastAsia"/>
          <w:sz w:val="32"/>
          <w:szCs w:val="32"/>
        </w:rPr>
        <w:t>程预算绩效管理。</w:t>
      </w:r>
    </w:p>
    <w:p w:rsidR="00000000" w:rsidRDefault="0036171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许昌住房公积金中心</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年度以为保障公积金业务系统平稳运行，业务数据保存安全可靠和保证各市（县、区）业务网点正常运转，环境整洁，舒适，群众满意度提高的总目标和总任务均已完成，各项重点工作均已完成，履职效益</w:t>
      </w:r>
      <w:r>
        <w:rPr>
          <w:rFonts w:ascii="仿宋_GB2312" w:eastAsia="仿宋_GB2312" w:hAnsi="仿宋_GB2312" w:cs="仿宋_GB2312" w:hint="eastAsia"/>
          <w:sz w:val="32"/>
          <w:szCs w:val="32"/>
        </w:rPr>
        <w:lastRenderedPageBreak/>
        <w:t>也已完成，满意度较高。</w:t>
      </w:r>
    </w:p>
    <w:p w:rsidR="00000000" w:rsidRDefault="0036171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许昌市住房公积金中心</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年度总体预算</w:t>
      </w:r>
      <w:r>
        <w:rPr>
          <w:rFonts w:ascii="仿宋_GB2312" w:eastAsia="仿宋_GB2312" w:hAnsi="仿宋_GB2312" w:cs="仿宋_GB2312" w:hint="eastAsia"/>
          <w:sz w:val="32"/>
          <w:szCs w:val="32"/>
        </w:rPr>
        <w:t>980.64</w:t>
      </w:r>
      <w:r>
        <w:rPr>
          <w:rFonts w:ascii="仿宋_GB2312" w:eastAsia="仿宋_GB2312" w:hAnsi="仿宋_GB2312" w:cs="仿宋_GB2312" w:hint="eastAsia"/>
          <w:sz w:val="32"/>
          <w:szCs w:val="32"/>
        </w:rPr>
        <w:t>万，其中基本支出预算</w:t>
      </w:r>
      <w:r>
        <w:rPr>
          <w:rFonts w:ascii="仿宋_GB2312" w:eastAsia="仿宋_GB2312" w:hAnsi="仿宋_GB2312" w:cs="仿宋_GB2312" w:hint="eastAsia"/>
          <w:sz w:val="32"/>
          <w:szCs w:val="32"/>
        </w:rPr>
        <w:t>863.44</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项目支出预算</w:t>
      </w:r>
      <w:r>
        <w:rPr>
          <w:rFonts w:ascii="仿宋_GB2312" w:eastAsia="仿宋_GB2312" w:hAnsi="仿宋_GB2312" w:cs="仿宋_GB2312" w:hint="eastAsia"/>
          <w:sz w:val="32"/>
          <w:szCs w:val="32"/>
        </w:rPr>
        <w:t>117.2</w:t>
      </w:r>
      <w:r>
        <w:rPr>
          <w:rFonts w:ascii="仿宋_GB2312" w:eastAsia="仿宋_GB2312" w:hAnsi="仿宋_GB2312" w:cs="仿宋_GB2312" w:hint="eastAsia"/>
          <w:sz w:val="32"/>
          <w:szCs w:val="32"/>
        </w:rPr>
        <w:t>万。</w:t>
      </w:r>
    </w:p>
    <w:p w:rsidR="00000000" w:rsidRDefault="0036171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实际预算执行支出为</w:t>
      </w:r>
      <w:r>
        <w:rPr>
          <w:rFonts w:ascii="仿宋_GB2312" w:eastAsia="仿宋_GB2312" w:hAnsi="仿宋_GB2312" w:cs="仿宋_GB2312" w:hint="eastAsia"/>
          <w:sz w:val="32"/>
          <w:szCs w:val="32"/>
        </w:rPr>
        <w:t>1002.14</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其中基本支出</w:t>
      </w:r>
      <w:r>
        <w:rPr>
          <w:rFonts w:ascii="仿宋_GB2312" w:eastAsia="仿宋_GB2312" w:hAnsi="仿宋_GB2312" w:cs="仿宋_GB2312" w:hint="eastAsia"/>
          <w:sz w:val="32"/>
          <w:szCs w:val="32"/>
        </w:rPr>
        <w:t>884.94</w:t>
      </w:r>
      <w:r>
        <w:rPr>
          <w:rFonts w:ascii="仿宋_GB2312" w:eastAsia="仿宋_GB2312" w:hAnsi="仿宋_GB2312" w:cs="仿宋_GB2312" w:hint="eastAsia"/>
          <w:sz w:val="32"/>
          <w:szCs w:val="32"/>
        </w:rPr>
        <w:t>万，项目支出</w:t>
      </w:r>
      <w:r>
        <w:rPr>
          <w:rFonts w:ascii="仿宋_GB2312" w:eastAsia="仿宋_GB2312" w:hAnsi="仿宋_GB2312" w:cs="仿宋_GB2312" w:hint="eastAsia"/>
          <w:sz w:val="32"/>
          <w:szCs w:val="32"/>
        </w:rPr>
        <w:t>117.2</w:t>
      </w:r>
      <w:r>
        <w:rPr>
          <w:rFonts w:ascii="仿宋_GB2312" w:eastAsia="仿宋_GB2312" w:hAnsi="仿宋_GB2312" w:cs="仿宋_GB2312" w:hint="eastAsia"/>
          <w:sz w:val="32"/>
          <w:szCs w:val="32"/>
        </w:rPr>
        <w:t>万。</w:t>
      </w:r>
    </w:p>
    <w:p w:rsidR="00000000" w:rsidRDefault="0036171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本年度中心共有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个项目，分别为市县区网点运行</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万、业务系统</w:t>
      </w:r>
      <w:r>
        <w:rPr>
          <w:rFonts w:ascii="仿宋_GB2312" w:eastAsia="仿宋_GB2312" w:hAnsi="仿宋_GB2312" w:cs="仿宋_GB2312" w:hint="eastAsia"/>
          <w:sz w:val="32"/>
          <w:szCs w:val="32"/>
        </w:rPr>
        <w:t>运行维护费</w:t>
      </w:r>
      <w:r>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万及专项审计费</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万。截止</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年底，</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各项目均已完成既定绩效目标。</w:t>
      </w:r>
    </w:p>
    <w:p w:rsidR="00000000" w:rsidRDefault="00361716">
      <w:pPr>
        <w:widowControl/>
        <w:spacing w:line="590" w:lineRule="exact"/>
        <w:ind w:firstLineChars="200" w:firstLine="643"/>
        <w:outlineLvl w:val="2"/>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部门整体和</w:t>
      </w:r>
      <w:r>
        <w:rPr>
          <w:rFonts w:ascii="楷体_GB2312" w:eastAsia="楷体_GB2312" w:hAnsi="楷体_GB2312" w:cs="楷体_GB2312" w:hint="eastAsia"/>
          <w:b/>
          <w:bCs/>
          <w:sz w:val="32"/>
          <w:szCs w:val="32"/>
        </w:rPr>
        <w:t>项目绩效自评结果。</w:t>
      </w:r>
    </w:p>
    <w:p w:rsidR="00000000" w:rsidRDefault="00361716">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我部门对本部门整体绩效目标和项目支出绩效目标进行了自评。一是部门整体绩效自评情况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年度预算资金按月度依次全部到账，中心按规定要求进行基本支出及项目支出，全年执行率为</w:t>
      </w:r>
      <w:r>
        <w:rPr>
          <w:rFonts w:ascii="仿宋_GB2312" w:eastAsia="仿宋_GB2312" w:hAnsi="仿宋_GB2312" w:cs="仿宋_GB2312" w:hint="eastAsia"/>
          <w:sz w:val="32"/>
          <w:szCs w:val="32"/>
        </w:rPr>
        <w:t>98.88%</w:t>
      </w:r>
      <w:r>
        <w:rPr>
          <w:rFonts w:ascii="仿宋_GB2312" w:eastAsia="仿宋_GB2312" w:hAnsi="仿宋_GB2312" w:cs="仿宋_GB2312" w:hint="eastAsia"/>
          <w:sz w:val="32"/>
          <w:szCs w:val="32"/>
        </w:rPr>
        <w:t>。总得分</w:t>
      </w:r>
      <w:r>
        <w:rPr>
          <w:rFonts w:ascii="仿宋_GB2312" w:eastAsia="仿宋_GB2312" w:hAnsi="仿宋_GB2312" w:cs="仿宋_GB2312" w:hint="eastAsia"/>
          <w:sz w:val="32"/>
          <w:szCs w:val="32"/>
        </w:rPr>
        <w:t>99.98</w:t>
      </w:r>
      <w:r>
        <w:rPr>
          <w:rFonts w:ascii="仿宋_GB2312" w:eastAsia="仿宋_GB2312" w:hAnsi="仿宋_GB2312" w:cs="仿宋_GB2312" w:hint="eastAsia"/>
          <w:sz w:val="32"/>
          <w:szCs w:val="32"/>
        </w:rPr>
        <w:t>分。二是项目绩效自评情况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我部门共有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个项目批复了绩效目标，项目金额</w:t>
      </w:r>
      <w:r>
        <w:rPr>
          <w:rFonts w:ascii="仿宋_GB2312" w:eastAsia="仿宋_GB2312" w:hAnsi="仿宋_GB2312" w:cs="仿宋_GB2312" w:hint="eastAsia"/>
          <w:sz w:val="32"/>
          <w:szCs w:val="32"/>
        </w:rPr>
        <w:t>117.2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w:t>
      </w:r>
    </w:p>
    <w:p w:rsidR="00000000" w:rsidRDefault="00361716">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许昌市住房公积金中心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个，项目金额</w:t>
      </w:r>
      <w:r>
        <w:rPr>
          <w:rFonts w:ascii="仿宋_GB2312" w:eastAsia="仿宋_GB2312" w:hAnsi="仿宋_GB2312" w:cs="仿宋_GB2312" w:hint="eastAsia"/>
          <w:sz w:val="32"/>
          <w:szCs w:val="32"/>
        </w:rPr>
        <w:t>117.2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万元，分别为市县区网点运行</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万、业务系统运行</w:t>
      </w:r>
      <w:r>
        <w:rPr>
          <w:rFonts w:ascii="仿宋_GB2312" w:eastAsia="仿宋_GB2312" w:hAnsi="仿宋_GB2312" w:cs="仿宋_GB2312" w:hint="eastAsia"/>
          <w:sz w:val="32"/>
          <w:szCs w:val="32"/>
        </w:rPr>
        <w:t>维护费</w:t>
      </w:r>
      <w:r>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万及专项审计费</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万。截止</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年底，</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各项目均已完成既定绩效目标。</w:t>
      </w:r>
    </w:p>
    <w:p w:rsidR="00000000" w:rsidRDefault="00361716">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基于项目预期目标的实现程度，对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年度项目支出绩效进行自评，绩效自评平均得分为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分。其中：</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个项目评价等级为“优”、</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个项目评价等级为“良”、</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w:t>
      </w:r>
      <w:r>
        <w:rPr>
          <w:rFonts w:ascii="仿宋_GB2312" w:eastAsia="仿宋_GB2312" w:hAnsi="仿宋_GB2312" w:cs="仿宋_GB2312" w:hint="eastAsia"/>
          <w:sz w:val="32"/>
          <w:szCs w:val="32"/>
        </w:rPr>
        <w:lastRenderedPageBreak/>
        <w:t>目评价等级为“中”、</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个项目评价等级为“差”。</w:t>
      </w:r>
    </w:p>
    <w:p w:rsidR="00000000" w:rsidRDefault="003617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绩效评价，中心进一步掌握了项目经费使用情况和取得的效果，总结了项目资金管理经验，为下一年提高项目资金的使用效益，加强财政支出的规范管理、健全、完善支出项目和资金使用管理办法、完善预算编制和加强绩效目标管理等工作提供重要的</w:t>
      </w:r>
      <w:r>
        <w:rPr>
          <w:rFonts w:ascii="仿宋_GB2312" w:eastAsia="仿宋_GB2312" w:hAnsi="仿宋_GB2312" w:cs="仿宋_GB2312" w:hint="eastAsia"/>
          <w:sz w:val="32"/>
          <w:szCs w:val="32"/>
        </w:rPr>
        <w:t>参考依据。</w:t>
      </w:r>
    </w:p>
    <w:p w:rsidR="00000000" w:rsidRDefault="00361716">
      <w:pPr>
        <w:widowControl/>
        <w:jc w:val="left"/>
        <w:rPr>
          <w:rFonts w:ascii="楷体_GB2312" w:eastAsia="楷体_GB2312" w:hAnsi="楷体_GB2312" w:cs="楷体_GB2312" w:hint="eastAsia"/>
          <w:sz w:val="32"/>
          <w:szCs w:val="32"/>
        </w:rPr>
      </w:pPr>
    </w:p>
    <w:p w:rsidR="00000000" w:rsidRDefault="00361716">
      <w:pPr>
        <w:widowControl/>
        <w:jc w:val="left"/>
        <w:rPr>
          <w:rFonts w:ascii="楷体_GB2312" w:eastAsia="楷体_GB2312" w:hAnsi="楷体_GB2312" w:cs="楷体_GB2312" w:hint="eastAsia"/>
          <w:sz w:val="32"/>
          <w:szCs w:val="32"/>
        </w:rPr>
        <w:sectPr w:rsidR="00000000">
          <w:pgSz w:w="11906" w:h="16838"/>
          <w:pgMar w:top="1440" w:right="1800" w:bottom="1440" w:left="1800" w:header="720" w:footer="720" w:gutter="0"/>
          <w:pgNumType w:fmt="numberInDash"/>
          <w:cols w:space="720"/>
          <w:docGrid w:type="lines" w:linePitch="312"/>
        </w:sectPr>
      </w:pPr>
    </w:p>
    <w:tbl>
      <w:tblPr>
        <w:tblW w:w="15400" w:type="dxa"/>
        <w:tblInd w:w="93" w:type="dxa"/>
        <w:tblLook w:val="0000"/>
      </w:tblPr>
      <w:tblGrid>
        <w:gridCol w:w="696"/>
        <w:gridCol w:w="2123"/>
        <w:gridCol w:w="2125"/>
        <w:gridCol w:w="1042"/>
        <w:gridCol w:w="1043"/>
        <w:gridCol w:w="1043"/>
        <w:gridCol w:w="1043"/>
        <w:gridCol w:w="1043"/>
        <w:gridCol w:w="1043"/>
        <w:gridCol w:w="1043"/>
        <w:gridCol w:w="1044"/>
        <w:gridCol w:w="1045"/>
        <w:gridCol w:w="1067"/>
      </w:tblGrid>
      <w:tr w:rsidR="00000000">
        <w:trPr>
          <w:trHeight w:val="637"/>
        </w:trPr>
        <w:tc>
          <w:tcPr>
            <w:tcW w:w="15400" w:type="dxa"/>
            <w:gridSpan w:val="13"/>
            <w:tcBorders>
              <w:top w:val="nil"/>
              <w:left w:val="nil"/>
              <w:bottom w:val="nil"/>
              <w:right w:val="nil"/>
            </w:tcBorders>
            <w:vAlign w:val="center"/>
          </w:tcPr>
          <w:p w:rsidR="00000000" w:rsidRDefault="00361716">
            <w:pPr>
              <w:widowControl/>
              <w:jc w:val="center"/>
              <w:textAlignment w:val="center"/>
              <w:rPr>
                <w:rFonts w:ascii="宋体" w:hAnsi="宋体" w:cs="宋体" w:hint="eastAsia"/>
                <w:b/>
                <w:bCs/>
                <w:sz w:val="38"/>
                <w:szCs w:val="38"/>
              </w:rPr>
            </w:pPr>
            <w:r>
              <w:rPr>
                <w:rFonts w:ascii="宋体" w:hAnsi="宋体" w:cs="宋体" w:hint="eastAsia"/>
                <w:b/>
                <w:bCs/>
                <w:kern w:val="0"/>
                <w:sz w:val="38"/>
                <w:szCs w:val="38"/>
                <w:lang/>
              </w:rPr>
              <w:lastRenderedPageBreak/>
              <w:t>项目自评汇总表</w:t>
            </w:r>
          </w:p>
        </w:tc>
      </w:tr>
      <w:tr w:rsidR="00000000">
        <w:trPr>
          <w:trHeight w:val="318"/>
        </w:trPr>
        <w:tc>
          <w:tcPr>
            <w:tcW w:w="15400" w:type="dxa"/>
            <w:gridSpan w:val="13"/>
            <w:tcBorders>
              <w:top w:val="nil"/>
              <w:left w:val="nil"/>
              <w:bottom w:val="nil"/>
              <w:right w:val="nil"/>
            </w:tcBorders>
            <w:vAlign w:val="center"/>
          </w:tcPr>
          <w:p w:rsidR="00000000" w:rsidRDefault="00361716">
            <w:pPr>
              <w:widowControl/>
              <w:jc w:val="right"/>
              <w:textAlignment w:val="center"/>
              <w:rPr>
                <w:rFonts w:ascii="宋体" w:hAnsi="宋体" w:cs="宋体" w:hint="eastAsia"/>
                <w:sz w:val="22"/>
              </w:rPr>
            </w:pPr>
            <w:r>
              <w:rPr>
                <w:rFonts w:ascii="宋体" w:hAnsi="宋体" w:cs="宋体" w:hint="eastAsia"/>
                <w:kern w:val="0"/>
                <w:sz w:val="22"/>
                <w:lang/>
              </w:rPr>
              <w:t>单位：万元</w:t>
            </w:r>
          </w:p>
        </w:tc>
      </w:tr>
      <w:tr w:rsidR="00000000">
        <w:trPr>
          <w:trHeight w:val="986"/>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黑体" w:eastAsia="黑体" w:hAnsi="宋体" w:cs="黑体"/>
                <w:sz w:val="24"/>
                <w:szCs w:val="24"/>
              </w:rPr>
            </w:pPr>
            <w:r>
              <w:rPr>
                <w:rFonts w:ascii="黑体" w:eastAsia="黑体" w:hAnsi="宋体" w:cs="黑体" w:hint="eastAsia"/>
                <w:kern w:val="0"/>
                <w:sz w:val="24"/>
                <w:szCs w:val="24"/>
                <w:lang/>
              </w:rPr>
              <w:t>序号</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单位名称</w:t>
            </w: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项目名称</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全年预算数</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全年执行数</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预算执行率</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left"/>
              <w:textAlignment w:val="center"/>
              <w:rPr>
                <w:rFonts w:ascii="黑体" w:eastAsia="黑体" w:hAnsi="宋体" w:cs="黑体" w:hint="eastAsia"/>
                <w:sz w:val="20"/>
                <w:szCs w:val="20"/>
              </w:rPr>
            </w:pPr>
            <w:r>
              <w:rPr>
                <w:rFonts w:ascii="黑体" w:eastAsia="黑体" w:hAnsi="宋体" w:cs="黑体" w:hint="eastAsia"/>
                <w:kern w:val="0"/>
                <w:sz w:val="20"/>
                <w:szCs w:val="20"/>
                <w:lang/>
              </w:rPr>
              <w:t>资金管理情况得分率</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成本指标得分率</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产出指标得分率</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效益指标得分率</w:t>
            </w: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满意度指标得分率</w:t>
            </w: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自评得分</w:t>
            </w: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widowControl/>
              <w:jc w:val="center"/>
              <w:textAlignment w:val="center"/>
              <w:rPr>
                <w:rFonts w:ascii="黑体" w:eastAsia="黑体" w:hAnsi="宋体" w:cs="黑体" w:hint="eastAsia"/>
                <w:sz w:val="20"/>
                <w:szCs w:val="20"/>
              </w:rPr>
            </w:pPr>
            <w:r>
              <w:rPr>
                <w:rFonts w:ascii="黑体" w:eastAsia="黑体" w:hAnsi="宋体" w:cs="黑体" w:hint="eastAsia"/>
                <w:kern w:val="0"/>
                <w:sz w:val="20"/>
                <w:szCs w:val="20"/>
                <w:lang/>
              </w:rPr>
              <w:t>是否有偏差项目</w:t>
            </w:r>
          </w:p>
        </w:tc>
      </w:tr>
      <w:tr w:rsidR="00000000">
        <w:trPr>
          <w:trHeight w:val="353"/>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r>
              <w:rPr>
                <w:rFonts w:ascii="宋体" w:hAnsi="宋体" w:cs="宋体" w:hint="eastAsia"/>
                <w:sz w:val="18"/>
                <w:szCs w:val="18"/>
              </w:rPr>
              <w:t>许昌市住房公积金中心</w:t>
            </w: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r>
              <w:rPr>
                <w:rFonts w:ascii="宋体" w:hAnsi="宋体" w:cs="宋体" w:hint="eastAsia"/>
                <w:sz w:val="18"/>
                <w:szCs w:val="18"/>
              </w:rPr>
              <w:t>专项审计费（定额外基本运转支出）</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3.2</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3.2</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否</w:t>
            </w:r>
          </w:p>
        </w:tc>
      </w:tr>
      <w:tr w:rsidR="00000000">
        <w:trPr>
          <w:trHeight w:val="353"/>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r>
              <w:rPr>
                <w:rFonts w:ascii="宋体" w:hAnsi="宋体" w:cs="宋体" w:hint="eastAsia"/>
                <w:sz w:val="18"/>
                <w:szCs w:val="18"/>
              </w:rPr>
              <w:t>许昌市住房公积金中心</w:t>
            </w: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r>
              <w:rPr>
                <w:rFonts w:ascii="宋体" w:hAnsi="宋体" w:cs="宋体" w:hint="eastAsia"/>
                <w:sz w:val="18"/>
                <w:szCs w:val="18"/>
              </w:rPr>
              <w:t>业务体系运行维护费（定额外基本运转支出）</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66</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66</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否</w:t>
            </w:r>
          </w:p>
        </w:tc>
      </w:tr>
      <w:tr w:rsidR="00000000">
        <w:trPr>
          <w:trHeight w:val="353"/>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r>
              <w:rPr>
                <w:rFonts w:ascii="宋体" w:hAnsi="宋体" w:cs="宋体" w:hint="eastAsia"/>
                <w:sz w:val="18"/>
                <w:szCs w:val="18"/>
              </w:rPr>
              <w:t>许昌市住房公积金中心</w:t>
            </w: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r>
              <w:rPr>
                <w:rFonts w:ascii="宋体" w:hAnsi="宋体" w:cs="宋体" w:hint="eastAsia"/>
                <w:sz w:val="18"/>
                <w:szCs w:val="18"/>
              </w:rPr>
              <w:t>市县区业务网点运行维护费（定额外基本运转支出）</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48</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48</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100</w:t>
            </w: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r>
              <w:rPr>
                <w:rFonts w:ascii="宋体" w:hAnsi="宋体" w:cs="宋体" w:hint="eastAsia"/>
                <w:sz w:val="18"/>
                <w:szCs w:val="18"/>
              </w:rPr>
              <w:t>否</w:t>
            </w:r>
          </w:p>
        </w:tc>
      </w:tr>
      <w:tr w:rsidR="00000000">
        <w:trPr>
          <w:trHeight w:val="353"/>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r>
      <w:tr w:rsidR="00000000">
        <w:trPr>
          <w:trHeight w:val="353"/>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r>
      <w:tr w:rsidR="00000000">
        <w:trPr>
          <w:trHeight w:val="353"/>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r>
      <w:tr w:rsidR="00000000">
        <w:trPr>
          <w:trHeight w:val="353"/>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7</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r>
      <w:tr w:rsidR="00000000">
        <w:trPr>
          <w:trHeight w:val="353"/>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r>
      <w:tr w:rsidR="00000000">
        <w:trPr>
          <w:trHeight w:val="353"/>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r>
      <w:tr w:rsidR="00000000">
        <w:trPr>
          <w:trHeight w:val="392"/>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sz w:val="22"/>
              </w:rPr>
            </w:pPr>
            <w:r>
              <w:rPr>
                <w:rFonts w:ascii="宋体" w:hAnsi="宋体" w:cs="宋体" w:hint="eastAsia"/>
                <w:kern w:val="0"/>
                <w:sz w:val="22"/>
                <w:lang/>
              </w:rPr>
              <w:t>……</w:t>
            </w: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rPr>
                <w:rFonts w:ascii="宋体" w:hAnsi="宋体" w:cs="宋体" w:hint="eastAsia"/>
                <w:sz w:val="22"/>
              </w:rPr>
            </w:pPr>
          </w:p>
        </w:tc>
      </w:tr>
      <w:tr w:rsidR="00000000">
        <w:trPr>
          <w:trHeight w:val="392"/>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kern w:val="0"/>
                <w:sz w:val="22"/>
                <w:lang/>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rPr>
                <w:rFonts w:ascii="宋体" w:hAnsi="宋体" w:cs="宋体" w:hint="eastAsia"/>
                <w:sz w:val="22"/>
              </w:rPr>
            </w:pPr>
          </w:p>
        </w:tc>
      </w:tr>
      <w:tr w:rsidR="00000000">
        <w:trPr>
          <w:trHeight w:val="392"/>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kern w:val="0"/>
                <w:sz w:val="22"/>
                <w:lang/>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rPr>
                <w:rFonts w:ascii="宋体" w:hAnsi="宋体" w:cs="宋体" w:hint="eastAsia"/>
                <w:sz w:val="22"/>
              </w:rPr>
            </w:pPr>
          </w:p>
        </w:tc>
      </w:tr>
      <w:tr w:rsidR="00000000">
        <w:trPr>
          <w:trHeight w:val="392"/>
        </w:trPr>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widowControl/>
              <w:jc w:val="center"/>
              <w:textAlignment w:val="center"/>
              <w:rPr>
                <w:rFonts w:ascii="宋体" w:hAnsi="宋体" w:cs="宋体" w:hint="eastAsia"/>
                <w:kern w:val="0"/>
                <w:sz w:val="22"/>
                <w:lang/>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00000" w:rsidRDefault="00361716">
            <w:pPr>
              <w:rPr>
                <w:rFonts w:ascii="宋体" w:hAnsi="宋体" w:cs="宋体" w:hint="eastAsia"/>
                <w:sz w:val="18"/>
                <w:szCs w:val="1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0000" w:rsidRDefault="00361716">
            <w:pPr>
              <w:jc w:val="center"/>
              <w:rPr>
                <w:rFonts w:ascii="宋体" w:hAnsi="宋体" w:cs="宋体" w:hint="eastAsia"/>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000000" w:rsidRDefault="00361716">
            <w:pPr>
              <w:rPr>
                <w:rFonts w:ascii="宋体" w:hAnsi="宋体" w:cs="宋体" w:hint="eastAsia"/>
                <w:sz w:val="22"/>
              </w:rPr>
            </w:pPr>
          </w:p>
        </w:tc>
      </w:tr>
    </w:tbl>
    <w:p w:rsidR="00000000" w:rsidRDefault="00361716">
      <w:pPr>
        <w:widowControl/>
        <w:jc w:val="left"/>
        <w:rPr>
          <w:rFonts w:ascii="楷体_GB2312" w:eastAsia="楷体_GB2312" w:hAnsi="楷体_GB2312" w:cs="楷体_GB2312" w:hint="eastAsia"/>
          <w:sz w:val="32"/>
          <w:szCs w:val="32"/>
        </w:rPr>
        <w:sectPr w:rsidR="00000000">
          <w:pgSz w:w="16838" w:h="11906" w:orient="landscape"/>
          <w:pgMar w:top="720" w:right="720" w:bottom="720" w:left="720" w:header="720" w:footer="720" w:gutter="0"/>
          <w:pgNumType w:fmt="numberInDash"/>
          <w:cols w:space="720"/>
          <w:docGrid w:type="lines" w:linePitch="312"/>
        </w:sectPr>
      </w:pPr>
    </w:p>
    <w:p w:rsidR="00000000" w:rsidRDefault="00361716">
      <w:pPr>
        <w:widowControl/>
        <w:jc w:val="left"/>
        <w:rPr>
          <w:rFonts w:ascii="黑体" w:eastAsia="黑体" w:hAnsi="宋体" w:cs="宋体" w:hint="eastAsia"/>
          <w:kern w:val="0"/>
          <w:sz w:val="28"/>
          <w:szCs w:val="2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pPr>
      <w:r>
        <w:rPr>
          <w:rFonts w:ascii="黑体" w:eastAsia="黑体" w:hAnsi="黑体" w:cs="黑体" w:hint="eastAsia"/>
          <w:sz w:val="48"/>
          <w:szCs w:val="48"/>
        </w:rPr>
        <w:t>第四部分</w:t>
      </w:r>
      <w:r>
        <w:rPr>
          <w:rFonts w:ascii="黑体" w:eastAsia="黑体" w:hAnsi="黑体" w:cs="黑体" w:hint="eastAsia"/>
          <w:sz w:val="48"/>
          <w:szCs w:val="48"/>
        </w:rPr>
        <w:t xml:space="preserve">  </w:t>
      </w:r>
      <w:r>
        <w:rPr>
          <w:rFonts w:ascii="黑体" w:eastAsia="黑体" w:hAnsi="黑体" w:cs="黑体" w:hint="eastAsia"/>
          <w:sz w:val="48"/>
          <w:szCs w:val="48"/>
        </w:rPr>
        <w:t>名词解释</w:t>
      </w:r>
    </w:p>
    <w:p w:rsidR="00000000" w:rsidRDefault="00361716">
      <w:pPr>
        <w:jc w:val="center"/>
        <w:rPr>
          <w:rFonts w:ascii="黑体" w:eastAsia="黑体" w:hAnsi="黑体" w:cs="黑体" w:hint="eastAsia"/>
          <w:sz w:val="48"/>
          <w:szCs w:val="48"/>
        </w:rPr>
      </w:pPr>
    </w:p>
    <w:p w:rsidR="00000000" w:rsidRDefault="00361716">
      <w:pPr>
        <w:jc w:val="center"/>
        <w:rPr>
          <w:rFonts w:ascii="黑体" w:eastAsia="黑体" w:hAnsi="黑体" w:cs="黑体" w:hint="eastAsia"/>
          <w:sz w:val="48"/>
          <w:szCs w:val="48"/>
        </w:rPr>
      </w:pPr>
    </w:p>
    <w:p w:rsidR="00000000" w:rsidRDefault="00361716">
      <w:pPr>
        <w:jc w:val="center"/>
        <w:rPr>
          <w:rFonts w:ascii="黑体" w:eastAsia="黑体" w:hAnsi="黑体" w:cs="黑体" w:hint="eastAsia"/>
          <w:sz w:val="48"/>
          <w:szCs w:val="48"/>
        </w:rPr>
      </w:pPr>
    </w:p>
    <w:p w:rsidR="00000000" w:rsidRDefault="00361716">
      <w:pPr>
        <w:jc w:val="center"/>
        <w:rPr>
          <w:rFonts w:ascii="黑体" w:eastAsia="黑体" w:hAnsi="黑体" w:cs="黑体" w:hint="eastAsia"/>
          <w:sz w:val="48"/>
          <w:szCs w:val="48"/>
        </w:rPr>
      </w:pPr>
    </w:p>
    <w:p w:rsidR="00000000" w:rsidRDefault="00361716">
      <w:pPr>
        <w:jc w:val="center"/>
        <w:rPr>
          <w:rFonts w:ascii="黑体" w:eastAsia="黑体" w:hAnsi="黑体" w:cs="黑体" w:hint="eastAsia"/>
          <w:sz w:val="48"/>
          <w:szCs w:val="48"/>
        </w:rPr>
      </w:pPr>
    </w:p>
    <w:p w:rsidR="00000000" w:rsidRDefault="00361716">
      <w:pPr>
        <w:jc w:val="center"/>
        <w:rPr>
          <w:rFonts w:ascii="黑体" w:eastAsia="黑体" w:hAnsi="黑体" w:cs="黑体" w:hint="eastAsia"/>
          <w:sz w:val="48"/>
          <w:szCs w:val="48"/>
        </w:rPr>
      </w:pPr>
    </w:p>
    <w:p w:rsidR="00000000" w:rsidRDefault="00361716">
      <w:pPr>
        <w:jc w:val="center"/>
        <w:outlineLvl w:val="0"/>
        <w:rPr>
          <w:rFonts w:ascii="黑体" w:eastAsia="黑体" w:hAnsi="黑体" w:cs="黑体" w:hint="eastAsia"/>
          <w:sz w:val="48"/>
          <w:szCs w:val="48"/>
        </w:rPr>
        <w:sectPr w:rsidR="00000000">
          <w:pgSz w:w="11906" w:h="16838"/>
          <w:pgMar w:top="1440" w:right="1531" w:bottom="1440" w:left="1587" w:header="850" w:footer="992" w:gutter="0"/>
          <w:pgNumType w:fmt="numberInDash"/>
          <w:cols w:space="720"/>
          <w:docGrid w:type="lines" w:linePitch="317"/>
        </w:sectPr>
      </w:pP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000000" w:rsidRDefault="0036171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w:t>
      </w:r>
      <w:r>
        <w:rPr>
          <w:rFonts w:ascii="仿宋_GB2312" w:eastAsia="仿宋_GB2312" w:hAnsi="仿宋_GB2312" w:cs="仿宋_GB2312" w:hint="eastAsia"/>
          <w:sz w:val="32"/>
          <w:szCs w:val="32"/>
        </w:rPr>
        <w:t>财政拨款结余：指事业单位使用以前年度积累的非财政拨款结余弥补当年收支差额的金额。</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sz w:val="32"/>
          <w:szCs w:val="32"/>
        </w:rPr>
        <w:t>年初结转和结余：指</w:t>
      </w:r>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以前年度尚未完成、结转到本年仍按原规定用途继续使用的资金，或项目已完成等产生的结余资金。</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九、基本支出：为保障机构正常运转、完成日常工作任务而发生的人员支出和公用支出。</w:t>
      </w:r>
    </w:p>
    <w:p w:rsidR="00000000" w:rsidRDefault="0036171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十、项目支出：基本支出之外为完成特定行政任务和事业发展目标所发生的支出。</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十一</w:t>
      </w:r>
      <w:r>
        <w:rPr>
          <w:rFonts w:ascii="仿宋_GB2312" w:eastAsia="仿宋_GB2312" w:hAnsi="仿宋_GB2312" w:cs="仿宋_GB2312"/>
          <w:sz w:val="32"/>
          <w:szCs w:val="32"/>
        </w:rPr>
        <w:t>、经营支出：指事业</w:t>
      </w:r>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在专业业务活动及其辅助活动之外开展非独立核算经营活动发生的支出。</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十二、工资福利支出：单位支付给在职职工和编制外长期聘用人员的各类劳动</w:t>
      </w:r>
      <w:r>
        <w:rPr>
          <w:rFonts w:ascii="仿宋_GB2312" w:eastAsia="仿宋_GB2312" w:hAnsi="仿宋_GB2312" w:cs="仿宋_GB2312" w:hint="eastAsia"/>
          <w:sz w:val="32"/>
          <w:szCs w:val="32"/>
        </w:rPr>
        <w:t>报酬，以及为上述人员缴纳的各项社会保险费等。</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十三、商品和服务支出：单位购买商品和服务的支出。</w:t>
      </w:r>
    </w:p>
    <w:p w:rsidR="00000000" w:rsidRDefault="0036171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十五、</w:t>
      </w:r>
      <w:r>
        <w:rPr>
          <w:rFonts w:ascii="仿宋_GB2312" w:eastAsia="仿宋_GB2312" w:hAnsi="仿宋_GB2312" w:cs="仿宋_GB2312"/>
          <w:sz w:val="32"/>
          <w:szCs w:val="32"/>
        </w:rPr>
        <w:t>结余分配：指事业</w:t>
      </w:r>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按照会计制度规定缴纳的所得税、提取的专用结余以及转入非财政拨款结余的金额等。</w:t>
      </w:r>
    </w:p>
    <w:p w:rsidR="00000000" w:rsidRDefault="0036171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十六、年末结转和</w:t>
      </w:r>
      <w:r>
        <w:rPr>
          <w:rFonts w:ascii="仿宋_GB2312" w:eastAsia="仿宋_GB2312" w:hAnsi="仿宋_GB2312" w:cs="仿宋_GB2312"/>
          <w:sz w:val="32"/>
          <w:szCs w:val="32"/>
        </w:rPr>
        <w:t>结余</w:t>
      </w:r>
      <w:r>
        <w:rPr>
          <w:rFonts w:ascii="仿宋_GB2312" w:eastAsia="仿宋_GB2312" w:hAnsi="仿宋_GB2312" w:cs="仿宋_GB2312" w:hint="eastAsia"/>
          <w:sz w:val="32"/>
          <w:szCs w:val="32"/>
        </w:rPr>
        <w:t>：指单位</w:t>
      </w:r>
      <w:r>
        <w:rPr>
          <w:rFonts w:ascii="仿宋_GB2312" w:eastAsia="仿宋_GB2312" w:hAnsi="仿宋_GB2312" w:cs="仿宋_GB2312"/>
          <w:sz w:val="32"/>
          <w:szCs w:val="32"/>
        </w:rPr>
        <w:t>按有关规定结转到下年或以后年度</w:t>
      </w:r>
      <w:r>
        <w:rPr>
          <w:rFonts w:ascii="仿宋_GB2312" w:eastAsia="仿宋_GB2312" w:hAnsi="仿宋_GB2312" w:cs="仿宋_GB2312" w:hint="eastAsia"/>
          <w:sz w:val="32"/>
          <w:szCs w:val="32"/>
        </w:rPr>
        <w:t>继续</w:t>
      </w:r>
      <w:r>
        <w:rPr>
          <w:rFonts w:ascii="仿宋_GB2312" w:eastAsia="仿宋_GB2312" w:hAnsi="仿宋_GB2312" w:cs="仿宋_GB2312"/>
          <w:sz w:val="32"/>
          <w:szCs w:val="32"/>
        </w:rPr>
        <w:t>使用的资金，或项目已完成等产生的结余资金。</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十七、“三公”经费：纳入同级财政预决算管理“三公”经费，指单位使用财政拨款安排的因公出国（境）费、公务用车购置及运行费和公务接待费。其中，因公</w:t>
      </w:r>
      <w:r>
        <w:rPr>
          <w:rFonts w:ascii="仿宋_GB2312" w:eastAsia="仿宋_GB2312" w:hAnsi="仿宋_GB2312" w:cs="仿宋_GB2312" w:hint="eastAsia"/>
          <w:sz w:val="32"/>
          <w:szCs w:val="32"/>
        </w:rPr>
        <w:t>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00000" w:rsidRDefault="00361716">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十八、机关运行经费：为保障行政单位（含参照公务员法管理的事业单位）运行用于购买货物和服务的各项资金，包括办公</w:t>
      </w:r>
      <w:r>
        <w:rPr>
          <w:rFonts w:ascii="仿宋_GB2312" w:eastAsia="仿宋_GB2312" w:hAnsi="仿宋_GB2312" w:cs="仿宋_GB2312" w:hint="eastAsia"/>
          <w:sz w:val="32"/>
          <w:szCs w:val="32"/>
        </w:rPr>
        <w:lastRenderedPageBreak/>
        <w:t>及印刷费、邮电费、差旅费、会议费、福利费、日常维修费、专用材料及一般设备购置费、办公用房水电费、办公用房取暖</w:t>
      </w:r>
      <w:r>
        <w:rPr>
          <w:rFonts w:ascii="仿宋_GB2312" w:eastAsia="仿宋_GB2312" w:hAnsi="仿宋_GB2312" w:cs="仿宋_GB2312" w:hint="eastAsia"/>
          <w:sz w:val="32"/>
          <w:szCs w:val="32"/>
        </w:rPr>
        <w:t>费、办公用房物业管理费、公务用车运行维护费以及其他费用。</w:t>
      </w:r>
    </w:p>
    <w:p w:rsidR="00361716" w:rsidRDefault="00361716">
      <w:pPr>
        <w:widowControl/>
        <w:spacing w:line="590" w:lineRule="exact"/>
        <w:ind w:firstLineChars="200" w:firstLine="643"/>
        <w:jc w:val="left"/>
        <w:rPr>
          <w:rFonts w:ascii="仿宋_GB2312" w:eastAsia="仿宋_GB2312" w:hAnsi="仿宋_GB2312" w:cs="仿宋_GB2312" w:hint="eastAsia"/>
          <w:b/>
          <w:sz w:val="32"/>
          <w:szCs w:val="32"/>
        </w:rPr>
      </w:pPr>
    </w:p>
    <w:sectPr w:rsidR="00361716">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716" w:rsidRDefault="00361716">
      <w:r>
        <w:separator/>
      </w:r>
    </w:p>
  </w:endnote>
  <w:endnote w:type="continuationSeparator" w:id="1">
    <w:p w:rsidR="00361716" w:rsidRDefault="00361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1716">
    <w:pPr>
      <w:pStyle w:val="a4"/>
    </w:pPr>
    <w:r>
      <w:pict>
        <v:shapetype id="_x0000_t202" coordsize="21600,21600" o:spt="202" path="m,l,21600r21600,l21600,xe">
          <v:stroke joinstyle="miter"/>
          <v:path gradientshapeok="t" o:connecttype="rect"/>
        </v:shapetype>
        <v:shape id="文本框 7" o:spid="_x0000_s2055" type="#_x0000_t202" style="position:absolute;margin-left:0;margin-top:0;width:2in;height:2in;z-index:251658752;mso-wrap-style:none;mso-position-horizontal:center;mso-position-horizontal-relative:margin" filled="f" stroked="f">
          <v:textbox style="mso-fit-shape-to-text:t" inset="0,0,0,0">
            <w:txbxContent>
              <w:p w:rsidR="00000000" w:rsidRDefault="00361716">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4415" w:rsidRPr="004A4415">
                  <w:rPr>
                    <w:noProof/>
                    <w:sz w:val="18"/>
                    <w:lang w:val="en-US" w:eastAsia="zh-CN"/>
                  </w:rPr>
                  <w:t>- 18 -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1716">
    <w:pPr>
      <w:pStyle w:val="a4"/>
    </w:pPr>
    <w:r>
      <w:pict>
        <v:shapetype id="_x0000_t202" coordsize="21600,21600" o:spt="202" path="m,l,21600r21600,l21600,xe">
          <v:stroke joinstyle="miter"/>
          <v:path gradientshapeok="t" o:connecttype="rect"/>
        </v:shapetype>
        <v:shape id="文本框 6" o:spid="_x0000_s2054"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361716">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4415" w:rsidRPr="004A4415">
                  <w:rPr>
                    <w:noProof/>
                    <w:sz w:val="18"/>
                    <w:lang w:val="en-US" w:eastAsia="zh-CN"/>
                  </w:rPr>
                  <w:t>- 17 -</w:t>
                </w:r>
                <w:r>
                  <w:rPr>
                    <w:rFonts w:hint="eastAsia"/>
                    <w:sz w:val="18"/>
                  </w:rPr>
                  <w:fldChar w:fldCharType="end"/>
                </w:r>
              </w:p>
            </w:txbxContent>
          </v:textbox>
          <w10:wrap anchorx="margin"/>
        </v:shape>
      </w:pict>
    </w:r>
    <w:r>
      <w:pict>
        <v:shape id="文本框 1027" o:spid="_x0000_s2051" type="#_x0000_t202" style="position:absolute;margin-left:0;margin-top:0;width:2in;height:2in;z-index:251656704;mso-wrap-style:none;mso-position-horizontal:center;mso-position-horizontal-relative:margin" filled="f" stroked="f">
          <v:fill o:detectmouseclick="t"/>
          <v:textbox style="mso-fit-shape-to-text:t" inset="0,0,0,0">
            <w:txbxContent>
              <w:p w:rsidR="00000000" w:rsidRDefault="00361716">
                <w:pPr>
                  <w:rPr>
                    <w:rFonts w:hint="eastAsia"/>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716" w:rsidRDefault="00361716">
      <w:r>
        <w:separator/>
      </w:r>
    </w:p>
  </w:footnote>
  <w:footnote w:type="continuationSeparator" w:id="1">
    <w:p w:rsidR="00361716" w:rsidRDefault="00361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D21F5F"/>
    <w:multiLevelType w:val="singleLevel"/>
    <w:tmpl w:val="D2D21F5F"/>
    <w:lvl w:ilvl="0">
      <w:start w:val="2"/>
      <w:numFmt w:val="chineseCounting"/>
      <w:suff w:val="space"/>
      <w:lvlText w:val="第%1部分"/>
      <w:lvlJc w:val="left"/>
      <w:rPr>
        <w:rFonts w:hint="eastAsia"/>
      </w:rPr>
    </w:lvl>
  </w:abstractNum>
  <w:abstractNum w:abstractNumId="1">
    <w:nsid w:val="5971BE17"/>
    <w:multiLevelType w:val="singleLevel"/>
    <w:tmpl w:val="5971BE1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evenAndOddHeaders/>
  <w:drawingGridHorizontalSpacing w:val="105"/>
  <w:drawingGridVerticalSpacing w:val="156"/>
  <w:noPunctuationKerning/>
  <w:characterSpacingControl w:val="compressPunctuation"/>
  <w:hdrShapeDefaults>
    <o:shapedefaults v:ext="edit" spidmax="308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ZjViYmJlYjMwMDJkYWUyODg5MjU4ZDQwOTQ1YjZjNDQifQ=="/>
  </w:docVars>
  <w:rsids>
    <w:rsidRoot w:val="000270E8"/>
    <w:rsid w:val="0001341A"/>
    <w:rsid w:val="00014590"/>
    <w:rsid w:val="000270E8"/>
    <w:rsid w:val="000335B5"/>
    <w:rsid w:val="00033AD1"/>
    <w:rsid w:val="000406F4"/>
    <w:rsid w:val="00041339"/>
    <w:rsid w:val="00050C58"/>
    <w:rsid w:val="000536D4"/>
    <w:rsid w:val="00057AFD"/>
    <w:rsid w:val="000760A2"/>
    <w:rsid w:val="00076410"/>
    <w:rsid w:val="00081835"/>
    <w:rsid w:val="00082177"/>
    <w:rsid w:val="000904B3"/>
    <w:rsid w:val="000C073B"/>
    <w:rsid w:val="000C1142"/>
    <w:rsid w:val="000F6973"/>
    <w:rsid w:val="001003F8"/>
    <w:rsid w:val="001153DF"/>
    <w:rsid w:val="00144159"/>
    <w:rsid w:val="00144904"/>
    <w:rsid w:val="001503F2"/>
    <w:rsid w:val="00153782"/>
    <w:rsid w:val="00155AEF"/>
    <w:rsid w:val="001718A8"/>
    <w:rsid w:val="00180C48"/>
    <w:rsid w:val="00182842"/>
    <w:rsid w:val="00184D53"/>
    <w:rsid w:val="001905F2"/>
    <w:rsid w:val="00197592"/>
    <w:rsid w:val="001C32F0"/>
    <w:rsid w:val="001D16C4"/>
    <w:rsid w:val="001D18CA"/>
    <w:rsid w:val="001D61B1"/>
    <w:rsid w:val="001E4E8F"/>
    <w:rsid w:val="001F5040"/>
    <w:rsid w:val="002006EB"/>
    <w:rsid w:val="00207EC7"/>
    <w:rsid w:val="00213D0B"/>
    <w:rsid w:val="00214AE1"/>
    <w:rsid w:val="00217AC8"/>
    <w:rsid w:val="00225088"/>
    <w:rsid w:val="00256E51"/>
    <w:rsid w:val="00260D70"/>
    <w:rsid w:val="00281114"/>
    <w:rsid w:val="00282C7F"/>
    <w:rsid w:val="00285B57"/>
    <w:rsid w:val="00287811"/>
    <w:rsid w:val="00292B4B"/>
    <w:rsid w:val="002A6352"/>
    <w:rsid w:val="002B070D"/>
    <w:rsid w:val="002B3F94"/>
    <w:rsid w:val="002B429B"/>
    <w:rsid w:val="002C171D"/>
    <w:rsid w:val="002C1C6F"/>
    <w:rsid w:val="002C6F4C"/>
    <w:rsid w:val="002E6A86"/>
    <w:rsid w:val="00304D04"/>
    <w:rsid w:val="00305B88"/>
    <w:rsid w:val="0031111D"/>
    <w:rsid w:val="00315FEB"/>
    <w:rsid w:val="00317A3F"/>
    <w:rsid w:val="00317CCC"/>
    <w:rsid w:val="003207C7"/>
    <w:rsid w:val="00347794"/>
    <w:rsid w:val="00361716"/>
    <w:rsid w:val="00367243"/>
    <w:rsid w:val="00382F99"/>
    <w:rsid w:val="00386448"/>
    <w:rsid w:val="003E14B4"/>
    <w:rsid w:val="004006EF"/>
    <w:rsid w:val="00405F78"/>
    <w:rsid w:val="00406392"/>
    <w:rsid w:val="0041489C"/>
    <w:rsid w:val="004207C5"/>
    <w:rsid w:val="0042585F"/>
    <w:rsid w:val="00426114"/>
    <w:rsid w:val="00426A58"/>
    <w:rsid w:val="0044171D"/>
    <w:rsid w:val="00445CAC"/>
    <w:rsid w:val="00463211"/>
    <w:rsid w:val="00472E19"/>
    <w:rsid w:val="004824E1"/>
    <w:rsid w:val="00487869"/>
    <w:rsid w:val="004A4415"/>
    <w:rsid w:val="004A4778"/>
    <w:rsid w:val="004C3031"/>
    <w:rsid w:val="004C5BC9"/>
    <w:rsid w:val="004D5275"/>
    <w:rsid w:val="004F63DB"/>
    <w:rsid w:val="00505190"/>
    <w:rsid w:val="00507364"/>
    <w:rsid w:val="00512644"/>
    <w:rsid w:val="00546F7C"/>
    <w:rsid w:val="005603AD"/>
    <w:rsid w:val="00582EFA"/>
    <w:rsid w:val="00597BD9"/>
    <w:rsid w:val="005A0C2F"/>
    <w:rsid w:val="005A4B7D"/>
    <w:rsid w:val="005B1AE2"/>
    <w:rsid w:val="005B22B9"/>
    <w:rsid w:val="005E0AAB"/>
    <w:rsid w:val="005E3397"/>
    <w:rsid w:val="005E4B20"/>
    <w:rsid w:val="005E56ED"/>
    <w:rsid w:val="005E59B1"/>
    <w:rsid w:val="0060785B"/>
    <w:rsid w:val="00607D67"/>
    <w:rsid w:val="006200A8"/>
    <w:rsid w:val="006228C4"/>
    <w:rsid w:val="00636C37"/>
    <w:rsid w:val="006512DD"/>
    <w:rsid w:val="00656BEF"/>
    <w:rsid w:val="00656D75"/>
    <w:rsid w:val="00657B67"/>
    <w:rsid w:val="00657E86"/>
    <w:rsid w:val="00673EF7"/>
    <w:rsid w:val="00674086"/>
    <w:rsid w:val="006841E9"/>
    <w:rsid w:val="0069449E"/>
    <w:rsid w:val="006A77EE"/>
    <w:rsid w:val="006B3267"/>
    <w:rsid w:val="006B3E9B"/>
    <w:rsid w:val="006C07F0"/>
    <w:rsid w:val="006C644A"/>
    <w:rsid w:val="006C7D84"/>
    <w:rsid w:val="006D7C3A"/>
    <w:rsid w:val="006F5028"/>
    <w:rsid w:val="007148E8"/>
    <w:rsid w:val="00733DAA"/>
    <w:rsid w:val="00742BA0"/>
    <w:rsid w:val="00753545"/>
    <w:rsid w:val="00754195"/>
    <w:rsid w:val="007614DA"/>
    <w:rsid w:val="00764156"/>
    <w:rsid w:val="00764AFA"/>
    <w:rsid w:val="007706D7"/>
    <w:rsid w:val="00772107"/>
    <w:rsid w:val="007879ED"/>
    <w:rsid w:val="007A48A3"/>
    <w:rsid w:val="007B141F"/>
    <w:rsid w:val="007C029F"/>
    <w:rsid w:val="007C7F49"/>
    <w:rsid w:val="007D2A21"/>
    <w:rsid w:val="008011A1"/>
    <w:rsid w:val="008076A8"/>
    <w:rsid w:val="0083403E"/>
    <w:rsid w:val="00835830"/>
    <w:rsid w:val="00843461"/>
    <w:rsid w:val="00856C2A"/>
    <w:rsid w:val="008651E7"/>
    <w:rsid w:val="00872946"/>
    <w:rsid w:val="0088023A"/>
    <w:rsid w:val="008858FB"/>
    <w:rsid w:val="008924E6"/>
    <w:rsid w:val="008925A8"/>
    <w:rsid w:val="00894B41"/>
    <w:rsid w:val="008B5427"/>
    <w:rsid w:val="008C050B"/>
    <w:rsid w:val="008C79C3"/>
    <w:rsid w:val="008C7CD0"/>
    <w:rsid w:val="008E30B8"/>
    <w:rsid w:val="00903F6B"/>
    <w:rsid w:val="00915DED"/>
    <w:rsid w:val="009173F9"/>
    <w:rsid w:val="009308CB"/>
    <w:rsid w:val="009338B4"/>
    <w:rsid w:val="00934F9F"/>
    <w:rsid w:val="00943AED"/>
    <w:rsid w:val="00950270"/>
    <w:rsid w:val="00955EB5"/>
    <w:rsid w:val="00955FAB"/>
    <w:rsid w:val="00962F58"/>
    <w:rsid w:val="00972F3F"/>
    <w:rsid w:val="00975A04"/>
    <w:rsid w:val="009850F4"/>
    <w:rsid w:val="009859C5"/>
    <w:rsid w:val="00987E71"/>
    <w:rsid w:val="0099746D"/>
    <w:rsid w:val="009E45C1"/>
    <w:rsid w:val="009F0FBB"/>
    <w:rsid w:val="009F546E"/>
    <w:rsid w:val="009F75E6"/>
    <w:rsid w:val="00A05325"/>
    <w:rsid w:val="00A079F0"/>
    <w:rsid w:val="00A21DB3"/>
    <w:rsid w:val="00A21E70"/>
    <w:rsid w:val="00A42F43"/>
    <w:rsid w:val="00A47596"/>
    <w:rsid w:val="00A51982"/>
    <w:rsid w:val="00A57BF7"/>
    <w:rsid w:val="00A60EC5"/>
    <w:rsid w:val="00A6533E"/>
    <w:rsid w:val="00A719E1"/>
    <w:rsid w:val="00A71DC1"/>
    <w:rsid w:val="00A83D8A"/>
    <w:rsid w:val="00A85507"/>
    <w:rsid w:val="00A93E7D"/>
    <w:rsid w:val="00AA260E"/>
    <w:rsid w:val="00AA44CB"/>
    <w:rsid w:val="00AA67CD"/>
    <w:rsid w:val="00AC3D6D"/>
    <w:rsid w:val="00AD6761"/>
    <w:rsid w:val="00AE2FEA"/>
    <w:rsid w:val="00AE600E"/>
    <w:rsid w:val="00B0083B"/>
    <w:rsid w:val="00B040BC"/>
    <w:rsid w:val="00B203C2"/>
    <w:rsid w:val="00B209B8"/>
    <w:rsid w:val="00B20BBC"/>
    <w:rsid w:val="00B249F3"/>
    <w:rsid w:val="00B2557C"/>
    <w:rsid w:val="00B42BC8"/>
    <w:rsid w:val="00B649BE"/>
    <w:rsid w:val="00B653A5"/>
    <w:rsid w:val="00B65A14"/>
    <w:rsid w:val="00B710DD"/>
    <w:rsid w:val="00B8061A"/>
    <w:rsid w:val="00BC0BA2"/>
    <w:rsid w:val="00BD2587"/>
    <w:rsid w:val="00BE5A85"/>
    <w:rsid w:val="00BE70D4"/>
    <w:rsid w:val="00BF4E6A"/>
    <w:rsid w:val="00BF5718"/>
    <w:rsid w:val="00C07681"/>
    <w:rsid w:val="00C13474"/>
    <w:rsid w:val="00C3106E"/>
    <w:rsid w:val="00C54C15"/>
    <w:rsid w:val="00C60609"/>
    <w:rsid w:val="00C80C66"/>
    <w:rsid w:val="00C95CC1"/>
    <w:rsid w:val="00CA072E"/>
    <w:rsid w:val="00CA3F44"/>
    <w:rsid w:val="00CB03ED"/>
    <w:rsid w:val="00CB72D1"/>
    <w:rsid w:val="00CB7426"/>
    <w:rsid w:val="00CE212D"/>
    <w:rsid w:val="00CE4B38"/>
    <w:rsid w:val="00CF7604"/>
    <w:rsid w:val="00D1321A"/>
    <w:rsid w:val="00D20170"/>
    <w:rsid w:val="00D22B01"/>
    <w:rsid w:val="00D23FC6"/>
    <w:rsid w:val="00D26F0F"/>
    <w:rsid w:val="00D30ADF"/>
    <w:rsid w:val="00D33CF8"/>
    <w:rsid w:val="00D6315E"/>
    <w:rsid w:val="00D635ED"/>
    <w:rsid w:val="00D652C2"/>
    <w:rsid w:val="00D74EE2"/>
    <w:rsid w:val="00D766EA"/>
    <w:rsid w:val="00D83E19"/>
    <w:rsid w:val="00D85652"/>
    <w:rsid w:val="00D86CAD"/>
    <w:rsid w:val="00D870B9"/>
    <w:rsid w:val="00DA00C9"/>
    <w:rsid w:val="00DA6C70"/>
    <w:rsid w:val="00DB200E"/>
    <w:rsid w:val="00DB65F5"/>
    <w:rsid w:val="00DC70E4"/>
    <w:rsid w:val="00DD0462"/>
    <w:rsid w:val="00DD2BB8"/>
    <w:rsid w:val="00E01C3E"/>
    <w:rsid w:val="00E02A80"/>
    <w:rsid w:val="00E11655"/>
    <w:rsid w:val="00E13099"/>
    <w:rsid w:val="00E139C6"/>
    <w:rsid w:val="00E4339F"/>
    <w:rsid w:val="00E60B05"/>
    <w:rsid w:val="00E61641"/>
    <w:rsid w:val="00E629EA"/>
    <w:rsid w:val="00E6777C"/>
    <w:rsid w:val="00E735F2"/>
    <w:rsid w:val="00E82DA5"/>
    <w:rsid w:val="00E83A01"/>
    <w:rsid w:val="00E87A51"/>
    <w:rsid w:val="00EA599A"/>
    <w:rsid w:val="00EB05A3"/>
    <w:rsid w:val="00ED38B7"/>
    <w:rsid w:val="00EE051D"/>
    <w:rsid w:val="00EF2F4C"/>
    <w:rsid w:val="00F0082A"/>
    <w:rsid w:val="00F0131A"/>
    <w:rsid w:val="00F12865"/>
    <w:rsid w:val="00F14C17"/>
    <w:rsid w:val="00F17041"/>
    <w:rsid w:val="00F218CF"/>
    <w:rsid w:val="00F34363"/>
    <w:rsid w:val="00F41D21"/>
    <w:rsid w:val="00F44937"/>
    <w:rsid w:val="00F51D42"/>
    <w:rsid w:val="00F528D7"/>
    <w:rsid w:val="00F61A47"/>
    <w:rsid w:val="00F80BA5"/>
    <w:rsid w:val="00F84422"/>
    <w:rsid w:val="00F95455"/>
    <w:rsid w:val="00F97C4E"/>
    <w:rsid w:val="00FA574D"/>
    <w:rsid w:val="00FC2588"/>
    <w:rsid w:val="00FD0533"/>
    <w:rsid w:val="00FE7AD9"/>
    <w:rsid w:val="01322275"/>
    <w:rsid w:val="01DC6F05"/>
    <w:rsid w:val="02A3489A"/>
    <w:rsid w:val="02CA138D"/>
    <w:rsid w:val="033646FC"/>
    <w:rsid w:val="03620B05"/>
    <w:rsid w:val="03C75F80"/>
    <w:rsid w:val="0478364D"/>
    <w:rsid w:val="053D4C0D"/>
    <w:rsid w:val="0557532E"/>
    <w:rsid w:val="076F5347"/>
    <w:rsid w:val="0799329C"/>
    <w:rsid w:val="086F16A7"/>
    <w:rsid w:val="087B7D1C"/>
    <w:rsid w:val="0A0F7225"/>
    <w:rsid w:val="0A2B7D82"/>
    <w:rsid w:val="0ADC40E9"/>
    <w:rsid w:val="0AE607F4"/>
    <w:rsid w:val="0B451598"/>
    <w:rsid w:val="0BEC73F4"/>
    <w:rsid w:val="0C392698"/>
    <w:rsid w:val="100B5E29"/>
    <w:rsid w:val="10BD36F6"/>
    <w:rsid w:val="10E2788A"/>
    <w:rsid w:val="11323006"/>
    <w:rsid w:val="11BF0649"/>
    <w:rsid w:val="11CC3396"/>
    <w:rsid w:val="123E3E08"/>
    <w:rsid w:val="13D22E22"/>
    <w:rsid w:val="144638D4"/>
    <w:rsid w:val="14F72E20"/>
    <w:rsid w:val="161C2DFF"/>
    <w:rsid w:val="16373578"/>
    <w:rsid w:val="16D3336B"/>
    <w:rsid w:val="17424826"/>
    <w:rsid w:val="17806C36"/>
    <w:rsid w:val="17A74F62"/>
    <w:rsid w:val="18A47774"/>
    <w:rsid w:val="1A165AF6"/>
    <w:rsid w:val="1B2E6FD8"/>
    <w:rsid w:val="1B877D21"/>
    <w:rsid w:val="1C4032FE"/>
    <w:rsid w:val="1C4319A9"/>
    <w:rsid w:val="1E443B4B"/>
    <w:rsid w:val="1E994F4A"/>
    <w:rsid w:val="1EAF0224"/>
    <w:rsid w:val="1F2230A4"/>
    <w:rsid w:val="1FED10A7"/>
    <w:rsid w:val="20210932"/>
    <w:rsid w:val="202448E0"/>
    <w:rsid w:val="20D9162C"/>
    <w:rsid w:val="21302EEA"/>
    <w:rsid w:val="22376FB5"/>
    <w:rsid w:val="230F7587"/>
    <w:rsid w:val="23E152D7"/>
    <w:rsid w:val="25277377"/>
    <w:rsid w:val="255D43C8"/>
    <w:rsid w:val="26876BDD"/>
    <w:rsid w:val="2714632A"/>
    <w:rsid w:val="27B0539E"/>
    <w:rsid w:val="27EE6E31"/>
    <w:rsid w:val="29365CF8"/>
    <w:rsid w:val="299469B3"/>
    <w:rsid w:val="2A805789"/>
    <w:rsid w:val="2ADC0D75"/>
    <w:rsid w:val="2B4A0E52"/>
    <w:rsid w:val="2C975890"/>
    <w:rsid w:val="2DEF21BB"/>
    <w:rsid w:val="2E4A2F05"/>
    <w:rsid w:val="2ECC1061"/>
    <w:rsid w:val="2F8135BA"/>
    <w:rsid w:val="2FA476AD"/>
    <w:rsid w:val="2FC31E25"/>
    <w:rsid w:val="303F7540"/>
    <w:rsid w:val="31DD00BF"/>
    <w:rsid w:val="3293174C"/>
    <w:rsid w:val="32BB38D4"/>
    <w:rsid w:val="32C9376D"/>
    <w:rsid w:val="33780472"/>
    <w:rsid w:val="33AF0905"/>
    <w:rsid w:val="33BB167D"/>
    <w:rsid w:val="350D0B04"/>
    <w:rsid w:val="35326D7C"/>
    <w:rsid w:val="355932F4"/>
    <w:rsid w:val="35611882"/>
    <w:rsid w:val="3619454C"/>
    <w:rsid w:val="36746FC3"/>
    <w:rsid w:val="368763AE"/>
    <w:rsid w:val="369B6B88"/>
    <w:rsid w:val="39074B30"/>
    <w:rsid w:val="392576AC"/>
    <w:rsid w:val="393873DF"/>
    <w:rsid w:val="395D59E7"/>
    <w:rsid w:val="39677CC5"/>
    <w:rsid w:val="39A93932"/>
    <w:rsid w:val="39C8328A"/>
    <w:rsid w:val="3A915562"/>
    <w:rsid w:val="3B8D4765"/>
    <w:rsid w:val="3C000DBA"/>
    <w:rsid w:val="3DC045D3"/>
    <w:rsid w:val="3E504FFB"/>
    <w:rsid w:val="3E615CD0"/>
    <w:rsid w:val="3E9C47F6"/>
    <w:rsid w:val="3F8B0112"/>
    <w:rsid w:val="3FAB3095"/>
    <w:rsid w:val="3FBF43B6"/>
    <w:rsid w:val="3FE45947"/>
    <w:rsid w:val="41242965"/>
    <w:rsid w:val="435671EA"/>
    <w:rsid w:val="440809E9"/>
    <w:rsid w:val="442407A6"/>
    <w:rsid w:val="44805EA1"/>
    <w:rsid w:val="45710696"/>
    <w:rsid w:val="458B6AE9"/>
    <w:rsid w:val="46142B1B"/>
    <w:rsid w:val="47E60DD0"/>
    <w:rsid w:val="48735039"/>
    <w:rsid w:val="4885303E"/>
    <w:rsid w:val="49153299"/>
    <w:rsid w:val="492C684B"/>
    <w:rsid w:val="49500594"/>
    <w:rsid w:val="49E7604E"/>
    <w:rsid w:val="4BF67CDD"/>
    <w:rsid w:val="4C8524E4"/>
    <w:rsid w:val="4D173441"/>
    <w:rsid w:val="4D603DD6"/>
    <w:rsid w:val="4DB34E2F"/>
    <w:rsid w:val="4E0D453F"/>
    <w:rsid w:val="4EBF010F"/>
    <w:rsid w:val="4F18763F"/>
    <w:rsid w:val="4F471EB0"/>
    <w:rsid w:val="50290693"/>
    <w:rsid w:val="51331326"/>
    <w:rsid w:val="51740A7F"/>
    <w:rsid w:val="51A5541E"/>
    <w:rsid w:val="51C96242"/>
    <w:rsid w:val="53906AE1"/>
    <w:rsid w:val="54F46F60"/>
    <w:rsid w:val="55306D65"/>
    <w:rsid w:val="55A37BEA"/>
    <w:rsid w:val="56362CD2"/>
    <w:rsid w:val="566273F2"/>
    <w:rsid w:val="5784687B"/>
    <w:rsid w:val="57846959"/>
    <w:rsid w:val="578E6A87"/>
    <w:rsid w:val="5AC2203A"/>
    <w:rsid w:val="5CBB3334"/>
    <w:rsid w:val="5D115FAF"/>
    <w:rsid w:val="5E9D36BD"/>
    <w:rsid w:val="5F2B0CC9"/>
    <w:rsid w:val="62811722"/>
    <w:rsid w:val="62E75A72"/>
    <w:rsid w:val="64571880"/>
    <w:rsid w:val="649125B6"/>
    <w:rsid w:val="652F4C1A"/>
    <w:rsid w:val="66625845"/>
    <w:rsid w:val="666D37F1"/>
    <w:rsid w:val="66792F93"/>
    <w:rsid w:val="67087D8F"/>
    <w:rsid w:val="671F687E"/>
    <w:rsid w:val="67F415F8"/>
    <w:rsid w:val="682640D1"/>
    <w:rsid w:val="684B73E5"/>
    <w:rsid w:val="6A047A2A"/>
    <w:rsid w:val="6A9242F2"/>
    <w:rsid w:val="6AC87D14"/>
    <w:rsid w:val="6C4E5FF7"/>
    <w:rsid w:val="6E9028F6"/>
    <w:rsid w:val="6EAB14DE"/>
    <w:rsid w:val="6EFB7548"/>
    <w:rsid w:val="6F3831C3"/>
    <w:rsid w:val="6F8B71C1"/>
    <w:rsid w:val="70753482"/>
    <w:rsid w:val="707B522A"/>
    <w:rsid w:val="70CE7706"/>
    <w:rsid w:val="7130216F"/>
    <w:rsid w:val="72FF2205"/>
    <w:rsid w:val="73194D05"/>
    <w:rsid w:val="73A83B0E"/>
    <w:rsid w:val="744D3EF9"/>
    <w:rsid w:val="74794411"/>
    <w:rsid w:val="75867C40"/>
    <w:rsid w:val="75B10B26"/>
    <w:rsid w:val="76432199"/>
    <w:rsid w:val="76F44829"/>
    <w:rsid w:val="77843214"/>
    <w:rsid w:val="77A267C0"/>
    <w:rsid w:val="78882278"/>
    <w:rsid w:val="78B118A6"/>
    <w:rsid w:val="79135044"/>
    <w:rsid w:val="7A7D0F99"/>
    <w:rsid w:val="7C122B9D"/>
    <w:rsid w:val="7E4A0E7C"/>
    <w:rsid w:val="7EFD449D"/>
    <w:rsid w:val="7FD35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link w:val="a3"/>
    <w:uiPriority w:val="99"/>
    <w:semiHidden/>
    <w:rPr>
      <w:kern w:val="2"/>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rPr>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Pr>
      <w:kern w:val="2"/>
      <w:sz w:val="18"/>
      <w:szCs w:val="18"/>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rPr>
      <w:color w:val="800080"/>
      <w:u w:val="single"/>
    </w:rPr>
  </w:style>
  <w:style w:type="character" w:styleId="a8">
    <w:name w:val="Hyperlink"/>
    <w:uiPriority w:val="99"/>
    <w:unhideWhenUsed/>
    <w:rPr>
      <w:color w:val="0000FF"/>
      <w:u w:val="single"/>
    </w:rPr>
  </w:style>
  <w:style w:type="character" w:customStyle="1" w:styleId="font01">
    <w:name w:val="font01"/>
    <w:rPr>
      <w:rFonts w:ascii="宋体" w:eastAsia="宋体" w:hAnsi="宋体" w:cs="宋体" w:hint="eastAsia"/>
      <w:i w:val="0"/>
      <w:color w:val="000000"/>
      <w:sz w:val="22"/>
      <w:szCs w:val="22"/>
      <w:u w:val="none"/>
    </w:rPr>
  </w:style>
  <w:style w:type="character" w:customStyle="1" w:styleId="font21">
    <w:name w:val="font21"/>
    <w:rPr>
      <w:rFonts w:ascii="宋体" w:eastAsia="宋体" w:hAnsi="宋体" w:cs="宋体" w:hint="eastAsia"/>
      <w:i w:val="0"/>
      <w:color w:val="000000"/>
      <w:sz w:val="22"/>
      <w:szCs w:val="22"/>
      <w:u w:val="none"/>
    </w:rPr>
  </w:style>
  <w:style w:type="character" w:customStyle="1" w:styleId="font51">
    <w:name w:val="font51"/>
    <w:rPr>
      <w:rFonts w:ascii="宋体" w:eastAsia="宋体" w:hAnsi="宋体" w:cs="宋体" w:hint="eastAsia"/>
      <w:i w:val="0"/>
      <w:color w:val="000000"/>
      <w:sz w:val="24"/>
      <w:szCs w:val="24"/>
      <w:u w:val="none"/>
    </w:rPr>
  </w:style>
  <w:style w:type="character" w:customStyle="1" w:styleId="font11">
    <w:name w:val="font11"/>
    <w:rPr>
      <w:rFonts w:ascii="宋体" w:eastAsia="宋体" w:hAnsi="宋体" w:cs="宋体" w:hint="eastAsia"/>
      <w:i w:val="0"/>
      <w:color w:val="000000"/>
      <w:sz w:val="20"/>
      <w:szCs w:val="20"/>
      <w:u w:val="none"/>
    </w:rPr>
  </w:style>
  <w:style w:type="character" w:customStyle="1" w:styleId="font41">
    <w:name w:val="font41"/>
    <w:rPr>
      <w:rFonts w:ascii="宋体" w:eastAsia="宋体" w:hAnsi="宋体" w:cs="宋体" w:hint="eastAsia"/>
      <w:i w:val="0"/>
      <w:color w:val="000000"/>
      <w:sz w:val="24"/>
      <w:szCs w:val="24"/>
      <w:u w:val="none"/>
    </w:rPr>
  </w:style>
  <w:style w:type="character" w:customStyle="1" w:styleId="font31">
    <w:name w:val="font31"/>
    <w:basedOn w:val="a0"/>
    <w:rPr>
      <w:rFonts w:ascii="黑体" w:eastAsia="黑体" w:hAnsi="宋体" w:cs="黑体" w:hint="eastAsia"/>
      <w:i w:val="0"/>
      <w:iCs w:val="0"/>
      <w:color w:val="000000"/>
      <w:sz w:val="20"/>
      <w:szCs w:val="20"/>
      <w:u w:val="none"/>
    </w:rPr>
  </w:style>
  <w:style w:type="character" w:customStyle="1" w:styleId="font61">
    <w:name w:val="font61"/>
    <w:basedOn w:val="a0"/>
    <w:rPr>
      <w:rFonts w:ascii="黑体" w:eastAsia="黑体" w:hAnsi="宋体" w:cs="黑体" w:hint="eastAsia"/>
      <w:i w:val="0"/>
      <w:iCs w:val="0"/>
      <w:color w:val="000000"/>
      <w:sz w:val="20"/>
      <w:szCs w:val="20"/>
      <w:u w:val="none"/>
    </w:rPr>
  </w:style>
  <w:style w:type="character" w:customStyle="1" w:styleId="font81">
    <w:name w:val="font81"/>
    <w:basedOn w:val="a0"/>
    <w:rPr>
      <w:rFonts w:ascii="黑体" w:eastAsia="黑体" w:hAnsi="宋体" w:cs="黑体" w:hint="eastAsia"/>
      <w:i w:val="0"/>
      <w:iCs w:val="0"/>
      <w:color w:val="000000"/>
      <w:sz w:val="20"/>
      <w:szCs w:val="20"/>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2258</Words>
  <Characters>12876</Characters>
  <Application>Microsoft Office Word</Application>
  <DocSecurity>0</DocSecurity>
  <PresentationFormat/>
  <Lines>107</Lines>
  <Paragraphs>30</Paragraphs>
  <Slides>0</Slides>
  <Notes>0</Notes>
  <HiddenSlides>0</HiddenSlides>
  <MMClips>0</MMClips>
  <ScaleCrop>false</ScaleCrop>
  <Company>MS User</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cp:lastPrinted>2023-09-19T07:28:00Z</cp:lastPrinted>
  <dcterms:created xsi:type="dcterms:W3CDTF">2023-10-30T09:05:00Z</dcterms:created>
  <dcterms:modified xsi:type="dcterms:W3CDTF">2023-10-30T09:05:00Z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706F530306D944DFB1C9D93CCFDB7FD3_13</vt:lpwstr>
  </property>
</Properties>
</file>