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w:t>
      </w:r>
      <w:r>
        <w:rPr>
          <w:rFonts w:hint="eastAsia" w:ascii="黑体" w:hAnsi="黑体" w:eastAsia="黑体" w:cs="黑体"/>
          <w:color w:val="auto"/>
          <w:sz w:val="52"/>
          <w:szCs w:val="52"/>
          <w:highlight w:val="none"/>
          <w:lang w:val="en-US" w:eastAsia="zh-CN"/>
        </w:rPr>
        <w:t>22</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许昌市中小学教师培训中心</w:t>
      </w:r>
      <w:r>
        <w:rPr>
          <w:rFonts w:hint="eastAsia"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w:t>
      </w: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lang w:eastAsia="zh-CN"/>
        </w:rPr>
        <w:t>三年</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lang w:eastAsia="zh-CN"/>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许昌市中小学教师培训中心概况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eastAsia="宋体" w:cs="宋体"/>
          <w:color w:val="auto"/>
          <w:sz w:val="32"/>
          <w:szCs w:val="32"/>
          <w:highlight w:val="none"/>
          <w:lang w:eastAsia="zh-CN"/>
        </w:rPr>
        <w:t>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22</w:t>
      </w:r>
      <w:r>
        <w:rPr>
          <w:rFonts w:hint="eastAsia" w:ascii="黑体" w:hAnsi="黑体" w:eastAsia="黑体" w:cs="黑体"/>
          <w:color w:val="auto"/>
          <w:sz w:val="32"/>
          <w:szCs w:val="32"/>
          <w:highlight w:val="none"/>
          <w:lang w:eastAsia="zh-CN"/>
        </w:rPr>
        <w:t>年度单位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七、政府性基金预算财政拨款收入支出决算表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八、国有</w:t>
      </w:r>
      <w:r>
        <w:rPr>
          <w:rFonts w:ascii="宋体" w:hAnsi="宋体" w:cs="黑体"/>
          <w:sz w:val="32"/>
          <w:szCs w:val="32"/>
          <w:highlight w:val="none"/>
        </w:rPr>
        <w:t>资本经营预算财政拨款</w:t>
      </w:r>
      <w:r>
        <w:rPr>
          <w:rFonts w:hint="eastAsia" w:ascii="宋体" w:hAnsi="宋体" w:cs="黑体"/>
          <w:sz w:val="32"/>
          <w:szCs w:val="32"/>
          <w:highlight w:val="none"/>
        </w:rPr>
        <w:t>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九、财政拨款“三公”经费支出决算表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22</w:t>
      </w:r>
      <w:r>
        <w:rPr>
          <w:rFonts w:hint="eastAsia" w:ascii="黑体" w:hAnsi="黑体" w:eastAsia="黑体" w:cs="黑体"/>
          <w:color w:val="auto"/>
          <w:sz w:val="32"/>
          <w:szCs w:val="32"/>
          <w:highlight w:val="none"/>
          <w:lang w:eastAsia="zh-CN"/>
        </w:rPr>
        <w:t>年度单位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七、政府性基金预算财政拨款支出决算情况说明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八、国有资本</w:t>
      </w:r>
      <w:r>
        <w:rPr>
          <w:rFonts w:ascii="宋体" w:hAnsi="宋体" w:cs="宋体"/>
          <w:sz w:val="32"/>
          <w:szCs w:val="32"/>
          <w:highlight w:val="none"/>
        </w:rPr>
        <w:t>经营</w:t>
      </w:r>
      <w:r>
        <w:rPr>
          <w:rFonts w:hint="eastAsia" w:ascii="宋体" w:hAnsi="宋体" w:cs="宋体"/>
          <w:sz w:val="32"/>
          <w:szCs w:val="32"/>
          <w:highlight w:val="none"/>
        </w:rPr>
        <w:t>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九、财政拨款“三公”经费支出决算情况说明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十一、政府采购支出情况说明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十二、国有资产占用情况说明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十三、预算绩效情况说明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Borders>
            <w:top w:val="none" w:sz="0" w:space="0"/>
            <w:left w:val="none" w:sz="0" w:space="0"/>
            <w:bottom w:val="none" w:sz="0" w:space="0"/>
            <w:right w:val="none" w:sz="0" w:space="0"/>
          </w:pgBorders>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许昌市中小学教师培训中心概况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highlight w:val="none"/>
        </w:rPr>
        <w:t>职责</w:t>
      </w:r>
    </w:p>
    <w:p>
      <w:pPr>
        <w:ind w:firstLine="435"/>
        <w:rPr>
          <w:rFonts w:hint="eastAsia" w:ascii="仿宋_GB2312" w:hAnsi="宋体" w:eastAsia="仿宋_GB2312" w:cs="宋体"/>
          <w:kern w:val="0"/>
          <w:sz w:val="32"/>
          <w:szCs w:val="32"/>
          <w:highlight w:val="none"/>
          <w:lang w:eastAsia="zh-CN"/>
        </w:rPr>
      </w:pPr>
      <w:r>
        <w:rPr>
          <w:rFonts w:hint="eastAsia" w:ascii="仿宋_GB2312" w:hAnsi="宋体" w:eastAsia="仿宋_GB2312"/>
          <w:sz w:val="32"/>
          <w:szCs w:val="32"/>
          <w:highlight w:val="none"/>
        </w:rPr>
        <w:t>许昌市中小学教师培训中心是具有独立法人资格的正科级事业单位，属许昌市教育局直属二级机构。主要职能是：负责中小学教师培训和继续教育工作。</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宋体" w:eastAsia="仿宋_GB2312"/>
          <w:sz w:val="32"/>
          <w:szCs w:val="32"/>
          <w:highlight w:val="none"/>
        </w:rPr>
        <w:t>许昌市中小学教师培训</w:t>
      </w:r>
      <w:r>
        <w:rPr>
          <w:rFonts w:hint="eastAsia" w:ascii="仿宋_GB2312" w:hAnsi="宋体" w:eastAsia="仿宋_GB2312" w:cs="仿宋_GB2312"/>
          <w:sz w:val="32"/>
          <w:szCs w:val="32"/>
          <w:highlight w:val="none"/>
        </w:rPr>
        <w:t>中心</w:t>
      </w:r>
      <w:r>
        <w:rPr>
          <w:rFonts w:hint="eastAsia" w:ascii="仿宋_GB2312" w:hAnsi="宋体" w:eastAsia="仿宋_GB2312" w:cs="仿宋_GB2312"/>
          <w:sz w:val="32"/>
          <w:szCs w:val="32"/>
          <w:highlight w:val="none"/>
          <w:lang w:eastAsia="zh-CN"/>
        </w:rPr>
        <w:t>内设机构</w:t>
      </w:r>
      <w:r>
        <w:rPr>
          <w:rFonts w:hint="eastAsia" w:ascii="仿宋_GB2312" w:hAnsi="宋体" w:eastAsia="仿宋_GB2312" w:cs="仿宋_GB2312"/>
          <w:sz w:val="32"/>
          <w:szCs w:val="32"/>
          <w:highlight w:val="none"/>
          <w:lang w:val="en-US" w:eastAsia="zh-CN"/>
        </w:rPr>
        <w:t>5</w:t>
      </w:r>
      <w:r>
        <w:rPr>
          <w:rFonts w:hint="eastAsia" w:ascii="仿宋_GB2312" w:hAnsi="仿宋_GB2312" w:eastAsia="仿宋_GB2312" w:cs="仿宋_GB2312"/>
          <w:kern w:val="0"/>
          <w:sz w:val="32"/>
          <w:szCs w:val="32"/>
          <w:highlight w:val="none"/>
        </w:rPr>
        <w:t>个，</w:t>
      </w:r>
      <w:r>
        <w:rPr>
          <w:rFonts w:hint="eastAsia" w:ascii="仿宋_GB2312" w:hAnsi="仿宋_GB2312" w:eastAsia="仿宋_GB2312" w:cs="仿宋_GB2312"/>
          <w:color w:val="auto"/>
          <w:kern w:val="0"/>
          <w:sz w:val="32"/>
          <w:szCs w:val="32"/>
          <w:highlight w:val="none"/>
          <w:lang w:val="en-US" w:eastAsia="zh-CN"/>
        </w:rPr>
        <w:t>包括：</w:t>
      </w:r>
      <w:r>
        <w:rPr>
          <w:rFonts w:hint="eastAsia" w:ascii="仿宋_GB2312" w:hAnsi="宋体" w:eastAsia="仿宋_GB2312" w:cs="仿宋_GB2312"/>
          <w:sz w:val="32"/>
          <w:szCs w:val="32"/>
          <w:highlight w:val="none"/>
        </w:rPr>
        <w:t>办公室、培训科、信息科、后勤</w:t>
      </w:r>
      <w:r>
        <w:rPr>
          <w:rFonts w:hint="eastAsia" w:ascii="仿宋_GB2312" w:hAnsi="宋体" w:eastAsia="仿宋_GB2312" w:cs="仿宋_GB2312"/>
          <w:sz w:val="32"/>
          <w:szCs w:val="32"/>
          <w:highlight w:val="none"/>
          <w:lang w:eastAsia="zh-CN"/>
        </w:rPr>
        <w:t>科</w:t>
      </w:r>
      <w:r>
        <w:rPr>
          <w:rFonts w:hint="eastAsia" w:ascii="仿宋_GB2312" w:hAnsi="宋体" w:eastAsia="仿宋_GB2312" w:cs="仿宋_GB2312"/>
          <w:sz w:val="32"/>
          <w:szCs w:val="32"/>
          <w:highlight w:val="none"/>
        </w:rPr>
        <w:t>、财务</w:t>
      </w:r>
      <w:r>
        <w:rPr>
          <w:rFonts w:hint="eastAsia" w:ascii="仿宋_GB2312" w:hAnsi="宋体" w:eastAsia="仿宋_GB2312" w:cs="仿宋_GB2312"/>
          <w:sz w:val="32"/>
          <w:szCs w:val="32"/>
          <w:highlight w:val="none"/>
          <w:lang w:eastAsia="zh-CN"/>
        </w:rPr>
        <w:t>科</w:t>
      </w:r>
      <w:r>
        <w:rPr>
          <w:rFonts w:hint="eastAsia" w:ascii="仿宋_GB2312" w:hAnsi="宋体" w:eastAsia="仿宋_GB2312" w:cs="仿宋_GB2312"/>
          <w:sz w:val="32"/>
          <w:szCs w:val="32"/>
          <w:highlight w:val="none"/>
        </w:rPr>
        <w:t>。</w:t>
      </w:r>
      <w:r>
        <w:rPr>
          <w:rFonts w:hint="eastAsia" w:ascii="仿宋_GB2312" w:hAnsi="宋体" w:eastAsia="仿宋_GB2312" w:cs="仿宋_GB2312"/>
          <w:sz w:val="32"/>
          <w:szCs w:val="32"/>
          <w:highlight w:val="none"/>
          <w:lang w:eastAsia="zh-CN"/>
        </w:rPr>
        <w:t>无</w:t>
      </w:r>
      <w:r>
        <w:rPr>
          <w:rFonts w:hint="eastAsia" w:ascii="仿宋_GB2312" w:hAnsi="仿宋_GB2312" w:eastAsia="仿宋_GB2312" w:cs="仿宋_GB2312"/>
          <w:color w:val="auto"/>
          <w:kern w:val="0"/>
          <w:sz w:val="32"/>
          <w:szCs w:val="32"/>
          <w:highlight w:val="none"/>
          <w:lang w:val="en-US" w:eastAsia="zh-CN"/>
        </w:rPr>
        <w:t>二级单位。</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从决算单位构成看，部门决算包括：本级决算。</w:t>
      </w:r>
    </w:p>
    <w:p>
      <w:pPr>
        <w:widowControl/>
        <w:ind w:firstLine="640" w:firstLineChars="200"/>
        <w:jc w:val="left"/>
        <w:rPr>
          <w:rFonts w:hint="eastAsia" w:ascii="黑体" w:hAnsi="宋体" w:eastAsia="黑体" w:cs="宋体"/>
          <w:kern w:val="0"/>
          <w:sz w:val="28"/>
          <w:szCs w:val="2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r>
        <w:rPr>
          <w:rFonts w:hint="eastAsia" w:ascii="仿宋_GB2312" w:hAnsi="宋体" w:eastAsia="仿宋_GB2312"/>
          <w:sz w:val="32"/>
          <w:szCs w:val="32"/>
          <w:highlight w:val="none"/>
        </w:rPr>
        <w:t>许昌市中小学教师培训</w:t>
      </w:r>
      <w:r>
        <w:rPr>
          <w:rFonts w:hint="eastAsia" w:ascii="仿宋_GB2312" w:hAnsi="宋体" w:eastAsia="仿宋_GB2312" w:cs="仿宋_GB2312"/>
          <w:sz w:val="32"/>
          <w:szCs w:val="32"/>
          <w:highlight w:val="none"/>
        </w:rPr>
        <w:t>中心</w:t>
      </w:r>
      <w:r>
        <w:rPr>
          <w:rFonts w:hint="eastAsia" w:ascii="黑体" w:hAnsi="宋体" w:eastAsia="黑体" w:cs="宋体"/>
          <w:kern w:val="0"/>
          <w:sz w:val="28"/>
          <w:szCs w:val="28"/>
          <w:highlight w:val="none"/>
        </w:rPr>
        <w:t>。</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22</w:t>
      </w:r>
      <w:r>
        <w:rPr>
          <w:rFonts w:hint="eastAsia" w:ascii="黑体" w:hAnsi="黑体" w:eastAsia="黑体" w:cs="黑体"/>
          <w:color w:val="auto"/>
          <w:sz w:val="48"/>
          <w:szCs w:val="48"/>
          <w:highlight w:val="none"/>
          <w:lang w:eastAsia="zh-CN"/>
        </w:rPr>
        <w:t>年度单位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8"/>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54"/>
        <w:gridCol w:w="835"/>
        <w:gridCol w:w="1115"/>
        <w:gridCol w:w="4475"/>
        <w:gridCol w:w="835"/>
        <w:gridCol w:w="2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单位：许昌市中小学教师培训中心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387.34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388.27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396.46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rPr>
          <w:rFonts w:hint="eastAsia" w:ascii="仿宋_GB2312" w:hAnsi="仿宋_GB2312" w:eastAsia="仿宋_GB2312" w:cs="仿宋_GB2312"/>
          <w:color w:val="auto"/>
          <w:sz w:val="32"/>
          <w:szCs w:val="32"/>
          <w:highlight w:val="none"/>
        </w:rPr>
      </w:pPr>
    </w:p>
    <w:tbl>
      <w:tblPr>
        <w:tblStyle w:val="8"/>
        <w:tblW w:w="139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8"/>
        <w:gridCol w:w="328"/>
        <w:gridCol w:w="331"/>
        <w:gridCol w:w="2474"/>
        <w:gridCol w:w="1282"/>
        <w:gridCol w:w="1282"/>
        <w:gridCol w:w="1030"/>
        <w:gridCol w:w="1030"/>
        <w:gridCol w:w="1030"/>
        <w:gridCol w:w="2159"/>
        <w:gridCol w:w="2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910"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28"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2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7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6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458" w:type="dxa"/>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单位：许昌市中小学教师培训中心</w:t>
            </w:r>
          </w:p>
        </w:tc>
        <w:tc>
          <w:tcPr>
            <w:tcW w:w="12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6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58"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82"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282"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03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03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03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2159"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2566"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474"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8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8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3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3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3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15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56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474"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28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8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3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3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3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15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56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474"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28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8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3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3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3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15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56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58"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8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8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3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3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3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5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566"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58"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388.27</w:t>
            </w:r>
          </w:p>
        </w:tc>
        <w:tc>
          <w:tcPr>
            <w:tcW w:w="12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387.34</w:t>
            </w:r>
          </w:p>
        </w:tc>
        <w:tc>
          <w:tcPr>
            <w:tcW w:w="95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5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5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21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256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2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387.34</w:t>
            </w:r>
          </w:p>
        </w:tc>
        <w:tc>
          <w:tcPr>
            <w:tcW w:w="1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387.34</w:t>
            </w:r>
          </w:p>
        </w:tc>
        <w:tc>
          <w:tcPr>
            <w:tcW w:w="9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w:t>
            </w:r>
          </w:p>
        </w:tc>
        <w:tc>
          <w:tcPr>
            <w:tcW w:w="2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职业教育</w:t>
            </w:r>
          </w:p>
        </w:tc>
        <w:tc>
          <w:tcPr>
            <w:tcW w:w="1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387.34</w:t>
            </w:r>
          </w:p>
        </w:tc>
        <w:tc>
          <w:tcPr>
            <w:tcW w:w="1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387.34</w:t>
            </w:r>
          </w:p>
        </w:tc>
        <w:tc>
          <w:tcPr>
            <w:tcW w:w="9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2050399</w:t>
            </w:r>
          </w:p>
        </w:tc>
        <w:tc>
          <w:tcPr>
            <w:tcW w:w="2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其他职业教育支出</w:t>
            </w:r>
          </w:p>
        </w:tc>
        <w:tc>
          <w:tcPr>
            <w:tcW w:w="1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387.34</w:t>
            </w:r>
          </w:p>
        </w:tc>
        <w:tc>
          <w:tcPr>
            <w:tcW w:w="1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387.34</w:t>
            </w:r>
          </w:p>
        </w:tc>
        <w:tc>
          <w:tcPr>
            <w:tcW w:w="9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2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0.93</w:t>
            </w:r>
          </w:p>
        </w:tc>
        <w:tc>
          <w:tcPr>
            <w:tcW w:w="1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2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0.93</w:t>
            </w:r>
          </w:p>
        </w:tc>
        <w:tc>
          <w:tcPr>
            <w:tcW w:w="1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2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0.93</w:t>
            </w:r>
          </w:p>
        </w:tc>
        <w:tc>
          <w:tcPr>
            <w:tcW w:w="1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4"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74"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4"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74"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4"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74"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4"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74"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5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10"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bl>
    <w:p>
      <w:pPr>
        <w:jc w:val="center"/>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tbl>
      <w:tblPr>
        <w:tblStyle w:val="8"/>
        <w:tblW w:w="136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9"/>
        <w:gridCol w:w="329"/>
        <w:gridCol w:w="329"/>
        <w:gridCol w:w="2466"/>
        <w:gridCol w:w="1941"/>
        <w:gridCol w:w="1609"/>
        <w:gridCol w:w="764"/>
        <w:gridCol w:w="1056"/>
        <w:gridCol w:w="2460"/>
        <w:gridCol w:w="2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636"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29"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4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0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1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5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453" w:type="dxa"/>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：许昌市中小学教师培训中心</w:t>
            </w:r>
          </w:p>
        </w:tc>
        <w:tc>
          <w:tcPr>
            <w:tcW w:w="194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0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1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5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53"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941"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609"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764"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056"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246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2353"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466"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41"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0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6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35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46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941"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0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6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35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46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941"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0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6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35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53"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941"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0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6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56"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6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5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53"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4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395.90</w:t>
            </w:r>
          </w:p>
        </w:tc>
        <w:tc>
          <w:tcPr>
            <w:tcW w:w="16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387.71</w:t>
            </w:r>
          </w:p>
        </w:tc>
        <w:tc>
          <w:tcPr>
            <w:tcW w:w="7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8.19</w:t>
            </w:r>
          </w:p>
        </w:tc>
        <w:tc>
          <w:tcPr>
            <w:tcW w:w="9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24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235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24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395.53</w:t>
            </w:r>
          </w:p>
        </w:tc>
        <w:tc>
          <w:tcPr>
            <w:tcW w:w="16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387.34</w:t>
            </w:r>
          </w:p>
        </w:tc>
        <w:tc>
          <w:tcPr>
            <w:tcW w:w="7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8.19</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24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8.19</w:t>
            </w:r>
          </w:p>
        </w:tc>
        <w:tc>
          <w:tcPr>
            <w:tcW w:w="16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8.19</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24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8.19</w:t>
            </w:r>
          </w:p>
        </w:tc>
        <w:tc>
          <w:tcPr>
            <w:tcW w:w="16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8.19</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w:t>
            </w:r>
          </w:p>
        </w:tc>
        <w:tc>
          <w:tcPr>
            <w:tcW w:w="24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职业教育</w:t>
            </w:r>
          </w:p>
        </w:tc>
        <w:tc>
          <w:tcPr>
            <w:tcW w:w="1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387.34</w:t>
            </w:r>
          </w:p>
        </w:tc>
        <w:tc>
          <w:tcPr>
            <w:tcW w:w="16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387.34</w:t>
            </w:r>
          </w:p>
        </w:tc>
        <w:tc>
          <w:tcPr>
            <w:tcW w:w="7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2050399</w:t>
            </w:r>
          </w:p>
        </w:tc>
        <w:tc>
          <w:tcPr>
            <w:tcW w:w="24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其他职业教育支出</w:t>
            </w:r>
          </w:p>
        </w:tc>
        <w:tc>
          <w:tcPr>
            <w:tcW w:w="1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387.34</w:t>
            </w:r>
          </w:p>
        </w:tc>
        <w:tc>
          <w:tcPr>
            <w:tcW w:w="16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387.34</w:t>
            </w:r>
          </w:p>
        </w:tc>
        <w:tc>
          <w:tcPr>
            <w:tcW w:w="7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24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w:t>
            </w:r>
          </w:p>
        </w:tc>
        <w:tc>
          <w:tcPr>
            <w:tcW w:w="16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w:t>
            </w:r>
          </w:p>
        </w:tc>
        <w:tc>
          <w:tcPr>
            <w:tcW w:w="7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24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w:t>
            </w:r>
          </w:p>
        </w:tc>
        <w:tc>
          <w:tcPr>
            <w:tcW w:w="16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w:t>
            </w:r>
          </w:p>
        </w:tc>
        <w:tc>
          <w:tcPr>
            <w:tcW w:w="7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24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w:t>
            </w:r>
          </w:p>
        </w:tc>
        <w:tc>
          <w:tcPr>
            <w:tcW w:w="16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w:t>
            </w:r>
          </w:p>
        </w:tc>
        <w:tc>
          <w:tcPr>
            <w:tcW w:w="7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6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9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0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4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6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9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0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4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6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9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0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4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50"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bl>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tbl>
      <w:tblPr>
        <w:tblStyle w:val="8"/>
        <w:tblW w:w="141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69"/>
        <w:gridCol w:w="546"/>
        <w:gridCol w:w="1217"/>
        <w:gridCol w:w="3019"/>
        <w:gridCol w:w="591"/>
        <w:gridCol w:w="865"/>
        <w:gridCol w:w="1376"/>
        <w:gridCol w:w="1059"/>
        <w:gridCol w:w="1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107"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669"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54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1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6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432" w:type="dxa"/>
            <w:gridSpan w:val="3"/>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单位：许昌市中小学教师培训中心</w:t>
            </w:r>
          </w:p>
        </w:tc>
        <w:tc>
          <w:tcPr>
            <w:tcW w:w="30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6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32"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675" w:type="dxa"/>
            <w:gridSpan w:val="6"/>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3669" w:type="dxa"/>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4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17"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019"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91"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865"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7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059"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76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669"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54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1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01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59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65"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37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5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76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46" w:type="dxa"/>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91" w:type="dxa"/>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86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7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6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387.34</w:t>
            </w: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1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1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395.53</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395.53</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b/>
                <w:bCs/>
                <w:i w:val="0"/>
                <w:iCs w:val="0"/>
                <w:color w:val="000000"/>
                <w:sz w:val="20"/>
                <w:szCs w:val="20"/>
                <w:u w:val="none"/>
              </w:rPr>
            </w:pP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1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387.34</w:t>
            </w: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395.53</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395.53</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1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8.19</w:t>
            </w: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1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8.19</w:t>
            </w:r>
          </w:p>
        </w:tc>
        <w:tc>
          <w:tcPr>
            <w:tcW w:w="3019"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8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1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9"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8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1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19"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8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3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5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7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69"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1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395.53</w:t>
            </w:r>
          </w:p>
        </w:tc>
        <w:tc>
          <w:tcPr>
            <w:tcW w:w="30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9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8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395.53</w:t>
            </w:r>
          </w:p>
        </w:tc>
        <w:tc>
          <w:tcPr>
            <w:tcW w:w="13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395.53</w:t>
            </w:r>
          </w:p>
        </w:tc>
        <w:tc>
          <w:tcPr>
            <w:tcW w:w="105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107"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tbl>
      <w:tblPr>
        <w:tblStyle w:val="8"/>
        <w:tblW w:w="1319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
        <w:gridCol w:w="329"/>
        <w:gridCol w:w="329"/>
        <w:gridCol w:w="2469"/>
        <w:gridCol w:w="4119"/>
        <w:gridCol w:w="3024"/>
        <w:gridCol w:w="3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194"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8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91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单位：许昌市中小学教师培训中心</w:t>
            </w:r>
          </w:p>
        </w:tc>
        <w:tc>
          <w:tcPr>
            <w:tcW w:w="39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8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91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738"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934"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888"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91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987"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393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88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91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393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88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91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93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9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93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395.53</w:t>
            </w:r>
          </w:p>
        </w:tc>
        <w:tc>
          <w:tcPr>
            <w:tcW w:w="288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387.34</w:t>
            </w:r>
          </w:p>
        </w:tc>
        <w:tc>
          <w:tcPr>
            <w:tcW w:w="29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39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395.53</w:t>
            </w:r>
          </w:p>
        </w:tc>
        <w:tc>
          <w:tcPr>
            <w:tcW w:w="2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387.34</w:t>
            </w:r>
          </w:p>
        </w:tc>
        <w:tc>
          <w:tcPr>
            <w:tcW w:w="29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39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8.19</w:t>
            </w:r>
          </w:p>
        </w:tc>
        <w:tc>
          <w:tcPr>
            <w:tcW w:w="2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39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8.19</w:t>
            </w:r>
          </w:p>
        </w:tc>
        <w:tc>
          <w:tcPr>
            <w:tcW w:w="2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职业教育</w:t>
            </w:r>
          </w:p>
        </w:tc>
        <w:tc>
          <w:tcPr>
            <w:tcW w:w="39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387.34</w:t>
            </w:r>
          </w:p>
        </w:tc>
        <w:tc>
          <w:tcPr>
            <w:tcW w:w="2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387.34</w:t>
            </w:r>
          </w:p>
        </w:tc>
        <w:tc>
          <w:tcPr>
            <w:tcW w:w="29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其他职业教育支出</w:t>
            </w:r>
          </w:p>
        </w:tc>
        <w:tc>
          <w:tcPr>
            <w:tcW w:w="39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387.34</w:t>
            </w:r>
          </w:p>
        </w:tc>
        <w:tc>
          <w:tcPr>
            <w:tcW w:w="28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387.34</w:t>
            </w:r>
          </w:p>
        </w:tc>
        <w:tc>
          <w:tcPr>
            <w:tcW w:w="29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9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9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9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9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94"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注：本表反映部门本年度一般公共预算财政拨款支出情况。本套报表金额单位转换时可能存在尾数误差。</w:t>
            </w:r>
          </w:p>
        </w:tc>
      </w:tr>
    </w:tbl>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tbl>
      <w:tblPr>
        <w:tblStyle w:val="8"/>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3153"/>
        <w:gridCol w:w="803"/>
        <w:gridCol w:w="705"/>
        <w:gridCol w:w="2174"/>
        <w:gridCol w:w="803"/>
        <w:gridCol w:w="705"/>
        <w:gridCol w:w="3083"/>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721"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24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2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2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7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0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790" w:type="dxa"/>
            <w:gridSpan w:val="3"/>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单位：许昌市中小学教师培训中心</w:t>
            </w:r>
          </w:p>
        </w:tc>
        <w:tc>
          <w:tcPr>
            <w:tcW w:w="72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2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7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0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90"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291" w:type="dxa"/>
            <w:gridSpan w:val="6"/>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96" w:type="dxa"/>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09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92"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69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13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92"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69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174"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004"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96"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09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92"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9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13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92"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9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17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00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173.46</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67.06</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8.43</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31.48</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16.53</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0.53</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0.64</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19.38</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12.69</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6.85</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6.85</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173.52</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17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24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0.59</w:t>
            </w:r>
          </w:p>
        </w:tc>
        <w:tc>
          <w:tcPr>
            <w:tcW w:w="721"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174"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1"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247"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82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72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23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1"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174"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0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68" w:type="dxa"/>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8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180.31</w:t>
            </w:r>
          </w:p>
        </w:tc>
        <w:tc>
          <w:tcPr>
            <w:tcW w:w="7494" w:type="dxa"/>
            <w:gridSpan w:val="5"/>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200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tbl>
      <w:tblPr>
        <w:tblStyle w:val="8"/>
        <w:tblW w:w="137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3"/>
        <w:gridCol w:w="393"/>
        <w:gridCol w:w="429"/>
        <w:gridCol w:w="2286"/>
        <w:gridCol w:w="2120"/>
        <w:gridCol w:w="2115"/>
        <w:gridCol w:w="1377"/>
        <w:gridCol w:w="1150"/>
        <w:gridCol w:w="825"/>
        <w:gridCol w:w="2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93"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93"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9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8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7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0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501" w:type="dxa"/>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单位：许昌市中小学教师培训中心</w:t>
            </w:r>
          </w:p>
        </w:tc>
        <w:tc>
          <w:tcPr>
            <w:tcW w:w="21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7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0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01"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12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211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352"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270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286"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12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11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377"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5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82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70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28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212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11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37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70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28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212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11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37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70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01"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1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1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2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70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01"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37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27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2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2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2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2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2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2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93"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说明：我部门没有政府性基金收入，也没有使用政府性基金安排的支出，故本表无数据。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93"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bl>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bookmarkStart w:id="0" w:name="_GoBack"/>
      <w:bookmarkEnd w:id="0"/>
    </w:p>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tbl>
      <w:tblPr>
        <w:tblStyle w:val="8"/>
        <w:tblW w:w="135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2"/>
        <w:gridCol w:w="222"/>
        <w:gridCol w:w="222"/>
        <w:gridCol w:w="3522"/>
        <w:gridCol w:w="3354"/>
        <w:gridCol w:w="1641"/>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577"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22"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4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9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188" w:type="dxa"/>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单位：许昌市中小学教师培训中心</w:t>
            </w:r>
          </w:p>
        </w:tc>
        <w:tc>
          <w:tcPr>
            <w:tcW w:w="33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4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9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88"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389"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66"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522"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354"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41"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394"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66"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522"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335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4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39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66"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522"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335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4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39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88"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35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3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88"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3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64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43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22"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3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22"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3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22"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3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22"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3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22"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3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522"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3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577"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3577" w:type="dxa"/>
            <w:gridSpan w:val="7"/>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说明：我单位没有国有资本经营预算收入，也没有使用国有资本经营预算安排的支出，故本表无数据。</w:t>
            </w:r>
          </w:p>
        </w:tc>
      </w:tr>
    </w:tbl>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tbl>
      <w:tblPr>
        <w:tblStyle w:val="8"/>
        <w:tblW w:w="143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88"/>
        <w:gridCol w:w="1230"/>
        <w:gridCol w:w="1188"/>
        <w:gridCol w:w="1188"/>
        <w:gridCol w:w="1188"/>
        <w:gridCol w:w="872"/>
        <w:gridCol w:w="1041"/>
        <w:gridCol w:w="1235"/>
        <w:gridCol w:w="1112"/>
        <w:gridCol w:w="1271"/>
        <w:gridCol w:w="1164"/>
        <w:gridCol w:w="1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4336"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188"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2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4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606" w:type="dxa"/>
            <w:gridSpan w:val="3"/>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单位：许昌市中小学教师培训中心</w:t>
            </w:r>
          </w:p>
        </w:tc>
        <w:tc>
          <w:tcPr>
            <w:tcW w:w="11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4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85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482" w:type="dxa"/>
            <w:gridSpan w:val="6"/>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88" w:type="dxa"/>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3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564" w:type="dxa"/>
            <w:gridSpan w:val="3"/>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872"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041"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3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547" w:type="dxa"/>
            <w:gridSpan w:val="3"/>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659"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188"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8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8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872"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4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3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1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71"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6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65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88"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8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7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41"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3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1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71"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6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5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2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2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4336"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本表金额转换为万元时，因四舍五入可能存在尾差。</w:t>
            </w:r>
          </w:p>
        </w:tc>
      </w:tr>
    </w:tbl>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pPr>
    </w:p>
    <w:p>
      <w:pPr>
        <w:jc w:val="both"/>
        <w:outlineLvl w:val="9"/>
        <w:rPr>
          <w:rFonts w:hint="eastAsia" w:ascii="仿宋_GB2312" w:hAnsi="仿宋_GB2312" w:eastAsia="仿宋_GB2312" w:cs="仿宋_GB2312"/>
          <w:color w:val="auto"/>
          <w:sz w:val="32"/>
          <w:szCs w:val="32"/>
          <w:highlight w:val="none"/>
          <w:lang w:val="en-US" w:eastAsia="zh-CN"/>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22</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autoSpaceDE w:val="0"/>
        <w:autoSpaceDN w:val="0"/>
        <w:adjustRightInd w:val="0"/>
        <w:spacing w:line="590" w:lineRule="exact"/>
        <w:ind w:firstLine="640"/>
        <w:rPr>
          <w:rFonts w:ascii="Times New Roman" w:hAnsi="Times New Roman" w:eastAsia="仿宋_GB2312" w:cs="Times New Roman"/>
          <w:kern w:val="0"/>
          <w:sz w:val="18"/>
          <w:szCs w:val="18"/>
          <w:lang w:val="zh-CN"/>
        </w:rPr>
      </w:pPr>
      <w:r>
        <w:rPr>
          <w:rFonts w:ascii="仿宋_GB2312" w:hAnsi="Times New Roman" w:eastAsia="仿宋_GB2312" w:cs="仿宋_GB2312"/>
          <w:sz w:val="32"/>
          <w:szCs w:val="32"/>
        </w:rPr>
        <w:t>2022</w:t>
      </w:r>
      <w:r>
        <w:rPr>
          <w:rFonts w:hint="eastAsia" w:ascii="仿宋_GB2312" w:hAnsi="Times New Roman" w:eastAsia="仿宋_GB2312" w:cs="仿宋_GB2312"/>
          <w:sz w:val="32"/>
          <w:szCs w:val="32"/>
        </w:rPr>
        <w:t>年度收、支总计均为</w:t>
      </w:r>
      <w:r>
        <w:rPr>
          <w:rFonts w:ascii="仿宋_GB2312" w:hAnsi="Times New Roman" w:eastAsia="仿宋_GB2312" w:cs="仿宋_GB2312"/>
          <w:sz w:val="32"/>
          <w:szCs w:val="32"/>
        </w:rPr>
        <w:t>396.46</w:t>
      </w:r>
      <w:r>
        <w:rPr>
          <w:rFonts w:hint="eastAsia" w:ascii="仿宋_GB2312" w:hAnsi="Times New Roman" w:eastAsia="仿宋_GB2312" w:cs="仿宋_GB2312"/>
          <w:sz w:val="32"/>
          <w:szCs w:val="32"/>
        </w:rPr>
        <w:t>万元。与上年度相比，收、支总计各增加</w:t>
      </w:r>
      <w:r>
        <w:rPr>
          <w:rFonts w:ascii="仿宋_GB2312" w:hAnsi="Times New Roman" w:eastAsia="仿宋_GB2312" w:cs="仿宋_GB2312"/>
          <w:sz w:val="32"/>
          <w:szCs w:val="32"/>
        </w:rPr>
        <w:t>77.04</w:t>
      </w:r>
      <w:r>
        <w:rPr>
          <w:rFonts w:hint="eastAsia" w:ascii="仿宋_GB2312" w:hAnsi="Times New Roman" w:eastAsia="仿宋_GB2312" w:cs="仿宋_GB2312"/>
          <w:sz w:val="32"/>
          <w:szCs w:val="32"/>
        </w:rPr>
        <w:t>万元，增长</w:t>
      </w:r>
      <w:r>
        <w:rPr>
          <w:rFonts w:ascii="仿宋_GB2312" w:hAnsi="Times New Roman" w:eastAsia="仿宋_GB2312" w:cs="仿宋_GB2312"/>
          <w:sz w:val="32"/>
          <w:szCs w:val="32"/>
        </w:rPr>
        <w:t>24.12%</w:t>
      </w:r>
      <w:r>
        <w:rPr>
          <w:rFonts w:hint="eastAsia" w:ascii="仿宋_GB2312" w:hAnsi="Times New Roman" w:eastAsia="仿宋_GB2312" w:cs="仿宋_GB2312"/>
          <w:sz w:val="32"/>
          <w:szCs w:val="32"/>
        </w:rPr>
        <w:t>。主要原因是教师培训平台使用费和课程资源费增加。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Times New Roman" w:eastAsia="仿宋_GB2312" w:cs="仿宋_GB2312"/>
          <w:sz w:val="32"/>
          <w:szCs w:val="32"/>
        </w:rPr>
      </w:pPr>
      <w:r>
        <w:rPr>
          <w:rFonts w:ascii="仿宋_GB2312" w:hAnsi="Times New Roman" w:eastAsia="仿宋_GB2312" w:cs="仿宋_GB2312"/>
          <w:sz w:val="32"/>
          <w:szCs w:val="32"/>
        </w:rPr>
        <w:t>2022</w:t>
      </w:r>
      <w:r>
        <w:rPr>
          <w:rFonts w:hint="eastAsia" w:ascii="仿宋_GB2312" w:hAnsi="Times New Roman" w:eastAsia="仿宋_GB2312" w:cs="仿宋_GB2312"/>
          <w:sz w:val="32"/>
          <w:szCs w:val="32"/>
        </w:rPr>
        <w:t>年度收入合计</w:t>
      </w:r>
      <w:r>
        <w:rPr>
          <w:rFonts w:ascii="仿宋_GB2312" w:hAnsi="Times New Roman" w:eastAsia="仿宋_GB2312" w:cs="仿宋_GB2312"/>
          <w:sz w:val="32"/>
          <w:szCs w:val="32"/>
        </w:rPr>
        <w:t>388.27</w:t>
      </w:r>
      <w:r>
        <w:rPr>
          <w:rFonts w:hint="eastAsia" w:ascii="仿宋_GB2312" w:hAnsi="Times New Roman" w:eastAsia="仿宋_GB2312" w:cs="仿宋_GB2312"/>
          <w:sz w:val="32"/>
          <w:szCs w:val="32"/>
        </w:rPr>
        <w:t>万元，其中：财政拨款收入</w:t>
      </w:r>
      <w:r>
        <w:rPr>
          <w:rFonts w:ascii="仿宋_GB2312" w:hAnsi="Times New Roman" w:eastAsia="仿宋_GB2312" w:cs="仿宋_GB2312"/>
          <w:sz w:val="32"/>
          <w:szCs w:val="32"/>
        </w:rPr>
        <w:t>387.34</w:t>
      </w:r>
      <w:r>
        <w:rPr>
          <w:rFonts w:hint="eastAsia" w:ascii="仿宋_GB2312" w:hAnsi="Times New Roman" w:eastAsia="仿宋_GB2312" w:cs="仿宋_GB2312"/>
          <w:sz w:val="32"/>
          <w:szCs w:val="32"/>
        </w:rPr>
        <w:t>万元，占</w:t>
      </w:r>
      <w:r>
        <w:rPr>
          <w:rFonts w:ascii="仿宋_GB2312" w:hAnsi="Times New Roman" w:eastAsia="仿宋_GB2312" w:cs="仿宋_GB2312"/>
          <w:sz w:val="32"/>
          <w:szCs w:val="32"/>
        </w:rPr>
        <w:t>99.76%</w:t>
      </w:r>
      <w:r>
        <w:rPr>
          <w:rFonts w:hint="eastAsia" w:ascii="仿宋_GB2312" w:hAnsi="Times New Roman" w:eastAsia="仿宋_GB2312" w:cs="仿宋_GB2312"/>
          <w:sz w:val="32"/>
          <w:szCs w:val="32"/>
        </w:rPr>
        <w:t>；上级补助收入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；事业收入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；经营收入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；附属单位上缴收入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；其他收入</w:t>
      </w:r>
      <w:r>
        <w:rPr>
          <w:rFonts w:ascii="仿宋_GB2312" w:hAnsi="Times New Roman" w:eastAsia="仿宋_GB2312" w:cs="仿宋_GB2312"/>
          <w:sz w:val="32"/>
          <w:szCs w:val="32"/>
        </w:rPr>
        <w:t>0.93</w:t>
      </w:r>
      <w:r>
        <w:rPr>
          <w:rFonts w:hint="eastAsia" w:ascii="仿宋_GB2312" w:hAnsi="Times New Roman" w:eastAsia="仿宋_GB2312" w:cs="仿宋_GB2312"/>
          <w:sz w:val="32"/>
          <w:szCs w:val="32"/>
        </w:rPr>
        <w:t>万元，占</w:t>
      </w:r>
      <w:r>
        <w:rPr>
          <w:rFonts w:ascii="仿宋_GB2312" w:hAnsi="Times New Roman" w:eastAsia="仿宋_GB2312" w:cs="仿宋_GB2312"/>
          <w:sz w:val="32"/>
          <w:szCs w:val="32"/>
        </w:rPr>
        <w:t>0.24%</w:t>
      </w:r>
      <w:r>
        <w:rPr>
          <w:rFonts w:hint="eastAsia" w:ascii="仿宋_GB2312" w:hAnsi="Times New Roman"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autoSpaceDE w:val="0"/>
        <w:autoSpaceDN w:val="0"/>
        <w:adjustRightInd w:val="0"/>
        <w:spacing w:line="590" w:lineRule="exact"/>
        <w:ind w:firstLine="640"/>
        <w:rPr>
          <w:rFonts w:ascii="Times New Roman" w:hAnsi="Times New Roman" w:eastAsia="仿宋_GB2312" w:cs="Times New Roman"/>
          <w:kern w:val="0"/>
          <w:sz w:val="18"/>
          <w:szCs w:val="18"/>
          <w:lang w:val="zh-CN"/>
        </w:rPr>
      </w:pPr>
      <w:r>
        <w:rPr>
          <w:rFonts w:ascii="仿宋_GB2312" w:hAnsi="Times New Roman" w:eastAsia="仿宋_GB2312" w:cs="仿宋_GB2312"/>
          <w:sz w:val="32"/>
          <w:szCs w:val="32"/>
        </w:rPr>
        <w:t>2022</w:t>
      </w:r>
      <w:r>
        <w:rPr>
          <w:rFonts w:hint="eastAsia" w:ascii="仿宋_GB2312" w:hAnsi="Times New Roman" w:eastAsia="仿宋_GB2312" w:cs="仿宋_GB2312"/>
          <w:sz w:val="32"/>
          <w:szCs w:val="32"/>
        </w:rPr>
        <w:t>年度支出合计</w:t>
      </w:r>
      <w:r>
        <w:rPr>
          <w:rFonts w:ascii="仿宋_GB2312" w:hAnsi="Times New Roman" w:eastAsia="仿宋_GB2312" w:cs="仿宋_GB2312"/>
          <w:sz w:val="32"/>
          <w:szCs w:val="32"/>
        </w:rPr>
        <w:t>395.9</w:t>
      </w:r>
      <w:r>
        <w:rPr>
          <w:rFonts w:hint="eastAsia" w:ascii="仿宋_GB2312" w:hAnsi="Times New Roman" w:eastAsia="仿宋_GB2312" w:cs="仿宋_GB2312"/>
          <w:sz w:val="32"/>
          <w:szCs w:val="32"/>
        </w:rPr>
        <w:t>万元，其中：基本支出</w:t>
      </w:r>
      <w:r>
        <w:rPr>
          <w:rFonts w:ascii="仿宋_GB2312" w:hAnsi="Times New Roman" w:eastAsia="仿宋_GB2312" w:cs="仿宋_GB2312"/>
          <w:sz w:val="32"/>
          <w:szCs w:val="32"/>
        </w:rPr>
        <w:t>387.71</w:t>
      </w:r>
      <w:r>
        <w:rPr>
          <w:rFonts w:hint="eastAsia" w:ascii="仿宋_GB2312" w:hAnsi="Times New Roman" w:eastAsia="仿宋_GB2312" w:cs="仿宋_GB2312"/>
          <w:sz w:val="32"/>
          <w:szCs w:val="32"/>
        </w:rPr>
        <w:t>万元，占</w:t>
      </w:r>
      <w:r>
        <w:rPr>
          <w:rFonts w:ascii="仿宋_GB2312" w:hAnsi="Times New Roman" w:eastAsia="仿宋_GB2312" w:cs="仿宋_GB2312"/>
          <w:sz w:val="32"/>
          <w:szCs w:val="32"/>
        </w:rPr>
        <w:t>97.93%</w:t>
      </w:r>
      <w:r>
        <w:rPr>
          <w:rFonts w:hint="eastAsia" w:ascii="仿宋_GB2312" w:hAnsi="Times New Roman" w:eastAsia="仿宋_GB2312" w:cs="仿宋_GB2312"/>
          <w:sz w:val="32"/>
          <w:szCs w:val="32"/>
        </w:rPr>
        <w:t>；项目支出</w:t>
      </w:r>
      <w:r>
        <w:rPr>
          <w:rFonts w:ascii="仿宋_GB2312" w:hAnsi="Times New Roman" w:eastAsia="仿宋_GB2312" w:cs="仿宋_GB2312"/>
          <w:sz w:val="32"/>
          <w:szCs w:val="32"/>
        </w:rPr>
        <w:t>8.19</w:t>
      </w:r>
      <w:r>
        <w:rPr>
          <w:rFonts w:hint="eastAsia" w:ascii="仿宋_GB2312" w:hAnsi="Times New Roman" w:eastAsia="仿宋_GB2312" w:cs="仿宋_GB2312"/>
          <w:sz w:val="32"/>
          <w:szCs w:val="32"/>
        </w:rPr>
        <w:t>万元，占</w:t>
      </w:r>
      <w:r>
        <w:rPr>
          <w:rFonts w:ascii="仿宋_GB2312" w:hAnsi="Times New Roman" w:eastAsia="仿宋_GB2312" w:cs="仿宋_GB2312"/>
          <w:sz w:val="32"/>
          <w:szCs w:val="32"/>
        </w:rPr>
        <w:t>2.07%</w:t>
      </w:r>
      <w:r>
        <w:rPr>
          <w:rFonts w:hint="eastAsia" w:ascii="仿宋_GB2312" w:hAnsi="Times New Roman" w:eastAsia="仿宋_GB2312" w:cs="仿宋_GB2312"/>
          <w:sz w:val="32"/>
          <w:szCs w:val="32"/>
        </w:rPr>
        <w:t>；上缴上级支出</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；经营支出</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；对附属单位补助支出</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Times New Roman" w:eastAsia="仿宋_GB2312" w:cs="仿宋_GB2312"/>
          <w:sz w:val="32"/>
          <w:szCs w:val="32"/>
        </w:rPr>
        <w:t>2022</w:t>
      </w:r>
      <w:r>
        <w:rPr>
          <w:rFonts w:hint="eastAsia" w:ascii="仿宋_GB2312" w:hAnsi="Times New Roman" w:eastAsia="仿宋_GB2312" w:cs="仿宋_GB2312"/>
          <w:sz w:val="32"/>
          <w:szCs w:val="32"/>
        </w:rPr>
        <w:t>年度财政拨款收、支总计均为</w:t>
      </w:r>
      <w:r>
        <w:rPr>
          <w:rFonts w:ascii="仿宋_GB2312" w:hAnsi="Times New Roman" w:eastAsia="仿宋_GB2312" w:cs="仿宋_GB2312"/>
          <w:sz w:val="32"/>
          <w:szCs w:val="32"/>
        </w:rPr>
        <w:t>395.53</w:t>
      </w:r>
      <w:r>
        <w:rPr>
          <w:rFonts w:hint="eastAsia" w:ascii="仿宋_GB2312" w:hAnsi="Times New Roman" w:eastAsia="仿宋_GB2312" w:cs="仿宋_GB2312"/>
          <w:sz w:val="32"/>
          <w:szCs w:val="32"/>
        </w:rPr>
        <w:t>万元。与上年度相比，财政拨款收、支总计各增加</w:t>
      </w:r>
      <w:r>
        <w:rPr>
          <w:rFonts w:ascii="仿宋_GB2312" w:hAnsi="Times New Roman" w:eastAsia="仿宋_GB2312" w:cs="仿宋_GB2312"/>
          <w:sz w:val="32"/>
          <w:szCs w:val="32"/>
        </w:rPr>
        <w:t>87.43</w:t>
      </w:r>
      <w:r>
        <w:rPr>
          <w:rFonts w:hint="eastAsia" w:ascii="仿宋_GB2312" w:hAnsi="Times New Roman" w:eastAsia="仿宋_GB2312" w:cs="仿宋_GB2312"/>
          <w:sz w:val="32"/>
          <w:szCs w:val="32"/>
        </w:rPr>
        <w:t>万元，增长</w:t>
      </w:r>
      <w:r>
        <w:rPr>
          <w:rFonts w:ascii="仿宋_GB2312" w:hAnsi="Times New Roman" w:eastAsia="仿宋_GB2312" w:cs="仿宋_GB2312"/>
          <w:sz w:val="32"/>
          <w:szCs w:val="32"/>
        </w:rPr>
        <w:t>28.38%</w:t>
      </w:r>
      <w:r>
        <w:rPr>
          <w:rFonts w:hint="eastAsia" w:ascii="仿宋_GB2312" w:hAnsi="Times New Roman" w:eastAsia="仿宋_GB2312" w:cs="仿宋_GB2312"/>
          <w:sz w:val="32"/>
          <w:szCs w:val="32"/>
        </w:rPr>
        <w:t>。主要原因是教师培训平台使用费和课程资源费增加。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2022年度一般公共预算财政拨款支出395.53万元，占支出合计的99.91%。与上年度相比，一般公共预算财政拨款支出增加（减少）87.43万元，增长（下降）28.38%。主要原因是教师培训平台使用费和课程资源费增加。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eastAsia="仿宋_GB2312" w:cs="仿宋_GB2312"/>
          <w:sz w:val="32"/>
          <w:szCs w:val="32"/>
          <w:lang w:val="en-US" w:eastAsia="zh-CN"/>
        </w:rPr>
      </w:pPr>
      <w:r>
        <w:rPr>
          <w:rFonts w:ascii="仿宋_GB2312" w:hAnsi="Times New Roman" w:eastAsia="仿宋_GB2312" w:cs="仿宋_GB2312"/>
          <w:sz w:val="32"/>
          <w:szCs w:val="32"/>
        </w:rPr>
        <w:t>2022</w:t>
      </w:r>
      <w:r>
        <w:rPr>
          <w:rFonts w:hint="eastAsia" w:ascii="仿宋_GB2312" w:hAnsi="Times New Roman" w:eastAsia="仿宋_GB2312" w:cs="仿宋_GB2312"/>
          <w:sz w:val="32"/>
          <w:szCs w:val="32"/>
        </w:rPr>
        <w:t>年度一般公共预算财政拨款支出</w:t>
      </w:r>
      <w:r>
        <w:rPr>
          <w:rFonts w:ascii="仿宋_GB2312" w:hAnsi="Times New Roman" w:eastAsia="仿宋_GB2312" w:cs="仿宋_GB2312"/>
          <w:sz w:val="32"/>
          <w:szCs w:val="32"/>
        </w:rPr>
        <w:t>395.53</w:t>
      </w:r>
      <w:r>
        <w:rPr>
          <w:rFonts w:hint="eastAsia" w:ascii="仿宋_GB2312" w:hAnsi="Times New Roman" w:eastAsia="仿宋_GB2312" w:cs="仿宋_GB2312"/>
          <w:sz w:val="32"/>
          <w:szCs w:val="32"/>
        </w:rPr>
        <w:t>万元，主要用于以下方面：一般公共服务（类）支出395.53万元，占100</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w:t>
      </w:r>
      <w:r>
        <w:rPr>
          <w:rFonts w:hint="eastAsia" w:ascii="仿宋_GB2312" w:eastAsia="仿宋_GB2312" w:cs="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autoSpaceDE w:val="0"/>
        <w:autoSpaceDN w:val="0"/>
        <w:adjustRightInd w:val="0"/>
        <w:spacing w:line="590" w:lineRule="exact"/>
        <w:ind w:firstLine="640"/>
        <w:rPr>
          <w:rFonts w:ascii="Times New Roman" w:hAnsi="Times New Roman" w:eastAsia="仿宋_GB2312" w:cs="Times New Roman"/>
          <w:sz w:val="32"/>
          <w:szCs w:val="32"/>
        </w:rPr>
      </w:pPr>
      <w:r>
        <w:rPr>
          <w:rFonts w:ascii="仿宋_GB2312" w:hAnsi="Times New Roman" w:eastAsia="仿宋_GB2312" w:cs="仿宋_GB2312"/>
          <w:sz w:val="32"/>
          <w:szCs w:val="32"/>
        </w:rPr>
        <w:t>2022</w:t>
      </w:r>
      <w:r>
        <w:rPr>
          <w:rFonts w:hint="eastAsia" w:ascii="仿宋_GB2312" w:hAnsi="Times New Roman" w:eastAsia="仿宋_GB2312" w:cs="仿宋_GB2312"/>
          <w:sz w:val="32"/>
          <w:szCs w:val="32"/>
        </w:rPr>
        <w:t>年度一般公共预算财政拨款支出年初预算为</w:t>
      </w:r>
      <w:r>
        <w:rPr>
          <w:rFonts w:ascii="仿宋_GB2312" w:hAnsi="Times New Roman" w:eastAsia="仿宋_GB2312" w:cs="仿宋_GB2312"/>
          <w:sz w:val="32"/>
          <w:szCs w:val="32"/>
        </w:rPr>
        <w:t>606.56</w:t>
      </w:r>
      <w:r>
        <w:rPr>
          <w:rFonts w:hint="eastAsia" w:ascii="仿宋_GB2312" w:hAnsi="Times New Roman" w:eastAsia="仿宋_GB2312" w:cs="仿宋_GB2312"/>
          <w:sz w:val="32"/>
          <w:szCs w:val="32"/>
        </w:rPr>
        <w:t>万元，支出决算为</w:t>
      </w:r>
      <w:r>
        <w:rPr>
          <w:rFonts w:ascii="仿宋_GB2312" w:hAnsi="Times New Roman" w:eastAsia="仿宋_GB2312" w:cs="仿宋_GB2312"/>
          <w:sz w:val="32"/>
          <w:szCs w:val="32"/>
        </w:rPr>
        <w:t>395.53</w:t>
      </w:r>
      <w:r>
        <w:rPr>
          <w:rFonts w:hint="eastAsia" w:ascii="仿宋_GB2312" w:hAnsi="Times New Roman" w:eastAsia="仿宋_GB2312" w:cs="仿宋_GB2312"/>
          <w:sz w:val="32"/>
          <w:szCs w:val="32"/>
        </w:rPr>
        <w:t>万元，完成年初预算的</w:t>
      </w:r>
      <w:r>
        <w:rPr>
          <w:rFonts w:ascii="仿宋_GB2312" w:hAnsi="Times New Roman" w:eastAsia="仿宋_GB2312" w:cs="仿宋_GB2312"/>
          <w:sz w:val="32"/>
          <w:szCs w:val="32"/>
        </w:rPr>
        <w:t>65.21%</w:t>
      </w:r>
      <w:r>
        <w:rPr>
          <w:rFonts w:hint="eastAsia" w:ascii="仿宋_GB2312" w:hAnsi="Times New Roman" w:eastAsia="仿宋_GB2312" w:cs="仿宋_GB2312"/>
          <w:sz w:val="32"/>
          <w:szCs w:val="32"/>
        </w:rPr>
        <w:t>。其中：</w:t>
      </w:r>
    </w:p>
    <w:p>
      <w:pPr>
        <w:autoSpaceDE w:val="0"/>
        <w:autoSpaceDN w:val="0"/>
        <w:adjustRightInd w:val="0"/>
        <w:spacing w:line="590" w:lineRule="exact"/>
        <w:ind w:firstLine="640"/>
        <w:rPr>
          <w:rFonts w:ascii="Times New Roman" w:hAnsi="Times New Roman" w:eastAsia="仿宋_GB2312" w:cs="Times New Roman"/>
          <w:sz w:val="32"/>
          <w:szCs w:val="32"/>
        </w:rPr>
      </w:pPr>
      <w:r>
        <w:rPr>
          <w:rFonts w:ascii="仿宋_GB2312" w:hAnsi="Times New Roman" w:eastAsia="仿宋_GB2312" w:cs="仿宋_GB2312"/>
          <w:b/>
          <w:bCs/>
          <w:sz w:val="32"/>
          <w:szCs w:val="32"/>
        </w:rPr>
        <w:t>1</w:t>
      </w:r>
      <w:r>
        <w:rPr>
          <w:rFonts w:hint="eastAsia" w:ascii="仿宋_GB2312" w:hAnsi="Times New Roman" w:eastAsia="仿宋_GB2312" w:cs="仿宋_GB2312"/>
          <w:b/>
          <w:bCs/>
          <w:sz w:val="32"/>
          <w:szCs w:val="32"/>
        </w:rPr>
        <w:t>．教育支出（类）普通教育（款）其他普通教育支出（项）。</w:t>
      </w:r>
      <w:r>
        <w:rPr>
          <w:rFonts w:hint="eastAsia" w:ascii="仿宋_GB2312" w:hAnsi="Times New Roman" w:eastAsia="仿宋_GB2312" w:cs="仿宋_GB2312"/>
          <w:sz w:val="32"/>
          <w:szCs w:val="32"/>
        </w:rPr>
        <w:t>年初预算为8.19万元，支出决算为8.19万元，完成年初预算的100</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w:t>
      </w:r>
    </w:p>
    <w:p>
      <w:pPr>
        <w:autoSpaceDE w:val="0"/>
        <w:autoSpaceDN w:val="0"/>
        <w:adjustRightInd w:val="0"/>
        <w:spacing w:line="590" w:lineRule="exact"/>
        <w:ind w:firstLine="640"/>
        <w:rPr>
          <w:rFonts w:ascii="宋体" w:hAnsi="Times New Roman" w:eastAsia="宋体" w:cs="宋体"/>
          <w:kern w:val="0"/>
          <w:sz w:val="18"/>
          <w:szCs w:val="18"/>
          <w:lang w:val="zh-CN"/>
        </w:rPr>
      </w:pPr>
      <w:r>
        <w:rPr>
          <w:rFonts w:ascii="仿宋_GB2312" w:hAnsi="Times New Roman" w:eastAsia="仿宋_GB2312" w:cs="仿宋_GB2312"/>
          <w:b/>
          <w:bCs/>
          <w:sz w:val="32"/>
          <w:szCs w:val="32"/>
        </w:rPr>
        <w:t>2</w:t>
      </w:r>
      <w:r>
        <w:rPr>
          <w:rFonts w:hint="eastAsia" w:ascii="仿宋_GB2312" w:hAnsi="Times New Roman" w:eastAsia="仿宋_GB2312" w:cs="仿宋_GB2312"/>
          <w:b/>
          <w:bCs/>
          <w:sz w:val="32"/>
          <w:szCs w:val="32"/>
        </w:rPr>
        <w:t>．教育支出（类）职业教育（款）其他职业教育支出（项）。</w:t>
      </w:r>
      <w:r>
        <w:rPr>
          <w:rFonts w:hint="eastAsia" w:ascii="仿宋_GB2312" w:hAnsi="Times New Roman" w:eastAsia="仿宋_GB2312" w:cs="仿宋_GB2312"/>
          <w:sz w:val="32"/>
          <w:szCs w:val="32"/>
        </w:rPr>
        <w:t>年初预算为598.37万元，支出决算为387.34万元，完成年初预算的64.73</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。决算数与年初预算数存在差异的主要原因是2022年初预算含有欠缴的准备期养老保险，在2021年底时清缴完毕，2022年初预算未来及更正。</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Times New Roman" w:eastAsia="仿宋_GB2312" w:cs="仿宋_GB2312"/>
          <w:sz w:val="32"/>
          <w:szCs w:val="32"/>
        </w:rPr>
        <w:t>2022</w:t>
      </w:r>
      <w:r>
        <w:rPr>
          <w:rFonts w:hint="eastAsia" w:ascii="仿宋_GB2312" w:hAnsi="Times New Roman" w:eastAsia="仿宋_GB2312" w:cs="仿宋_GB2312"/>
          <w:sz w:val="32"/>
          <w:szCs w:val="32"/>
        </w:rPr>
        <w:t>年度一般公共预算财政拨款基本支出</w:t>
      </w:r>
      <w:r>
        <w:rPr>
          <w:rFonts w:ascii="仿宋_GB2312" w:hAnsi="Times New Roman" w:eastAsia="仿宋_GB2312" w:cs="仿宋_GB2312"/>
          <w:sz w:val="32"/>
          <w:szCs w:val="32"/>
        </w:rPr>
        <w:t>387.34</w:t>
      </w:r>
      <w:r>
        <w:rPr>
          <w:rFonts w:hint="eastAsia" w:ascii="仿宋_GB2312" w:hAnsi="Times New Roman" w:eastAsia="仿宋_GB2312" w:cs="仿宋_GB2312"/>
          <w:sz w:val="32"/>
          <w:szCs w:val="32"/>
        </w:rPr>
        <w:t>万元。其中：人员经费</w:t>
      </w:r>
      <w:r>
        <w:rPr>
          <w:rFonts w:ascii="仿宋_GB2312" w:hAnsi="Times New Roman" w:eastAsia="仿宋_GB2312" w:cs="仿宋_GB2312"/>
          <w:sz w:val="32"/>
          <w:szCs w:val="32"/>
        </w:rPr>
        <w:t>180.31</w:t>
      </w:r>
      <w:r>
        <w:rPr>
          <w:rFonts w:hint="eastAsia" w:ascii="仿宋_GB2312" w:hAnsi="Times New Roman" w:eastAsia="仿宋_GB2312" w:cs="仿宋_GB2312"/>
          <w:sz w:val="32"/>
          <w:szCs w:val="32"/>
        </w:rPr>
        <w:t>万元，主要包括：基本工资、津贴补贴、绩效工资、机关事业单位基本养老保险缴费、职业年金缴费、其他社会保障缴费、其他工资福利支出、住房公积金、物业服务补贴、其他对个人和家庭的补助支出；公用经费</w:t>
      </w:r>
      <w:r>
        <w:rPr>
          <w:rFonts w:ascii="仿宋_GB2312" w:hAnsi="Times New Roman" w:eastAsia="仿宋_GB2312" w:cs="仿宋_GB2312"/>
          <w:sz w:val="32"/>
          <w:szCs w:val="32"/>
        </w:rPr>
        <w:t>207.03</w:t>
      </w:r>
      <w:r>
        <w:rPr>
          <w:rFonts w:hint="eastAsia" w:ascii="仿宋_GB2312" w:hAnsi="Times New Roman" w:eastAsia="仿宋_GB2312" w:cs="仿宋_GB2312"/>
          <w:sz w:val="32"/>
          <w:szCs w:val="32"/>
        </w:rPr>
        <w:t>万元，主要包括：办公费、邮电费、差旅费、维修（护）费、培训费、公务接待费、劳务费、福利费、公务用车运行维护费、其他商品和服务支出。</w:t>
      </w:r>
    </w:p>
    <w:p>
      <w:pPr>
        <w:autoSpaceDE w:val="0"/>
        <w:autoSpaceDN w:val="0"/>
        <w:adjustRightInd w:val="0"/>
        <w:spacing w:line="590" w:lineRule="exact"/>
        <w:ind w:firstLine="640"/>
        <w:rPr>
          <w:rFonts w:ascii="Times New Roman" w:hAnsi="Times New Roman" w:eastAsia="黑体" w:cs="Times New Roman"/>
          <w:sz w:val="32"/>
          <w:szCs w:val="32"/>
        </w:rPr>
      </w:pPr>
      <w:r>
        <w:rPr>
          <w:rFonts w:hint="eastAsia" w:ascii="黑体" w:hAnsi="黑体" w:eastAsia="黑体" w:cs="黑体"/>
          <w:color w:val="auto"/>
          <w:sz w:val="32"/>
          <w:szCs w:val="32"/>
          <w:highlight w:val="none"/>
          <w:lang w:val="en-US" w:eastAsia="zh-CN"/>
        </w:rPr>
        <w:t>七、</w:t>
      </w:r>
      <w:r>
        <w:rPr>
          <w:rFonts w:hint="eastAsia" w:ascii="黑体" w:hAnsi="Times New Roman" w:eastAsia="黑体" w:cs="黑体"/>
          <w:sz w:val="32"/>
          <w:szCs w:val="32"/>
        </w:rPr>
        <w:t>政府性基金预算财政拨款支出决算情况说明</w:t>
      </w:r>
    </w:p>
    <w:p>
      <w:pPr>
        <w:autoSpaceDE w:val="0"/>
        <w:autoSpaceDN w:val="0"/>
        <w:adjustRightInd w:val="0"/>
        <w:spacing w:line="590" w:lineRule="exact"/>
        <w:ind w:firstLine="640"/>
        <w:rPr>
          <w:rFonts w:ascii="仿宋_GB2312" w:hAnsi="Times New Roman" w:eastAsia="仿宋_GB2312" w:cs="仿宋_GB2312"/>
          <w:sz w:val="32"/>
          <w:szCs w:val="32"/>
        </w:rPr>
      </w:pPr>
      <w:r>
        <w:rPr>
          <w:rFonts w:ascii="仿宋_GB2312" w:hAnsi="Times New Roman" w:eastAsia="仿宋_GB2312" w:cs="仿宋_GB2312"/>
          <w:sz w:val="32"/>
          <w:szCs w:val="32"/>
        </w:rPr>
        <w:t>2022</w:t>
      </w:r>
      <w:r>
        <w:rPr>
          <w:rFonts w:hint="eastAsia" w:ascii="仿宋_GB2312" w:hAnsi="Times New Roman" w:eastAsia="仿宋_GB2312" w:cs="仿宋_GB2312"/>
          <w:sz w:val="32"/>
          <w:szCs w:val="32"/>
        </w:rPr>
        <w:t>年度政府性基金预算财政拨款支出年初预算为</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万元，支出决算为</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万元，完成年初预算的</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w:t>
      </w:r>
    </w:p>
    <w:p>
      <w:pPr>
        <w:autoSpaceDE w:val="0"/>
        <w:autoSpaceDN w:val="0"/>
        <w:adjustRightInd w:val="0"/>
        <w:spacing w:line="590" w:lineRule="exact"/>
        <w:ind w:firstLine="640"/>
        <w:rPr>
          <w:rFonts w:ascii="黑体" w:hAnsi="Times New Roman" w:eastAsia="黑体" w:cs="黑体"/>
          <w:sz w:val="32"/>
          <w:szCs w:val="32"/>
        </w:rPr>
      </w:pPr>
      <w:r>
        <w:rPr>
          <w:rFonts w:hint="eastAsia" w:ascii="黑体" w:hAnsi="Times New Roman" w:eastAsia="黑体" w:cs="黑体"/>
          <w:sz w:val="32"/>
          <w:szCs w:val="32"/>
        </w:rPr>
        <w:t>八、国有资本经营预算财政拨款支出决算情况说明</w:t>
      </w:r>
    </w:p>
    <w:p>
      <w:pPr>
        <w:autoSpaceDE w:val="0"/>
        <w:autoSpaceDN w:val="0"/>
        <w:adjustRightInd w:val="0"/>
        <w:spacing w:line="590" w:lineRule="exact"/>
        <w:ind w:firstLine="640"/>
        <w:rPr>
          <w:rFonts w:ascii="仿宋_GB2312" w:hAnsi="Times New Roman" w:eastAsia="仿宋_GB2312" w:cs="仿宋_GB2312"/>
          <w:sz w:val="32"/>
          <w:szCs w:val="32"/>
        </w:rPr>
      </w:pPr>
      <w:r>
        <w:rPr>
          <w:rFonts w:ascii="仿宋_GB2312" w:hAnsi="Times New Roman" w:eastAsia="仿宋_GB2312" w:cs="仿宋_GB2312"/>
          <w:sz w:val="32"/>
          <w:szCs w:val="32"/>
        </w:rPr>
        <w:t>2022</w:t>
      </w:r>
      <w:r>
        <w:rPr>
          <w:rFonts w:hint="eastAsia" w:ascii="仿宋_GB2312" w:hAnsi="Times New Roman" w:eastAsia="仿宋_GB2312" w:cs="仿宋_GB2312"/>
          <w:sz w:val="32"/>
          <w:szCs w:val="32"/>
        </w:rPr>
        <w:t>年度国有资本经营预算财政拨款支出年初预算为</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万元，支出决算为</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万元，完成年初预算的</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w:t>
      </w:r>
      <w:r>
        <w:rPr>
          <w:rFonts w:hint="eastAsia" w:ascii="仿宋_GB2312" w:hAnsi="仿宋_GB2312" w:eastAsia="仿宋_GB2312" w:cs="仿宋_GB2312"/>
          <w:sz w:val="32"/>
          <w:szCs w:val="32"/>
          <w:highlight w:val="none"/>
        </w:rPr>
        <w:t>我单位</w:t>
      </w:r>
      <w:r>
        <w:rPr>
          <w:rFonts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年度没有政府性基金收入，也没有使用政府性基金安排的支出。</w:t>
      </w:r>
    </w:p>
    <w:p>
      <w:pPr>
        <w:autoSpaceDE w:val="0"/>
        <w:autoSpaceDN w:val="0"/>
        <w:adjustRightInd w:val="0"/>
        <w:spacing w:line="590" w:lineRule="exact"/>
        <w:ind w:firstLine="640"/>
        <w:rPr>
          <w:rFonts w:ascii="Times New Roman" w:hAnsi="Times New Roman" w:eastAsia="黑体" w:cs="Times New Roman"/>
          <w:sz w:val="32"/>
          <w:szCs w:val="32"/>
        </w:rPr>
      </w:pPr>
      <w:r>
        <w:rPr>
          <w:rFonts w:hint="eastAsia" w:ascii="黑体" w:hAnsi="Times New Roman" w:eastAsia="黑体" w:cs="黑体"/>
          <w:sz w:val="32"/>
          <w:szCs w:val="32"/>
        </w:rPr>
        <w:t>九、财政拨款</w:t>
      </w:r>
      <w:r>
        <w:rPr>
          <w:rFonts w:ascii="黑体" w:hAnsi="Times New Roman" w:eastAsia="黑体" w:cs="黑体"/>
          <w:sz w:val="32"/>
          <w:szCs w:val="32"/>
        </w:rPr>
        <w:t>“</w:t>
      </w:r>
      <w:r>
        <w:rPr>
          <w:rFonts w:hint="eastAsia" w:ascii="黑体" w:hAnsi="Times New Roman" w:eastAsia="黑体" w:cs="黑体"/>
          <w:sz w:val="32"/>
          <w:szCs w:val="32"/>
        </w:rPr>
        <w:t>三公</w:t>
      </w:r>
      <w:r>
        <w:rPr>
          <w:rFonts w:ascii="黑体" w:hAnsi="Times New Roman" w:eastAsia="黑体" w:cs="黑体"/>
          <w:sz w:val="32"/>
          <w:szCs w:val="32"/>
        </w:rPr>
        <w:t>”</w:t>
      </w:r>
      <w:r>
        <w:rPr>
          <w:rFonts w:hint="eastAsia" w:ascii="黑体" w:hAnsi="Times New Roman" w:eastAsia="黑体" w:cs="黑体"/>
          <w:sz w:val="32"/>
          <w:szCs w:val="32"/>
        </w:rPr>
        <w:t>经费支出决算情况说明</w:t>
      </w:r>
    </w:p>
    <w:p>
      <w:pPr>
        <w:autoSpaceDE w:val="0"/>
        <w:autoSpaceDN w:val="0"/>
        <w:adjustRightInd w:val="0"/>
        <w:spacing w:line="590" w:lineRule="exact"/>
        <w:ind w:firstLine="64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（一）</w:t>
      </w:r>
      <w:r>
        <w:rPr>
          <w:rFonts w:ascii="Times New Roman" w:hAnsi="Times New Roman" w:eastAsia="楷体_GB2312" w:cs="Times New Roman"/>
          <w:b/>
          <w:bCs/>
          <w:sz w:val="32"/>
          <w:szCs w:val="32"/>
        </w:rPr>
        <w:t>“</w:t>
      </w:r>
      <w:r>
        <w:rPr>
          <w:rFonts w:hint="eastAsia" w:ascii="楷体_GB2312" w:hAnsi="Times New Roman" w:eastAsia="楷体_GB2312" w:cs="楷体_GB2312"/>
          <w:b/>
          <w:bCs/>
          <w:sz w:val="32"/>
          <w:szCs w:val="32"/>
        </w:rPr>
        <w:t>三公</w:t>
      </w:r>
      <w:r>
        <w:rPr>
          <w:rFonts w:ascii="Times New Roman" w:hAnsi="Times New Roman" w:eastAsia="楷体_GB2312" w:cs="Times New Roman"/>
          <w:b/>
          <w:bCs/>
          <w:sz w:val="32"/>
          <w:szCs w:val="32"/>
        </w:rPr>
        <w:t>”</w:t>
      </w:r>
      <w:r>
        <w:rPr>
          <w:rFonts w:hint="eastAsia" w:ascii="楷体_GB2312" w:hAnsi="Times New Roman" w:eastAsia="楷体_GB2312" w:cs="楷体_GB2312"/>
          <w:b/>
          <w:bCs/>
          <w:sz w:val="32"/>
          <w:szCs w:val="32"/>
        </w:rPr>
        <w:t>经费财政拨款支出决算总体情况说明。</w:t>
      </w:r>
    </w:p>
    <w:p>
      <w:pPr>
        <w:autoSpaceDE w:val="0"/>
        <w:autoSpaceDN w:val="0"/>
        <w:adjustRightInd w:val="0"/>
        <w:spacing w:line="590" w:lineRule="exact"/>
        <w:ind w:firstLine="640"/>
        <w:rPr>
          <w:rFonts w:ascii="Times New Roman" w:hAnsi="Times New Roman" w:eastAsia="仿宋_GB2312" w:cs="Times New Roman"/>
          <w:kern w:val="0"/>
          <w:sz w:val="18"/>
          <w:szCs w:val="18"/>
          <w:lang w:val="zh-CN"/>
        </w:rPr>
      </w:pPr>
      <w:r>
        <w:rPr>
          <w:rFonts w:ascii="仿宋_GB2312" w:hAnsi="Times New Roman" w:eastAsia="仿宋_GB2312" w:cs="仿宋_GB2312"/>
          <w:sz w:val="32"/>
          <w:szCs w:val="32"/>
        </w:rPr>
        <w:t>2022</w:t>
      </w:r>
      <w:r>
        <w:rPr>
          <w:rFonts w:hint="eastAsia" w:ascii="仿宋_GB2312" w:hAnsi="Times New Roman" w:eastAsia="仿宋_GB2312" w:cs="仿宋_GB2312"/>
          <w:sz w:val="32"/>
          <w:szCs w:val="32"/>
        </w:rPr>
        <w:t>年度</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三公</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经费财政拨款支出预算为</w:t>
      </w: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万元，支出决算为</w:t>
      </w:r>
      <w:r>
        <w:rPr>
          <w:rFonts w:ascii="仿宋_GB2312" w:hAnsi="Times New Roman" w:eastAsia="仿宋_GB2312" w:cs="仿宋_GB2312"/>
          <w:sz w:val="32"/>
          <w:szCs w:val="32"/>
        </w:rPr>
        <w:t>1.5</w:t>
      </w:r>
      <w:r>
        <w:rPr>
          <w:rFonts w:hint="eastAsia" w:ascii="仿宋_GB2312" w:hAnsi="Times New Roman" w:eastAsia="仿宋_GB2312" w:cs="仿宋_GB2312"/>
          <w:sz w:val="32"/>
          <w:szCs w:val="32"/>
        </w:rPr>
        <w:t>万元，完成预算的</w:t>
      </w:r>
      <w:r>
        <w:rPr>
          <w:rFonts w:ascii="仿宋_GB2312" w:hAnsi="Times New Roman" w:eastAsia="仿宋_GB2312" w:cs="仿宋_GB2312"/>
          <w:sz w:val="32"/>
          <w:szCs w:val="32"/>
        </w:rPr>
        <w:t>7</w:t>
      </w:r>
      <w:r>
        <w:rPr>
          <w:rFonts w:hint="eastAsia" w:ascii="仿宋_GB2312" w:hAnsi="Times New Roman" w:eastAsia="仿宋_GB2312" w:cs="仿宋_GB2312"/>
          <w:sz w:val="32"/>
          <w:szCs w:val="32"/>
        </w:rPr>
        <w:t>5</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2021</w:t>
      </w:r>
      <w:r>
        <w:rPr>
          <w:rFonts w:hint="eastAsia" w:ascii="仿宋_GB2312" w:hAnsi="Times New Roman" w:eastAsia="仿宋_GB2312" w:cs="仿宋_GB2312"/>
          <w:sz w:val="32"/>
          <w:szCs w:val="32"/>
        </w:rPr>
        <w:t>年度</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三公</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经费支出决算数与预算数存在差异的主要原因是节约车辆油修支出。</w:t>
      </w:r>
    </w:p>
    <w:p>
      <w:pPr>
        <w:autoSpaceDE w:val="0"/>
        <w:autoSpaceDN w:val="0"/>
        <w:adjustRightInd w:val="0"/>
        <w:spacing w:line="590" w:lineRule="exact"/>
        <w:ind w:firstLine="64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（二）</w:t>
      </w:r>
      <w:r>
        <w:rPr>
          <w:rFonts w:ascii="Times New Roman" w:hAnsi="Times New Roman" w:eastAsia="楷体_GB2312" w:cs="Times New Roman"/>
          <w:b/>
          <w:bCs/>
          <w:sz w:val="32"/>
          <w:szCs w:val="32"/>
        </w:rPr>
        <w:t>“</w:t>
      </w:r>
      <w:r>
        <w:rPr>
          <w:rFonts w:hint="eastAsia" w:ascii="楷体_GB2312" w:hAnsi="Times New Roman" w:eastAsia="楷体_GB2312" w:cs="楷体_GB2312"/>
          <w:b/>
          <w:bCs/>
          <w:sz w:val="32"/>
          <w:szCs w:val="32"/>
        </w:rPr>
        <w:t>三公</w:t>
      </w:r>
      <w:r>
        <w:rPr>
          <w:rFonts w:ascii="Times New Roman" w:hAnsi="Times New Roman" w:eastAsia="楷体_GB2312" w:cs="Times New Roman"/>
          <w:b/>
          <w:bCs/>
          <w:sz w:val="32"/>
          <w:szCs w:val="32"/>
        </w:rPr>
        <w:t>”</w:t>
      </w:r>
      <w:r>
        <w:rPr>
          <w:rFonts w:hint="eastAsia" w:ascii="楷体_GB2312" w:hAnsi="Times New Roman" w:eastAsia="楷体_GB2312" w:cs="楷体_GB2312"/>
          <w:b/>
          <w:bCs/>
          <w:sz w:val="32"/>
          <w:szCs w:val="32"/>
        </w:rPr>
        <w:t>经费财政拨款支出决算具体情况说明。</w:t>
      </w:r>
    </w:p>
    <w:p>
      <w:pPr>
        <w:autoSpaceDE w:val="0"/>
        <w:autoSpaceDN w:val="0"/>
        <w:adjustRightInd w:val="0"/>
        <w:spacing w:line="590" w:lineRule="exact"/>
        <w:ind w:firstLine="640"/>
        <w:rPr>
          <w:rFonts w:ascii="Times New Roman" w:hAnsi="Times New Roman" w:eastAsia="仿宋_GB2312" w:cs="Times New Roman"/>
          <w:kern w:val="0"/>
          <w:sz w:val="18"/>
          <w:szCs w:val="18"/>
        </w:rPr>
      </w:pPr>
      <w:r>
        <w:rPr>
          <w:rFonts w:ascii="仿宋_GB2312" w:hAnsi="Times New Roman" w:eastAsia="仿宋_GB2312" w:cs="仿宋_GB2312"/>
          <w:sz w:val="32"/>
          <w:szCs w:val="32"/>
        </w:rPr>
        <w:t>2022</w:t>
      </w:r>
      <w:r>
        <w:rPr>
          <w:rFonts w:hint="eastAsia" w:ascii="仿宋_GB2312" w:hAnsi="Times New Roman" w:eastAsia="仿宋_GB2312" w:cs="仿宋_GB2312"/>
          <w:sz w:val="32"/>
          <w:szCs w:val="32"/>
        </w:rPr>
        <w:t>年度</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三公</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经费财政拨款支出决算中，因公出国（境）费支出决算</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万元，完成预算的</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；公务用车购置及运行费支出决算</w:t>
      </w:r>
      <w:r>
        <w:rPr>
          <w:rFonts w:ascii="仿宋_GB2312" w:hAnsi="Times New Roman" w:eastAsia="仿宋_GB2312" w:cs="仿宋_GB2312"/>
          <w:sz w:val="32"/>
          <w:szCs w:val="32"/>
        </w:rPr>
        <w:t>1.5</w:t>
      </w:r>
      <w:r>
        <w:rPr>
          <w:rFonts w:hint="eastAsia" w:ascii="仿宋_GB2312" w:hAnsi="Times New Roman" w:eastAsia="仿宋_GB2312" w:cs="仿宋_GB2312"/>
          <w:sz w:val="32"/>
          <w:szCs w:val="32"/>
        </w:rPr>
        <w:t>万元，完成预算的</w:t>
      </w:r>
      <w:r>
        <w:rPr>
          <w:rFonts w:ascii="仿宋_GB2312" w:hAnsi="Times New Roman" w:eastAsia="仿宋_GB2312" w:cs="仿宋_GB2312"/>
          <w:sz w:val="32"/>
          <w:szCs w:val="32"/>
        </w:rPr>
        <w:t>74.97%</w:t>
      </w:r>
      <w:r>
        <w:rPr>
          <w:rFonts w:hint="eastAsia" w:ascii="仿宋_GB2312" w:hAnsi="Times New Roman" w:eastAsia="仿宋_GB2312" w:cs="仿宋_GB2312"/>
          <w:sz w:val="32"/>
          <w:szCs w:val="32"/>
        </w:rPr>
        <w:t>，占</w:t>
      </w:r>
      <w:r>
        <w:rPr>
          <w:rFonts w:ascii="仿宋_GB2312" w:hAnsi="Times New Roman" w:eastAsia="仿宋_GB2312" w:cs="仿宋_GB2312"/>
          <w:sz w:val="32"/>
          <w:szCs w:val="32"/>
        </w:rPr>
        <w:t>100%</w:t>
      </w:r>
      <w:r>
        <w:rPr>
          <w:rFonts w:hint="eastAsia" w:ascii="仿宋_GB2312" w:hAnsi="Times New Roman" w:eastAsia="仿宋_GB2312" w:cs="仿宋_GB2312"/>
          <w:sz w:val="32"/>
          <w:szCs w:val="32"/>
        </w:rPr>
        <w:t>；公务接待费支出决算</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万元，完成预算的</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；具体情况如下：</w:t>
      </w:r>
    </w:p>
    <w:p>
      <w:pPr>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预算为0.00万元，支出决算为0.00万元。决算数与预算数不存在差异。因公出国（境）团组数0个，因公出国（境）人次数0人。</w:t>
      </w:r>
    </w:p>
    <w:p>
      <w:pPr>
        <w:autoSpaceDE w:val="0"/>
        <w:autoSpaceDN w:val="0"/>
        <w:adjustRightInd w:val="0"/>
        <w:spacing w:line="590" w:lineRule="exact"/>
        <w:ind w:firstLine="640"/>
        <w:rPr>
          <w:rFonts w:ascii="Times New Roman" w:hAnsi="Times New Roman" w:eastAsia="仿宋_GB2312" w:cs="Times New Roman"/>
          <w:sz w:val="32"/>
          <w:szCs w:val="32"/>
        </w:rPr>
      </w:pPr>
      <w:r>
        <w:rPr>
          <w:rFonts w:ascii="仿宋_GB2312" w:hAnsi="Times New Roman" w:eastAsia="仿宋_GB2312" w:cs="仿宋_GB2312"/>
          <w:b/>
          <w:bCs/>
          <w:sz w:val="32"/>
          <w:szCs w:val="32"/>
        </w:rPr>
        <w:t>2</w:t>
      </w:r>
      <w:r>
        <w:rPr>
          <w:rFonts w:hint="eastAsia" w:ascii="仿宋_GB2312" w:hAnsi="Times New Roman" w:eastAsia="仿宋_GB2312" w:cs="仿宋_GB2312"/>
          <w:b/>
          <w:bCs/>
          <w:sz w:val="32"/>
          <w:szCs w:val="32"/>
        </w:rPr>
        <w:t>．公务用车购置及运行费</w:t>
      </w:r>
      <w:r>
        <w:rPr>
          <w:rFonts w:hint="eastAsia" w:ascii="仿宋_GB2312" w:hAnsi="Times New Roman" w:eastAsia="仿宋_GB2312" w:cs="仿宋_GB2312"/>
          <w:sz w:val="32"/>
          <w:szCs w:val="32"/>
        </w:rPr>
        <w:t>预算为</w:t>
      </w: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万元，支出决算为</w:t>
      </w:r>
      <w:r>
        <w:rPr>
          <w:rFonts w:ascii="仿宋_GB2312" w:hAnsi="Times New Roman" w:eastAsia="仿宋_GB2312" w:cs="仿宋_GB2312"/>
          <w:sz w:val="32"/>
          <w:szCs w:val="32"/>
        </w:rPr>
        <w:t>1.5</w:t>
      </w:r>
      <w:r>
        <w:rPr>
          <w:rFonts w:hint="eastAsia" w:ascii="仿宋_GB2312" w:hAnsi="Times New Roman" w:eastAsia="仿宋_GB2312" w:cs="仿宋_GB2312"/>
          <w:sz w:val="32"/>
          <w:szCs w:val="32"/>
        </w:rPr>
        <w:t>万元，完成预算的</w:t>
      </w:r>
      <w:r>
        <w:rPr>
          <w:rFonts w:ascii="仿宋_GB2312" w:hAnsi="Times New Roman" w:eastAsia="仿宋_GB2312" w:cs="仿宋_GB2312"/>
          <w:sz w:val="32"/>
          <w:szCs w:val="32"/>
        </w:rPr>
        <w:t>74.97%</w:t>
      </w:r>
      <w:r>
        <w:rPr>
          <w:rFonts w:hint="eastAsia" w:ascii="仿宋_GB2312" w:hAnsi="Times New Roman" w:eastAsia="仿宋_GB2312" w:cs="仿宋_GB2312"/>
          <w:sz w:val="32"/>
          <w:szCs w:val="32"/>
        </w:rPr>
        <w:t>，决算数与预算数存在差异的主要原因是节约车辆油修支出。其中：</w:t>
      </w:r>
    </w:p>
    <w:p>
      <w:pPr>
        <w:autoSpaceDE w:val="0"/>
        <w:autoSpaceDN w:val="0"/>
        <w:adjustRightInd w:val="0"/>
        <w:spacing w:line="590" w:lineRule="exact"/>
        <w:ind w:firstLine="640"/>
        <w:rPr>
          <w:rFonts w:ascii="Times New Roman" w:hAnsi="Times New Roman" w:eastAsia="仿宋_GB2312" w:cs="Times New Roman"/>
          <w:sz w:val="32"/>
          <w:szCs w:val="32"/>
        </w:rPr>
      </w:pPr>
      <w:r>
        <w:rPr>
          <w:rFonts w:hint="eastAsia" w:ascii="仿宋_GB2312" w:hAnsi="Times New Roman" w:eastAsia="仿宋_GB2312" w:cs="仿宋_GB2312"/>
          <w:b/>
          <w:bCs/>
          <w:sz w:val="32"/>
          <w:szCs w:val="32"/>
        </w:rPr>
        <w:t>公务用车购置支出</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万元，购置车辆0台。</w:t>
      </w:r>
    </w:p>
    <w:p>
      <w:pPr>
        <w:autoSpaceDE w:val="0"/>
        <w:autoSpaceDN w:val="0"/>
        <w:adjustRightInd w:val="0"/>
        <w:spacing w:line="590" w:lineRule="exact"/>
        <w:ind w:firstLine="640"/>
        <w:rPr>
          <w:rFonts w:ascii="Times New Roman" w:hAnsi="Times New Roman" w:eastAsia="仿宋_GB2312" w:cs="Times New Roman"/>
          <w:kern w:val="0"/>
          <w:sz w:val="18"/>
          <w:szCs w:val="18"/>
          <w:lang w:val="zh-CN"/>
        </w:rPr>
      </w:pPr>
      <w:r>
        <w:rPr>
          <w:rFonts w:hint="eastAsia" w:ascii="仿宋_GB2312" w:hAnsi="Times New Roman" w:eastAsia="仿宋_GB2312" w:cs="仿宋_GB2312"/>
          <w:b/>
          <w:bCs/>
          <w:sz w:val="32"/>
          <w:szCs w:val="32"/>
        </w:rPr>
        <w:t>公务用车运行支出</w:t>
      </w:r>
      <w:r>
        <w:rPr>
          <w:rFonts w:ascii="仿宋_GB2312" w:hAnsi="Times New Roman" w:eastAsia="仿宋_GB2312" w:cs="仿宋_GB2312"/>
          <w:sz w:val="32"/>
          <w:szCs w:val="32"/>
        </w:rPr>
        <w:t>1.5</w:t>
      </w:r>
      <w:r>
        <w:rPr>
          <w:rFonts w:hint="eastAsia" w:ascii="仿宋_GB2312" w:hAnsi="Times New Roman" w:eastAsia="仿宋_GB2312" w:cs="仿宋_GB2312"/>
          <w:sz w:val="32"/>
          <w:szCs w:val="32"/>
        </w:rPr>
        <w:t>万元。主要用于车辆油修支出。</w:t>
      </w:r>
      <w:r>
        <w:rPr>
          <w:rFonts w:ascii="仿宋_GB2312" w:hAnsi="Times New Roman" w:eastAsia="仿宋_GB2312" w:cs="仿宋_GB2312"/>
          <w:sz w:val="32"/>
          <w:szCs w:val="32"/>
        </w:rPr>
        <w:t>2022</w:t>
      </w:r>
      <w:r>
        <w:rPr>
          <w:rFonts w:hint="eastAsia" w:ascii="仿宋_GB2312" w:hAnsi="Times New Roman" w:eastAsia="仿宋_GB2312" w:cs="仿宋_GB2312"/>
          <w:sz w:val="32"/>
          <w:szCs w:val="32"/>
        </w:rPr>
        <w:t>年期末，单位开支财政拨款的公务用车保有量为2量。</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color w:val="auto"/>
          <w:sz w:val="32"/>
          <w:szCs w:val="32"/>
          <w:highlight w:val="none"/>
          <w:lang w:val="en-US" w:eastAsia="zh-CN"/>
        </w:rPr>
        <w:t>预算为0.00万元，支出决算为0.00万元。决算数与预算数存在差异的主要原因是</w:t>
      </w:r>
      <w:r>
        <w:rPr>
          <w:rFonts w:hint="eastAsia" w:ascii="仿宋_GB2312" w:hAnsi="仿宋_GB2312" w:eastAsia="仿宋_GB2312" w:cs="仿宋_GB2312"/>
          <w:sz w:val="32"/>
          <w:szCs w:val="32"/>
          <w:highlight w:val="none"/>
        </w:rPr>
        <w:t>无公务接待</w:t>
      </w:r>
      <w:r>
        <w:rPr>
          <w:rFonts w:hint="eastAsia" w:ascii="仿宋_GB2312" w:hAnsi="仿宋_GB2312" w:eastAsia="仿宋_GB2312" w:cs="仿宋_GB2312"/>
          <w:color w:val="auto"/>
          <w:sz w:val="32"/>
          <w:szCs w:val="32"/>
          <w:highlight w:val="none"/>
          <w:lang w:val="en-US" w:eastAsia="zh-CN"/>
        </w:rPr>
        <w:t>。其中：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0.00万元。2022年共接待国（境）外来访团组0个、来访外宾0人次（不包括陪同人员）。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0.00万元。2022年共接待国内来访团组0个、来宾0人次（不包括陪同人员）。</w:t>
      </w:r>
    </w:p>
    <w:p>
      <w:pPr>
        <w:autoSpaceDE w:val="0"/>
        <w:autoSpaceDN w:val="0"/>
        <w:adjustRightInd w:val="0"/>
        <w:spacing w:line="590" w:lineRule="exact"/>
        <w:ind w:firstLine="640"/>
        <w:rPr>
          <w:rFonts w:ascii="Times New Roman" w:hAnsi="Times New Roman" w:eastAsia="黑体" w:cs="Times New Roman"/>
          <w:sz w:val="32"/>
          <w:szCs w:val="32"/>
        </w:rPr>
      </w:pPr>
      <w:r>
        <w:rPr>
          <w:rFonts w:hint="eastAsia" w:ascii="黑体" w:hAnsi="Times New Roman" w:eastAsia="黑体" w:cs="黑体"/>
          <w:sz w:val="32"/>
          <w:szCs w:val="32"/>
        </w:rPr>
        <w:t>十、机关运行经费支出情况说明</w:t>
      </w:r>
    </w:p>
    <w:p>
      <w:pPr>
        <w:autoSpaceDE w:val="0"/>
        <w:autoSpaceDN w:val="0"/>
        <w:adjustRightInd w:val="0"/>
        <w:spacing w:line="590" w:lineRule="exact"/>
        <w:ind w:firstLine="640"/>
        <w:rPr>
          <w:rFonts w:ascii="Times New Roman" w:hAnsi="Times New Roman" w:eastAsia="仿宋_GB2312" w:cs="Times New Roman"/>
          <w:kern w:val="0"/>
          <w:sz w:val="18"/>
          <w:szCs w:val="18"/>
          <w:lang w:val="zh-CN"/>
        </w:rPr>
      </w:pPr>
      <w:r>
        <w:rPr>
          <w:rFonts w:ascii="仿宋_GB2312" w:hAnsi="Times New Roman" w:eastAsia="仿宋_GB2312" w:cs="仿宋_GB2312"/>
          <w:sz w:val="32"/>
          <w:szCs w:val="32"/>
        </w:rPr>
        <w:t>2022</w:t>
      </w:r>
      <w:r>
        <w:rPr>
          <w:rFonts w:hint="eastAsia" w:ascii="仿宋_GB2312" w:hAnsi="Times New Roman" w:eastAsia="仿宋_GB2312" w:cs="仿宋_GB2312"/>
          <w:sz w:val="32"/>
          <w:szCs w:val="32"/>
        </w:rPr>
        <w:t>年度机关运行经费支出</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万元，比</w:t>
      </w:r>
      <w:r>
        <w:rPr>
          <w:rFonts w:ascii="仿宋_GB2312" w:hAnsi="Times New Roman" w:eastAsia="仿宋_GB2312" w:cs="仿宋_GB2312"/>
          <w:sz w:val="32"/>
          <w:szCs w:val="32"/>
        </w:rPr>
        <w:t>2021</w:t>
      </w:r>
      <w:r>
        <w:rPr>
          <w:rFonts w:hint="eastAsia" w:ascii="仿宋_GB2312" w:hAnsi="Times New Roman" w:eastAsia="仿宋_GB2312" w:cs="仿宋_GB2312"/>
          <w:sz w:val="32"/>
          <w:szCs w:val="32"/>
        </w:rPr>
        <w:t>年度增加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万元，增长</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。我单位不是行政机关，也不是参照公务员管理事业单位，没有机关运行经费支出。</w:t>
      </w:r>
    </w:p>
    <w:p>
      <w:pPr>
        <w:autoSpaceDE w:val="0"/>
        <w:autoSpaceDN w:val="0"/>
        <w:adjustRightInd w:val="0"/>
        <w:spacing w:line="590" w:lineRule="exact"/>
        <w:ind w:firstLine="640"/>
        <w:rPr>
          <w:rFonts w:ascii="Times New Roman" w:hAnsi="Times New Roman" w:eastAsia="黑体" w:cs="Times New Roman"/>
          <w:sz w:val="32"/>
          <w:szCs w:val="32"/>
        </w:rPr>
      </w:pPr>
      <w:r>
        <w:rPr>
          <w:rFonts w:hint="eastAsia" w:ascii="黑体" w:hAnsi="Times New Roman" w:eastAsia="黑体" w:cs="黑体"/>
          <w:sz w:val="32"/>
          <w:szCs w:val="32"/>
        </w:rPr>
        <w:t>十一、政府采购支出情况说明</w:t>
      </w:r>
    </w:p>
    <w:p>
      <w:pPr>
        <w:autoSpaceDE w:val="0"/>
        <w:autoSpaceDN w:val="0"/>
        <w:adjustRightInd w:val="0"/>
        <w:spacing w:line="590" w:lineRule="exact"/>
        <w:ind w:firstLine="640"/>
        <w:rPr>
          <w:rFonts w:ascii="Times New Roman" w:hAnsi="Times New Roman" w:eastAsia="仿宋_GB2312" w:cs="Times New Roman"/>
          <w:kern w:val="0"/>
          <w:sz w:val="18"/>
          <w:szCs w:val="18"/>
          <w:lang w:val="zh-CN"/>
        </w:rPr>
      </w:pPr>
      <w:r>
        <w:rPr>
          <w:rFonts w:ascii="仿宋_GB2312" w:hAnsi="Times New Roman" w:eastAsia="仿宋_GB2312" w:cs="仿宋_GB2312"/>
          <w:sz w:val="32"/>
          <w:szCs w:val="32"/>
        </w:rPr>
        <w:t>2022</w:t>
      </w:r>
      <w:r>
        <w:rPr>
          <w:rFonts w:hint="eastAsia" w:ascii="仿宋_GB2312" w:hAnsi="Times New Roman" w:eastAsia="仿宋_GB2312" w:cs="仿宋_GB2312"/>
          <w:sz w:val="32"/>
          <w:szCs w:val="32"/>
        </w:rPr>
        <w:t>年度政府采购支出总额</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万元，其中：政府采购货物支出</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万元、政府采购工程支出</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万元、政府采购服务支出</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万元。授予中小企业合同金额</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万元，占政府采购支出总额的</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其中：授予小微企业合同金额</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万元，占中小企业合同总额的</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w:t>
      </w:r>
    </w:p>
    <w:p>
      <w:pPr>
        <w:autoSpaceDE w:val="0"/>
        <w:autoSpaceDN w:val="0"/>
        <w:adjustRightInd w:val="0"/>
        <w:spacing w:line="590" w:lineRule="exact"/>
        <w:ind w:firstLine="640"/>
        <w:rPr>
          <w:rFonts w:ascii="Times New Roman" w:hAnsi="Times New Roman" w:eastAsia="黑体" w:cs="Times New Roman"/>
          <w:sz w:val="32"/>
          <w:szCs w:val="32"/>
        </w:rPr>
      </w:pPr>
      <w:r>
        <w:rPr>
          <w:rFonts w:hint="eastAsia" w:ascii="黑体" w:hAnsi="Times New Roman" w:eastAsia="黑体" w:cs="黑体"/>
          <w:sz w:val="32"/>
          <w:szCs w:val="32"/>
        </w:rPr>
        <w:t>十二、国有资产占用情况说明</w:t>
      </w:r>
    </w:p>
    <w:p>
      <w:pPr>
        <w:autoSpaceDE w:val="0"/>
        <w:autoSpaceDN w:val="0"/>
        <w:adjustRightInd w:val="0"/>
        <w:spacing w:line="590" w:lineRule="exact"/>
        <w:ind w:firstLine="640"/>
        <w:rPr>
          <w:rFonts w:ascii="Times New Roman" w:hAnsi="Times New Roman" w:eastAsia="仿宋_GB2312" w:cs="Times New Roman"/>
          <w:kern w:val="0"/>
          <w:sz w:val="18"/>
          <w:szCs w:val="18"/>
        </w:rPr>
      </w:pPr>
      <w:r>
        <w:rPr>
          <w:rFonts w:ascii="仿宋_GB2312" w:hAnsi="Times New Roman" w:eastAsia="仿宋_GB2312" w:cs="仿宋_GB2312"/>
          <w:sz w:val="32"/>
          <w:szCs w:val="32"/>
        </w:rPr>
        <w:t>2022</w:t>
      </w:r>
      <w:r>
        <w:rPr>
          <w:rFonts w:hint="eastAsia" w:ascii="仿宋_GB2312" w:hAnsi="Times New Roman" w:eastAsia="仿宋_GB2312" w:cs="仿宋_GB2312"/>
          <w:sz w:val="32"/>
          <w:szCs w:val="32"/>
        </w:rPr>
        <w:t>年期末，我单位共有车辆</w:t>
      </w: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辆，其中：省级领导干部用车</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辆、主要领导干部用车</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辆、机要通信用车</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辆、应急保障车</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辆、执法执勤用车</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辆、特种专业技术用车</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辆、离退休干部用车</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辆、其他用车</w:t>
      </w: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辆；单位价值</w:t>
      </w:r>
      <w:r>
        <w:rPr>
          <w:rFonts w:ascii="仿宋_GB2312" w:hAnsi="Times New Roman" w:eastAsia="仿宋_GB2312" w:cs="仿宋_GB2312"/>
          <w:sz w:val="32"/>
          <w:szCs w:val="32"/>
        </w:rPr>
        <w:t>100</w:t>
      </w:r>
      <w:r>
        <w:rPr>
          <w:rFonts w:hint="eastAsia" w:ascii="仿宋_GB2312" w:hAnsi="Times New Roman" w:eastAsia="仿宋_GB2312" w:cs="仿宋_GB2312"/>
          <w:sz w:val="32"/>
          <w:szCs w:val="32"/>
        </w:rPr>
        <w:t>万元</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含</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以上设备</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十三、预算绩效情况说明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我单位按照《中共许昌市委 许昌市人民政府关于全面实施预算绩效管理的实施意见》（许发〔2021〕13号）文件要求，对本单位整体支出和项目支出开展全过程预算绩效管理。</w:t>
      </w:r>
      <w:r>
        <w:rPr>
          <w:rFonts w:hint="eastAsia" w:ascii="仿宋_GB2312" w:hAnsi="仿宋_GB2312" w:eastAsia="仿宋_GB2312" w:cs="仿宋_GB2312"/>
          <w:sz w:val="32"/>
          <w:szCs w:val="32"/>
          <w:lang w:eastAsia="zh-CN"/>
        </w:rPr>
        <w:t>许昌市中小学教师培训中心</w:t>
      </w:r>
      <w:r>
        <w:rPr>
          <w:rFonts w:hint="eastAsia" w:ascii="仿宋_GB2312" w:hAnsi="仿宋_GB2312" w:eastAsia="仿宋_GB2312" w:cs="仿宋_GB2312"/>
          <w:sz w:val="32"/>
          <w:szCs w:val="32"/>
        </w:rPr>
        <w:t>按照绩效管理工作的要求，认真组织相关人员积极参加财政部门组织的绩效评价业务培训，结合</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自身情况开展绩效目标申报、绩效监控、绩效自评等工作，并及时跟进绩效评价结果。</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对本单位整体绩效目标和项目支出绩效目标进行了自评。一是单位整体绩效自评情况，我单位2022年部门整体绩效自评结果良好。二是项目绩效自评情况。我单位共有0个项目批复了绩效目标，项目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基于项目预期目标的实现程度，对2022年度项目支出绩效进行自评，绩效自评平均得分为0分。其中：0个项目评价等级为“优”、0个项目评价等级为“良”、0个项目评价等级为“中”、0个项目评价等级为“差”。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p>
    <w:p>
      <w:pPr>
        <w:widowControl/>
        <w:ind w:firstLine="560" w:firstLineChars="200"/>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一、财政拨款收入：单位从同级政府财政部门取得的财政预算资金。</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二、事业收入：事业单位开展专业业务活动及其辅助活动取得的收入。</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三、上级补助收入：事业单位从主管部门和上级单位取得的非财政补助收入。</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四、附属单位上缴收入：事业单位取得附属独立核算单位根据有关规定上缴的收入。</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五、经营收入：事业单位在专业业务活动及其辅助活动之外开展非独立核算经营活动取得的收入。</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六、其他收入：单位取得的除“财政拨款收入”、“事业收入”、“上级补助收入”、“附属单位上缴收入”、“经营收入”以外的各项收入。</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七、使用非财政拨款结余：指事业单位使用以前年度积累的非财政拨款结余弥补当年收支差额的金额。</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八、基本支出：为保障机构正常运转、完成日常工作任务而发生的人员支出和公用支出。</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九、项目支出：基本支出之外为完成特定行政任务和事业发展目标所发生的支出。</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十二、工资福利支出：单位支付给在职职工和编制外长期聘用人员的各类劳动报酬，以及为上述人员缴纳的各项社会保险费等。</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十三、商品和服务支出：单位购买商品和服务的支出。</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十四、对个人和家庭的补助支出：单位用于对个人和家庭的补助支出。</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十五、年末结转：本年度或以前年度预算安排，已执行但尚未完成或因客观条件发生变化无法按原计划实施，需延迟到以后年度按有关规定继续使用的资金。</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十六、年末结余：本年度或以前年度预算安排，已执行完毕或因客观条件发生变化无法按原预算安排实施，不需要再使用或无法按原预算安排继续使用的资金。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apuSNxgEAAHMDAAAOAAAAAAAAAAEAIAAAAB4BAABkcnMvZTJvRG9jLnht&#10;bFBLBQYAAAAABgAGAFkBAABW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FbluqxgEAAHMDAAAOAAAAAAAAAAEAIAAAAB4BAABkcnMvZTJvRG9jLnht&#10;bFBLBQYAAAAABgAGAFkBAABW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D5RY/sQEA&#10;AE4DAAAOAAAAAAAAAAEAIAAAAB4BAABkcnMvZTJvRG9jLnhtbFBLBQYAAAAABgAGAFkBAABBBQAA&#10;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zZGJjYWY5ZjhlZmZmMGMxYTk1ZWU3MmU2MDBjYzUifQ=="/>
  </w:docVars>
  <w:rsids>
    <w:rsidRoot w:val="00172A27"/>
    <w:rsid w:val="005A0C07"/>
    <w:rsid w:val="076473A2"/>
    <w:rsid w:val="0E1453B6"/>
    <w:rsid w:val="121C03E7"/>
    <w:rsid w:val="137303CC"/>
    <w:rsid w:val="1B1804D6"/>
    <w:rsid w:val="1B2C1C56"/>
    <w:rsid w:val="209D7469"/>
    <w:rsid w:val="23186AAE"/>
    <w:rsid w:val="27AA7C57"/>
    <w:rsid w:val="27F62CE4"/>
    <w:rsid w:val="2A24058B"/>
    <w:rsid w:val="37053E66"/>
    <w:rsid w:val="393030B8"/>
    <w:rsid w:val="3C602C92"/>
    <w:rsid w:val="437F3566"/>
    <w:rsid w:val="469504BE"/>
    <w:rsid w:val="4A470EE6"/>
    <w:rsid w:val="52233625"/>
    <w:rsid w:val="5BEE191E"/>
    <w:rsid w:val="60642CB5"/>
    <w:rsid w:val="6BE37AE4"/>
    <w:rsid w:val="6F156310"/>
    <w:rsid w:val="799451E7"/>
    <w:rsid w:val="7D6347BE"/>
    <w:rsid w:val="7E8A2B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3"/>
    <w:qFormat/>
    <w:uiPriority w:val="0"/>
    <w:rPr>
      <w:kern w:val="2"/>
      <w:sz w:val="18"/>
      <w:szCs w:val="18"/>
    </w:rPr>
  </w:style>
  <w:style w:type="paragraph" w:styleId="5">
    <w:name w:val="footer"/>
    <w:basedOn w:val="1"/>
    <w:link w:val="14"/>
    <w:qFormat/>
    <w:uiPriority w:val="0"/>
    <w:pPr>
      <w:tabs>
        <w:tab w:val="center" w:pos="4153"/>
        <w:tab w:val="right" w:pos="8306"/>
      </w:tabs>
      <w:snapToGrid w:val="0"/>
      <w:jc w:val="left"/>
    </w:pPr>
    <w:rPr>
      <w:kern w:val="2"/>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kern w:val="2"/>
      <w:sz w:val="18"/>
      <w:szCs w:val="18"/>
    </w:rPr>
  </w:style>
  <w:style w:type="paragraph" w:styleId="7">
    <w:name w:val="footnote text"/>
    <w:basedOn w:val="1"/>
    <w:qFormat/>
    <w:uiPriority w:val="0"/>
    <w:pPr>
      <w:snapToGrid w:val="0"/>
      <w:jc w:val="left"/>
    </w:pPr>
    <w:rPr>
      <w:sz w:val="18"/>
    </w:rPr>
  </w:style>
  <w:style w:type="character" w:styleId="10">
    <w:name w:val="FollowedHyperlink"/>
    <w:qFormat/>
    <w:uiPriority w:val="0"/>
    <w:rPr>
      <w:color w:val="800080"/>
      <w:u w:val="single"/>
    </w:rPr>
  </w:style>
  <w:style w:type="character" w:styleId="11">
    <w:name w:val="Hyperlink"/>
    <w:qFormat/>
    <w:uiPriority w:val="0"/>
    <w:rPr>
      <w:color w:val="0000FF"/>
      <w:u w:val="single"/>
    </w:rPr>
  </w:style>
  <w:style w:type="character" w:styleId="12">
    <w:name w:val="footnote reference"/>
    <w:basedOn w:val="9"/>
    <w:qFormat/>
    <w:uiPriority w:val="0"/>
    <w:rPr>
      <w:vertAlign w:val="superscript"/>
    </w:rPr>
  </w:style>
  <w:style w:type="character" w:customStyle="1" w:styleId="13">
    <w:name w:val="批注框文本 Char Char"/>
    <w:basedOn w:val="9"/>
    <w:link w:val="4"/>
    <w:qFormat/>
    <w:uiPriority w:val="0"/>
    <w:rPr>
      <w:kern w:val="2"/>
      <w:sz w:val="18"/>
      <w:szCs w:val="18"/>
    </w:rPr>
  </w:style>
  <w:style w:type="character" w:customStyle="1" w:styleId="14">
    <w:name w:val="页脚 Char Char"/>
    <w:link w:val="5"/>
    <w:qFormat/>
    <w:uiPriority w:val="0"/>
    <w:rPr>
      <w:kern w:val="2"/>
      <w:sz w:val="18"/>
      <w:szCs w:val="18"/>
    </w:rPr>
  </w:style>
  <w:style w:type="character" w:customStyle="1" w:styleId="15">
    <w:name w:val="页眉 Char Char"/>
    <w:link w:val="6"/>
    <w:qFormat/>
    <w:uiPriority w:val="0"/>
    <w:rPr>
      <w:kern w:val="2"/>
      <w:sz w:val="18"/>
      <w:szCs w:val="18"/>
    </w:rPr>
  </w:style>
  <w:style w:type="character" w:customStyle="1" w:styleId="16">
    <w:name w:val="font01"/>
    <w:basedOn w:val="9"/>
    <w:qFormat/>
    <w:uiPriority w:val="0"/>
    <w:rPr>
      <w:rFonts w:hint="eastAsia" w:ascii="宋体" w:hAnsi="宋体" w:eastAsia="宋体" w:cs="宋体"/>
      <w:color w:val="000000"/>
      <w:sz w:val="22"/>
      <w:szCs w:val="22"/>
      <w:u w:val="none"/>
    </w:rPr>
  </w:style>
  <w:style w:type="character" w:customStyle="1" w:styleId="17">
    <w:name w:val="font51"/>
    <w:basedOn w:val="9"/>
    <w:qFormat/>
    <w:uiPriority w:val="0"/>
    <w:rPr>
      <w:rFonts w:hint="eastAsia" w:ascii="宋体" w:hAnsi="宋体" w:eastAsia="宋体" w:cs="宋体"/>
      <w:color w:val="000000"/>
      <w:sz w:val="24"/>
      <w:szCs w:val="24"/>
      <w:u w:val="none"/>
    </w:rPr>
  </w:style>
  <w:style w:type="character" w:customStyle="1" w:styleId="18">
    <w:name w:val="font11"/>
    <w:basedOn w:val="9"/>
    <w:qFormat/>
    <w:uiPriority w:val="0"/>
    <w:rPr>
      <w:rFonts w:hint="eastAsia" w:ascii="宋体" w:hAnsi="宋体" w:eastAsia="宋体" w:cs="宋体"/>
      <w:color w:val="000000"/>
      <w:sz w:val="20"/>
      <w:szCs w:val="20"/>
      <w:u w:val="none"/>
    </w:rPr>
  </w:style>
  <w:style w:type="character" w:customStyle="1" w:styleId="19">
    <w:name w:val="font41"/>
    <w:basedOn w:val="9"/>
    <w:qFormat/>
    <w:uiPriority w:val="0"/>
    <w:rPr>
      <w:rFonts w:hint="eastAsia" w:ascii="宋体" w:hAnsi="宋体" w:eastAsia="宋体" w:cs="宋体"/>
      <w:color w:val="000000"/>
      <w:sz w:val="24"/>
      <w:szCs w:val="24"/>
      <w:u w:val="none"/>
    </w:rPr>
  </w:style>
  <w:style w:type="character" w:customStyle="1" w:styleId="20">
    <w:name w:val="font21"/>
    <w:basedOn w:val="9"/>
    <w:qFormat/>
    <w:uiPriority w:val="0"/>
    <w:rPr>
      <w:rFonts w:hint="eastAsia" w:ascii="宋体" w:hAnsi="宋体" w:eastAsia="宋体" w:cs="宋体"/>
      <w:color w:val="000000"/>
      <w:sz w:val="22"/>
      <w:szCs w:val="22"/>
      <w:u w:val="none"/>
    </w:rPr>
  </w:style>
  <w:style w:type="paragraph" w:customStyle="1" w:styleId="21">
    <w:name w:val="标题1"/>
    <w:basedOn w:val="2"/>
    <w:qFormat/>
    <w:uiPriority w:val="0"/>
    <w:pPr>
      <w:spacing w:before="0" w:beforeLines="0" w:after="0" w:afterLines="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6733</Words>
  <Characters>8200</Characters>
  <Lines>57</Lines>
  <Paragraphs>16</Paragraphs>
  <TotalTime>2</TotalTime>
  <ScaleCrop>false</ScaleCrop>
  <LinksUpToDate>false</LinksUpToDate>
  <CharactersWithSpaces>8404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Administrator</cp:lastModifiedBy>
  <cp:lastPrinted>2023-02-17T02:54:00Z</cp:lastPrinted>
  <dcterms:modified xsi:type="dcterms:W3CDTF">2023-09-14T06:31:15Z</dcterms:modified>
  <dc:title>2020年度</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0DC2C15B189E4A5F8672B06819376C1E</vt:lpwstr>
  </property>
</Properties>
</file>