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许昌市食品药品检验检测中心</w:t>
      </w:r>
      <w:r>
        <w:rPr>
          <w:rFonts w:hint="eastAsia" w:ascii="黑体" w:hAnsi="黑体" w:eastAsia="黑体" w:cs="黑体"/>
          <w:color w:val="auto"/>
          <w:sz w:val="52"/>
          <w:szCs w:val="52"/>
          <w:highlight w:val="none"/>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许昌市食品药品检验检测中心概况</w:t>
      </w:r>
    </w:p>
    <w:p>
      <w:pPr>
        <w:numPr>
          <w:ilvl w:val="0"/>
          <w:numId w:val="1"/>
        </w:numPr>
        <w:ind w:firstLine="640" w:firstLineChars="200"/>
        <w:jc w:val="left"/>
        <w:rPr>
          <w:rFonts w:ascii="宋体" w:hAnsi="宋体" w:cs="宋体"/>
          <w:color w:val="auto"/>
          <w:sz w:val="32"/>
          <w:szCs w:val="32"/>
          <w:highlight w:val="none"/>
        </w:rPr>
      </w:pPr>
      <w:r>
        <w:rPr>
          <w:rFonts w:hint="eastAsia" w:ascii="黑体" w:hAnsi="黑体" w:eastAsia="黑体" w:cs="黑体"/>
          <w:color w:val="auto"/>
          <w:sz w:val="32"/>
          <w:szCs w:val="32"/>
          <w:highlight w:val="none"/>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  许昌市食品药品检验检测中心概况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rPr>
        <w:t>单位</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（一）承担本辖区内食品、药品、保健食品、药用辅料、洁净室（区）环境检测的监督检验、委托检验等工作以及药品的复检工作。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（二）承担上级主管部门委托的辖区内食品、药品、保健食品的抽验计划的起草、组织实施工作。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 xml:space="preserve">（三）承担省和本辖区食品、药品、保健食品计划抽验的抽样和检验工作，提供食品、药品、保健食品质量公告所需的本辖区的技术数据和质量分析报告。 </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（四）承担省市场监督管理局授权的药品、食品、保健食品检验工作。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（五）对辖区内食品药品检验机构业务技术工作进行指导、检查和协调。</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（六）开展对本辖区食品药品生产、经营企业、医疗机构检验部门的业务指导和培训工作。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（七）负责收集、整理、综合上报和反馈本辖区内食品、药品、保健食品质量信息。</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（八）承担市级市场监督管理部门交办的其他工作。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食品药品检验检测中心内设机构13个，包括：办公室、业务室、总务室、财务室、抽检办、不良反应监测中心办公室、化学室、生测室、中药室、食品理化室、食品仪器分析室、食品元素分析室、食品微生物室。</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从决算单位构成看，许昌市食品药品检验检测中心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2021年度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 许昌市食品药品检验检测中心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441" w:type="dxa"/>
        <w:tblInd w:w="93" w:type="dxa"/>
        <w:tblLayout w:type="autofit"/>
        <w:tblCellMar>
          <w:top w:w="0" w:type="dxa"/>
          <w:left w:w="108" w:type="dxa"/>
          <w:bottom w:w="0" w:type="dxa"/>
          <w:right w:w="108" w:type="dxa"/>
        </w:tblCellMar>
      </w:tblPr>
      <w:tblGrid>
        <w:gridCol w:w="5186"/>
        <w:gridCol w:w="687"/>
        <w:gridCol w:w="1008"/>
        <w:gridCol w:w="4865"/>
        <w:gridCol w:w="687"/>
        <w:gridCol w:w="1008"/>
      </w:tblGrid>
      <w:tr>
        <w:tblPrEx>
          <w:tblCellMar>
            <w:top w:w="0" w:type="dxa"/>
            <w:left w:w="108" w:type="dxa"/>
            <w:bottom w:w="0" w:type="dxa"/>
            <w:right w:w="108" w:type="dxa"/>
          </w:tblCellMar>
        </w:tblPrEx>
        <w:trPr>
          <w:trHeight w:val="390" w:hRule="atLeast"/>
        </w:trPr>
        <w:tc>
          <w:tcPr>
            <w:tcW w:w="13441" w:type="dxa"/>
            <w:gridSpan w:val="6"/>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18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687"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00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6560" w:type="dxa"/>
            <w:gridSpan w:val="3"/>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公开01表</w:t>
            </w:r>
          </w:p>
        </w:tc>
      </w:tr>
      <w:tr>
        <w:tblPrEx>
          <w:tblCellMar>
            <w:top w:w="0" w:type="dxa"/>
            <w:left w:w="108" w:type="dxa"/>
            <w:bottom w:w="0" w:type="dxa"/>
            <w:right w:w="108" w:type="dxa"/>
          </w:tblCellMar>
        </w:tblPrEx>
        <w:trPr>
          <w:trHeight w:val="255" w:hRule="atLeast"/>
        </w:trPr>
        <w:tc>
          <w:tcPr>
            <w:tcW w:w="6881" w:type="dxa"/>
            <w:gridSpan w:val="3"/>
            <w:tcBorders>
              <w:top w:val="nil"/>
              <w:left w:val="nil"/>
              <w:bottom w:val="single" w:color="000000" w:sz="4" w:space="0"/>
              <w:right w:val="nil"/>
            </w:tcBorders>
            <w:shd w:val="clear" w:color="auto" w:fill="FFFFFF"/>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6560" w:type="dxa"/>
            <w:gridSpan w:val="3"/>
            <w:tcBorders>
              <w:top w:val="nil"/>
              <w:left w:val="nil"/>
              <w:bottom w:val="single" w:color="000000" w:sz="4" w:space="0"/>
              <w:right w:val="nil"/>
            </w:tcBorders>
            <w:shd w:val="clear" w:color="auto" w:fill="FFFFFF"/>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88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560"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0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614.21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608.86</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614.21</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713.43</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99.22</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5186"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87"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713.43</w:t>
            </w:r>
          </w:p>
        </w:tc>
        <w:tc>
          <w:tcPr>
            <w:tcW w:w="48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8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00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713.43</w:t>
            </w:r>
          </w:p>
        </w:tc>
      </w:tr>
      <w:tr>
        <w:tblPrEx>
          <w:tblCellMar>
            <w:top w:w="0" w:type="dxa"/>
            <w:left w:w="108" w:type="dxa"/>
            <w:bottom w:w="0" w:type="dxa"/>
            <w:right w:w="108" w:type="dxa"/>
          </w:tblCellMar>
        </w:tblPrEx>
        <w:trPr>
          <w:trHeight w:val="308" w:hRule="atLeast"/>
        </w:trPr>
        <w:tc>
          <w:tcPr>
            <w:tcW w:w="13441" w:type="dxa"/>
            <w:gridSpan w:val="6"/>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3371" w:type="dxa"/>
        <w:tblInd w:w="93" w:type="dxa"/>
        <w:tblLayout w:type="autofit"/>
        <w:tblCellMar>
          <w:top w:w="0" w:type="dxa"/>
          <w:left w:w="108" w:type="dxa"/>
          <w:bottom w:w="0" w:type="dxa"/>
          <w:right w:w="108" w:type="dxa"/>
        </w:tblCellMar>
      </w:tblPr>
      <w:tblGrid>
        <w:gridCol w:w="327"/>
        <w:gridCol w:w="327"/>
        <w:gridCol w:w="332"/>
        <w:gridCol w:w="5770"/>
        <w:gridCol w:w="1290"/>
        <w:gridCol w:w="1290"/>
        <w:gridCol w:w="844"/>
        <w:gridCol w:w="844"/>
        <w:gridCol w:w="844"/>
        <w:gridCol w:w="844"/>
        <w:gridCol w:w="844"/>
      </w:tblGrid>
      <w:tr>
        <w:tblPrEx>
          <w:tblCellMar>
            <w:top w:w="0" w:type="dxa"/>
            <w:left w:w="108" w:type="dxa"/>
            <w:bottom w:w="0" w:type="dxa"/>
            <w:right w:w="108" w:type="dxa"/>
          </w:tblCellMar>
        </w:tblPrEx>
        <w:trPr>
          <w:trHeight w:val="390" w:hRule="atLeast"/>
        </w:trPr>
        <w:tc>
          <w:tcPr>
            <w:tcW w:w="13371" w:type="dxa"/>
            <w:gridSpan w:val="11"/>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266"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266"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269"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577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9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9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84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84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532" w:type="dxa"/>
            <w:gridSpan w:val="3"/>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公开02表</w:t>
            </w:r>
          </w:p>
        </w:tc>
      </w:tr>
      <w:tr>
        <w:tblPrEx>
          <w:tblCellMar>
            <w:top w:w="0" w:type="dxa"/>
            <w:left w:w="108" w:type="dxa"/>
            <w:bottom w:w="0" w:type="dxa"/>
            <w:right w:w="108" w:type="dxa"/>
          </w:tblCellMar>
        </w:tblPrEx>
        <w:trPr>
          <w:trHeight w:val="255" w:hRule="atLeast"/>
        </w:trPr>
        <w:tc>
          <w:tcPr>
            <w:tcW w:w="9995" w:type="dxa"/>
            <w:gridSpan w:val="7"/>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84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532"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571"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29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29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844"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84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80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77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7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77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4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571"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2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29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844"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08" w:hRule="atLeast"/>
        </w:trPr>
        <w:tc>
          <w:tcPr>
            <w:tcW w:w="6571"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614.21</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614.21</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514.66</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514.66</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5770"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511.68</w:t>
            </w:r>
          </w:p>
        </w:tc>
        <w:tc>
          <w:tcPr>
            <w:tcW w:w="129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511.68</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2013850</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事业运行</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469.50</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469.50</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42.17</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42.17</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84.84</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84.84</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84.84</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84.84</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51.78</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51.78</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33.06</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33.06</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77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12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14.71</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44"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371" w:type="dxa"/>
            <w:gridSpan w:val="11"/>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67" w:type="dxa"/>
        <w:tblInd w:w="93" w:type="dxa"/>
        <w:tblLayout w:type="autofit"/>
        <w:tblCellMar>
          <w:top w:w="0" w:type="dxa"/>
          <w:left w:w="108" w:type="dxa"/>
          <w:bottom w:w="0" w:type="dxa"/>
          <w:right w:w="108" w:type="dxa"/>
        </w:tblCellMar>
      </w:tblPr>
      <w:tblGrid>
        <w:gridCol w:w="327"/>
        <w:gridCol w:w="327"/>
        <w:gridCol w:w="332"/>
        <w:gridCol w:w="5857"/>
        <w:gridCol w:w="1493"/>
        <w:gridCol w:w="1493"/>
        <w:gridCol w:w="1382"/>
        <w:gridCol w:w="1047"/>
        <w:gridCol w:w="1047"/>
        <w:gridCol w:w="1047"/>
      </w:tblGrid>
      <w:tr>
        <w:tblPrEx>
          <w:tblCellMar>
            <w:top w:w="0" w:type="dxa"/>
            <w:left w:w="108" w:type="dxa"/>
            <w:bottom w:w="0" w:type="dxa"/>
            <w:right w:w="108" w:type="dxa"/>
          </w:tblCellMar>
        </w:tblPrEx>
        <w:trPr>
          <w:trHeight w:val="390" w:hRule="atLeast"/>
        </w:trPr>
        <w:tc>
          <w:tcPr>
            <w:tcW w:w="14167" w:type="dxa"/>
            <w:gridSpan w:val="10"/>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2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6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857"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493"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493"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38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141" w:type="dxa"/>
            <w:gridSpan w:val="3"/>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公开03表</w:t>
            </w:r>
          </w:p>
        </w:tc>
      </w:tr>
      <w:tr>
        <w:tblPrEx>
          <w:tblCellMar>
            <w:top w:w="0" w:type="dxa"/>
            <w:left w:w="108" w:type="dxa"/>
            <w:bottom w:w="0" w:type="dxa"/>
            <w:right w:w="108" w:type="dxa"/>
          </w:tblCellMar>
        </w:tblPrEx>
        <w:trPr>
          <w:trHeight w:val="255" w:hRule="atLeast"/>
        </w:trPr>
        <w:tc>
          <w:tcPr>
            <w:tcW w:w="9644" w:type="dxa"/>
            <w:gridSpan w:val="6"/>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138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141"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65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4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4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38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04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801"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85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801"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5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8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4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658"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49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493"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82"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047"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6658"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713.43</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622.45</w:t>
            </w:r>
          </w:p>
        </w:tc>
        <w:tc>
          <w:tcPr>
            <w:tcW w:w="138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90.98</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857"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608.86</w:t>
            </w:r>
          </w:p>
        </w:tc>
        <w:tc>
          <w:tcPr>
            <w:tcW w:w="14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517.88</w:t>
            </w:r>
          </w:p>
        </w:tc>
        <w:tc>
          <w:tcPr>
            <w:tcW w:w="138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90.98</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605.88</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90.98</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2013812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药品事务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4.09</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4.09</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2013850</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事业运行</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86.89</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86.89</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35.95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35.95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801"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857"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4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38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47"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4167" w:type="dxa"/>
            <w:gridSpan w:val="10"/>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22" w:type="dxa"/>
        <w:tblInd w:w="0" w:type="dxa"/>
        <w:tblLayout w:type="fixed"/>
        <w:tblCellMar>
          <w:top w:w="0" w:type="dxa"/>
          <w:left w:w="0" w:type="dxa"/>
          <w:bottom w:w="0" w:type="dxa"/>
          <w:right w:w="0" w:type="dxa"/>
        </w:tblCellMar>
      </w:tblPr>
      <w:tblGrid>
        <w:gridCol w:w="4103"/>
        <w:gridCol w:w="465"/>
        <w:gridCol w:w="1193"/>
        <w:gridCol w:w="4684"/>
        <w:gridCol w:w="465"/>
        <w:gridCol w:w="945"/>
        <w:gridCol w:w="1149"/>
        <w:gridCol w:w="709"/>
        <w:gridCol w:w="275"/>
        <w:gridCol w:w="434"/>
      </w:tblGrid>
      <w:tr>
        <w:tblPrEx>
          <w:tblCellMar>
            <w:top w:w="0" w:type="dxa"/>
            <w:left w:w="0" w:type="dxa"/>
            <w:bottom w:w="0" w:type="dxa"/>
            <w:right w:w="0" w:type="dxa"/>
          </w:tblCellMar>
        </w:tblPrEx>
        <w:trPr>
          <w:gridAfter w:val="1"/>
          <w:wAfter w:w="434" w:type="dxa"/>
          <w:trHeight w:val="600" w:hRule="atLeast"/>
        </w:trPr>
        <w:tc>
          <w:tcPr>
            <w:tcW w:w="13988" w:type="dxa"/>
            <w:gridSpan w:val="9"/>
            <w:tcBorders>
              <w:top w:val="nil"/>
              <w:left w:val="nil"/>
              <w:bottom w:val="nil"/>
              <w:right w:val="nil"/>
            </w:tcBorders>
            <w:shd w:val="clear" w:color="auto" w:fill="FFFFFF"/>
            <w:noWrap w:val="0"/>
            <w:tcMar>
              <w:top w:w="15" w:type="dxa"/>
              <w:left w:w="15" w:type="dxa"/>
              <w:right w:w="15" w:type="dxa"/>
            </w:tcMar>
            <w:vAlign w:val="center"/>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4103"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465"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1193" w:type="dxa"/>
            <w:tcBorders>
              <w:top w:val="nil"/>
              <w:left w:val="nil"/>
              <w:bottom w:val="nil"/>
              <w:right w:val="nil"/>
            </w:tcBorders>
            <w:noWrap/>
            <w:vAlign w:val="bottom"/>
          </w:tcPr>
          <w:p>
            <w:pPr>
              <w:widowControl/>
              <w:jc w:val="left"/>
              <w:rPr>
                <w:rFonts w:ascii="Arial" w:hAnsi="Arial" w:cs="Arial"/>
                <w:color w:val="auto"/>
                <w:kern w:val="0"/>
                <w:sz w:val="20"/>
                <w:szCs w:val="20"/>
                <w:highlight w:val="none"/>
              </w:rPr>
            </w:pPr>
          </w:p>
        </w:tc>
        <w:tc>
          <w:tcPr>
            <w:tcW w:w="468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6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4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567" w:type="dxa"/>
            <w:gridSpan w:val="4"/>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公开04表</w:t>
            </w:r>
          </w:p>
        </w:tc>
      </w:tr>
      <w:tr>
        <w:tblPrEx>
          <w:tblCellMar>
            <w:top w:w="0" w:type="dxa"/>
            <w:left w:w="108" w:type="dxa"/>
            <w:bottom w:w="0" w:type="dxa"/>
            <w:right w:w="108" w:type="dxa"/>
          </w:tblCellMar>
        </w:tblPrEx>
        <w:trPr>
          <w:trHeight w:val="255" w:hRule="atLeast"/>
        </w:trPr>
        <w:tc>
          <w:tcPr>
            <w:tcW w:w="10445" w:type="dxa"/>
            <w:gridSpan w:val="4"/>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46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4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567" w:type="dxa"/>
            <w:gridSpan w:val="4"/>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76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661" w:type="dxa"/>
            <w:gridSpan w:val="7"/>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4103"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6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193"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68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46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94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4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70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709" w:type="dxa"/>
            <w:gridSpan w:val="2"/>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4103"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68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6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0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09"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4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4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70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614.21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606.86</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606.86</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614.21</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711.43</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711.43</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97.22</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97.22</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103"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65"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19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711.43</w:t>
            </w:r>
          </w:p>
        </w:tc>
        <w:tc>
          <w:tcPr>
            <w:tcW w:w="46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46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9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711.43</w:t>
            </w:r>
          </w:p>
        </w:tc>
        <w:tc>
          <w:tcPr>
            <w:tcW w:w="114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711.43</w:t>
            </w:r>
          </w:p>
        </w:tc>
        <w:tc>
          <w:tcPr>
            <w:tcW w:w="7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585" w:hRule="atLeast"/>
        </w:trPr>
        <w:tc>
          <w:tcPr>
            <w:tcW w:w="14422" w:type="dxa"/>
            <w:gridSpan w:val="10"/>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20" w:type="dxa"/>
        <w:tblInd w:w="93" w:type="dxa"/>
        <w:tblLayout w:type="autofit"/>
        <w:tblCellMar>
          <w:top w:w="0" w:type="dxa"/>
          <w:left w:w="108" w:type="dxa"/>
          <w:bottom w:w="0" w:type="dxa"/>
          <w:right w:w="108" w:type="dxa"/>
        </w:tblCellMar>
      </w:tblPr>
      <w:tblGrid>
        <w:gridCol w:w="2194"/>
        <w:gridCol w:w="5855"/>
        <w:gridCol w:w="2068"/>
        <w:gridCol w:w="1835"/>
        <w:gridCol w:w="1868"/>
      </w:tblGrid>
      <w:tr>
        <w:tblPrEx>
          <w:tblCellMar>
            <w:top w:w="0" w:type="dxa"/>
            <w:left w:w="108" w:type="dxa"/>
            <w:bottom w:w="0" w:type="dxa"/>
            <w:right w:w="108" w:type="dxa"/>
          </w:tblCellMar>
        </w:tblPrEx>
        <w:trPr>
          <w:trHeight w:val="390" w:hRule="atLeast"/>
        </w:trPr>
        <w:tc>
          <w:tcPr>
            <w:tcW w:w="13820" w:type="dxa"/>
            <w:gridSpan w:val="5"/>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219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85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06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703"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公开05表</w:t>
            </w:r>
          </w:p>
        </w:tc>
      </w:tr>
      <w:tr>
        <w:tblPrEx>
          <w:tblCellMar>
            <w:top w:w="0" w:type="dxa"/>
            <w:left w:w="108" w:type="dxa"/>
            <w:bottom w:w="0" w:type="dxa"/>
            <w:right w:w="108" w:type="dxa"/>
          </w:tblCellMar>
        </w:tblPrEx>
        <w:trPr>
          <w:trHeight w:val="255" w:hRule="atLeast"/>
        </w:trPr>
        <w:tc>
          <w:tcPr>
            <w:tcW w:w="10117" w:type="dxa"/>
            <w:gridSpan w:val="3"/>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3703"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8049"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771"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85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206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83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868"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21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0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21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0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3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68"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804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20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83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8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308" w:hRule="atLeast"/>
        </w:trPr>
        <w:tc>
          <w:tcPr>
            <w:tcW w:w="804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711.43</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622.45</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855"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606.86</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517.88</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855"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20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8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86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603.88</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88.98</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2013812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药品事务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4.09</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4.09</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2013850</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事业运行</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514.90</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84.89</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84.89</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87.82</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事业单位离退休</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35.95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35.95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19" w:hRule="atLeast"/>
        </w:trPr>
        <w:tc>
          <w:tcPr>
            <w:tcW w:w="2194"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2101102</w:t>
            </w:r>
          </w:p>
        </w:tc>
        <w:tc>
          <w:tcPr>
            <w:tcW w:w="5855"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事业单位医疗</w:t>
            </w:r>
          </w:p>
        </w:tc>
        <w:tc>
          <w:tcPr>
            <w:tcW w:w="20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3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186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820" w:type="dxa"/>
            <w:gridSpan w:val="5"/>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14781" w:type="dxa"/>
        <w:tblInd w:w="93" w:type="dxa"/>
        <w:tblLayout w:type="autofit"/>
        <w:tblCellMar>
          <w:top w:w="0" w:type="dxa"/>
          <w:left w:w="108" w:type="dxa"/>
          <w:bottom w:w="0" w:type="dxa"/>
          <w:right w:w="108" w:type="dxa"/>
        </w:tblCellMar>
      </w:tblPr>
      <w:tblGrid>
        <w:gridCol w:w="766"/>
        <w:gridCol w:w="3504"/>
        <w:gridCol w:w="974"/>
        <w:gridCol w:w="766"/>
        <w:gridCol w:w="2331"/>
        <w:gridCol w:w="766"/>
        <w:gridCol w:w="766"/>
        <w:gridCol w:w="4210"/>
        <w:gridCol w:w="855"/>
      </w:tblGrid>
      <w:tr>
        <w:tblPrEx>
          <w:tblCellMar>
            <w:top w:w="0" w:type="dxa"/>
            <w:left w:w="108" w:type="dxa"/>
            <w:bottom w:w="0" w:type="dxa"/>
            <w:right w:w="108" w:type="dxa"/>
          </w:tblCellMar>
        </w:tblPrEx>
        <w:trPr>
          <w:trHeight w:val="390" w:hRule="atLeast"/>
        </w:trPr>
        <w:tc>
          <w:tcPr>
            <w:tcW w:w="14781" w:type="dxa"/>
            <w:gridSpan w:val="9"/>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70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50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74"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33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4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065"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8244" w:type="dxa"/>
            <w:gridSpan w:val="5"/>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745"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27"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065"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186"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9595"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708"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50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974"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2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33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74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27"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421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855"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70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50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74"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33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4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27"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421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8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541.26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29.31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142.69</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166.94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61.43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83.66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0.67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35.95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1.83</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16.75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1.95</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0.06</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31.91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0.78</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1.74</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51.87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0.01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4.50</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2.98</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3.17</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1.61</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0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50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23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7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2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21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212"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97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593.14</w:t>
            </w:r>
          </w:p>
        </w:tc>
        <w:tc>
          <w:tcPr>
            <w:tcW w:w="8740"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85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29.31</w:t>
            </w:r>
          </w:p>
        </w:tc>
      </w:tr>
      <w:tr>
        <w:tblPrEx>
          <w:tblCellMar>
            <w:top w:w="0" w:type="dxa"/>
            <w:left w:w="108" w:type="dxa"/>
            <w:bottom w:w="0" w:type="dxa"/>
            <w:right w:w="108" w:type="dxa"/>
          </w:tblCellMar>
        </w:tblPrEx>
        <w:trPr>
          <w:trHeight w:val="308" w:hRule="atLeast"/>
        </w:trPr>
        <w:tc>
          <w:tcPr>
            <w:tcW w:w="14781" w:type="dxa"/>
            <w:gridSpan w:val="9"/>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14040" w:type="dxa"/>
        <w:tblInd w:w="93" w:type="dxa"/>
        <w:tblLayout w:type="autofit"/>
        <w:tblCellMar>
          <w:top w:w="0" w:type="dxa"/>
          <w:left w:w="108" w:type="dxa"/>
          <w:bottom w:w="0" w:type="dxa"/>
          <w:right w:w="108" w:type="dxa"/>
        </w:tblCellMar>
      </w:tblPr>
      <w:tblGrid>
        <w:gridCol w:w="940"/>
        <w:gridCol w:w="1420"/>
        <w:gridCol w:w="880"/>
        <w:gridCol w:w="1100"/>
        <w:gridCol w:w="1100"/>
        <w:gridCol w:w="960"/>
        <w:gridCol w:w="900"/>
        <w:gridCol w:w="1060"/>
        <w:gridCol w:w="1420"/>
        <w:gridCol w:w="1420"/>
        <w:gridCol w:w="1420"/>
        <w:gridCol w:w="1420"/>
      </w:tblGrid>
      <w:tr>
        <w:tblPrEx>
          <w:tblCellMar>
            <w:top w:w="0" w:type="dxa"/>
            <w:left w:w="108" w:type="dxa"/>
            <w:bottom w:w="0" w:type="dxa"/>
            <w:right w:w="108" w:type="dxa"/>
          </w:tblCellMar>
        </w:tblPrEx>
        <w:trPr>
          <w:trHeight w:val="540" w:hRule="atLeast"/>
        </w:trPr>
        <w:tc>
          <w:tcPr>
            <w:tcW w:w="14040" w:type="dxa"/>
            <w:gridSpan w:val="12"/>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94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42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8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0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0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0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0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680" w:type="dxa"/>
            <w:gridSpan w:val="4"/>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公开07表</w:t>
            </w:r>
          </w:p>
        </w:tc>
      </w:tr>
      <w:tr>
        <w:tblPrEx>
          <w:tblCellMar>
            <w:top w:w="0" w:type="dxa"/>
            <w:left w:w="108" w:type="dxa"/>
            <w:bottom w:w="0" w:type="dxa"/>
            <w:right w:w="108" w:type="dxa"/>
          </w:tblCellMar>
        </w:tblPrEx>
        <w:trPr>
          <w:trHeight w:val="255" w:hRule="atLeast"/>
        </w:trPr>
        <w:tc>
          <w:tcPr>
            <w:tcW w:w="5440" w:type="dxa"/>
            <w:gridSpan w:val="5"/>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9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0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0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680" w:type="dxa"/>
            <w:gridSpan w:val="4"/>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400"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7640"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940"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4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08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96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90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06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4260" w:type="dxa"/>
            <w:gridSpan w:val="3"/>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420"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9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142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8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96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90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1060"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4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88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90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06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420" w:type="dxa"/>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2.80</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8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2.00</w:t>
            </w:r>
          </w:p>
        </w:tc>
        <w:tc>
          <w:tcPr>
            <w:tcW w:w="1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2.00</w:t>
            </w:r>
          </w:p>
        </w:tc>
        <w:tc>
          <w:tcPr>
            <w:tcW w:w="9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0.80</w:t>
            </w:r>
          </w:p>
        </w:tc>
        <w:tc>
          <w:tcPr>
            <w:tcW w:w="9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1.62</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1.61</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1.61</w:t>
            </w:r>
          </w:p>
        </w:tc>
        <w:tc>
          <w:tcPr>
            <w:tcW w:w="14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0.01</w:t>
            </w:r>
          </w:p>
        </w:tc>
      </w:tr>
      <w:tr>
        <w:tblPrEx>
          <w:tblCellMar>
            <w:top w:w="0" w:type="dxa"/>
            <w:left w:w="108" w:type="dxa"/>
            <w:bottom w:w="0" w:type="dxa"/>
            <w:right w:w="108" w:type="dxa"/>
          </w:tblCellMar>
        </w:tblPrEx>
        <w:trPr>
          <w:trHeight w:val="615" w:hRule="atLeast"/>
        </w:trPr>
        <w:tc>
          <w:tcPr>
            <w:tcW w:w="14040" w:type="dxa"/>
            <w:gridSpan w:val="12"/>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p>
      <w:pPr>
        <w:widowControl/>
        <w:spacing w:line="590" w:lineRule="exact"/>
        <w:jc w:val="left"/>
        <w:rPr>
          <w:rFonts w:hint="eastAsia" w:ascii="仿宋_GB2312" w:hAnsi="仿宋_GB2312" w:eastAsia="仿宋_GB2312" w:cs="仿宋_GB2312"/>
          <w:color w:val="auto"/>
          <w:sz w:val="32"/>
          <w:szCs w:val="32"/>
          <w:highlight w:val="none"/>
        </w:rPr>
      </w:pPr>
    </w:p>
    <w:tbl>
      <w:tblPr>
        <w:tblStyle w:val="5"/>
        <w:tblW w:w="13960" w:type="dxa"/>
        <w:tblInd w:w="93" w:type="dxa"/>
        <w:tblLayout w:type="autofit"/>
        <w:tblCellMar>
          <w:top w:w="0" w:type="dxa"/>
          <w:left w:w="108" w:type="dxa"/>
          <w:bottom w:w="0" w:type="dxa"/>
          <w:right w:w="108" w:type="dxa"/>
        </w:tblCellMar>
      </w:tblPr>
      <w:tblGrid>
        <w:gridCol w:w="222"/>
        <w:gridCol w:w="222"/>
        <w:gridCol w:w="222"/>
        <w:gridCol w:w="1809"/>
        <w:gridCol w:w="1934"/>
        <w:gridCol w:w="1934"/>
        <w:gridCol w:w="1934"/>
        <w:gridCol w:w="1934"/>
        <w:gridCol w:w="1934"/>
        <w:gridCol w:w="1936"/>
      </w:tblGrid>
      <w:tr>
        <w:tblPrEx>
          <w:tblCellMar>
            <w:top w:w="0" w:type="dxa"/>
            <w:left w:w="108" w:type="dxa"/>
            <w:bottom w:w="0" w:type="dxa"/>
            <w:right w:w="108" w:type="dxa"/>
          </w:tblCellMar>
        </w:tblPrEx>
        <w:trPr>
          <w:trHeight w:val="390" w:hRule="atLeast"/>
        </w:trPr>
        <w:tc>
          <w:tcPr>
            <w:tcW w:w="13960" w:type="dxa"/>
            <w:gridSpan w:val="10"/>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10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0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0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84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96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909" w:type="dxa"/>
            <w:gridSpan w:val="3"/>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公开08表</w:t>
            </w:r>
          </w:p>
        </w:tc>
      </w:tr>
      <w:tr>
        <w:tblPrEx>
          <w:tblCellMar>
            <w:top w:w="0" w:type="dxa"/>
            <w:left w:w="108" w:type="dxa"/>
            <w:bottom w:w="0" w:type="dxa"/>
            <w:right w:w="108" w:type="dxa"/>
          </w:tblCellMar>
        </w:tblPrEx>
        <w:trPr>
          <w:trHeight w:val="255" w:hRule="atLeast"/>
        </w:trPr>
        <w:tc>
          <w:tcPr>
            <w:tcW w:w="6082" w:type="dxa"/>
            <w:gridSpan w:val="6"/>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：许昌市食品药品检验检测中心</w:t>
            </w:r>
          </w:p>
        </w:tc>
        <w:tc>
          <w:tcPr>
            <w:tcW w:w="196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909"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2144"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w:t>
            </w:r>
          </w:p>
        </w:tc>
        <w:tc>
          <w:tcPr>
            <w:tcW w:w="5907"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c>
          <w:tcPr>
            <w:tcW w:w="1971"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303"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184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969"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shd w:val="clear" w:color="auto" w:fill="auto"/>
            <w:noWrap w:val="0"/>
            <w:vAlign w:val="center"/>
          </w:tcPr>
          <w:p>
            <w:pPr>
              <w:widowControl/>
              <w:jc w:val="left"/>
              <w:rPr>
                <w:rFonts w:ascii="宋体" w:hAnsi="宋体" w:cs="Arial"/>
                <w:color w:val="auto"/>
                <w:kern w:val="0"/>
                <w:sz w:val="22"/>
                <w:highlight w:val="none"/>
              </w:rPr>
            </w:pP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969" w:type="dxa"/>
            <w:vMerge w:val="restart"/>
            <w:tcBorders>
              <w:top w:val="nil"/>
              <w:left w:val="nil"/>
              <w:bottom w:val="single" w:color="000000" w:sz="4" w:space="0"/>
              <w:right w:val="single" w:color="000000" w:sz="4" w:space="0"/>
            </w:tcBorders>
            <w:shd w:val="clear" w:color="FFFFFF" w:fill="FFFFFF"/>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303"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303"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84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6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97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214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9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9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trHeight w:val="308" w:hRule="atLeast"/>
        </w:trPr>
        <w:tc>
          <w:tcPr>
            <w:tcW w:w="2144"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97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303"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84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6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97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3960" w:type="dxa"/>
            <w:gridSpan w:val="10"/>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本年度政府性基金预算财政拨款收入、支出及结转和结余情况。本表金额转换为万元时，因四舍五入可能存在尾差。</w:t>
            </w:r>
          </w:p>
        </w:tc>
      </w:tr>
    </w:tbl>
    <w:p>
      <w:pPr>
        <w:widowControl/>
        <w:jc w:val="left"/>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说明：我</w:t>
      </w:r>
      <w:r>
        <w:rPr>
          <w:rFonts w:hint="eastAsia" w:ascii="宋体" w:hAnsi="宋体" w:eastAsia="宋体" w:cs="Arial"/>
          <w:color w:val="auto"/>
          <w:kern w:val="0"/>
          <w:sz w:val="22"/>
          <w:highlight w:val="none"/>
          <w:lang w:eastAsia="zh-CN"/>
        </w:rPr>
        <w:t>单位</w:t>
      </w:r>
      <w:r>
        <w:rPr>
          <w:rFonts w:hint="eastAsia" w:ascii="宋体" w:hAnsi="宋体" w:eastAsia="宋体" w:cs="Arial"/>
          <w:color w:val="auto"/>
          <w:kern w:val="0"/>
          <w:sz w:val="2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年度收、支总计均为713.43万元。与上年度相比，收、支总计各减少125.14万元，下降14.92%。主要原因是人员经费减少及压缩项目支出。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614.21万元，其中：财政拨款收入614.21万元，占100.00%；上级补助收入0.00万元，占0.00%；事业收入0.00万元，占0.00%；经营收入0.00万元，占0.00 %；附属单位上缴收入0.00万元，占0.00%；其他收入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年度支出合计713.43万元，其中：基本支出622.45万元，占87.25%；项目支出90.98万元，占12.75%；上缴上级支出0.00万元，占0.00%；经营支出0.00万元，占0.00%；对附属单位补助支出0.00万元，占0.00%。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年度财政拨款收、支总计均为711.43万元。与上年度相比，财政拨款收、支总计各减少125.14万元，下降14.92%。主要原因是人员经费减少及压缩项目支出。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楷体_GB2312" w:hAnsi="楷体_GB2312" w:eastAsia="楷体_GB2312" w:cs="楷体_GB2312"/>
          <w:b/>
          <w:bCs/>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年度一般公共预算财政拨款支出711.43万元，占支出合计的99.72%。与上年度相比，一般公共预算财政拨款支出减少28.96万元，下降3.91%。主要原因是压缩项目支出。</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年度一般公共预算财政拨款支出711.43万元，主要用于以下方面：一般公共服务支出（类）支出606.86万元，占85.30%；社会保障和就业支出（类）支出87.82万元，占12.35%；卫生健康支出（类）支出16.75万元，占2.35%。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年度一般公共预算财政拨款支出年初预算为674.99万元，支出决算为711.43万元，完成年初预算的105.40%。其中：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1．一般公共服务支出（类）群众团体事务（款）工会事务（项）。</w:t>
      </w:r>
      <w:r>
        <w:rPr>
          <w:rFonts w:hint="eastAsia" w:ascii="仿宋_GB2312" w:hAnsi="仿宋_GB2312" w:eastAsia="仿宋_GB2312" w:cs="仿宋_GB2312"/>
          <w:color w:val="auto"/>
          <w:sz w:val="32"/>
          <w:szCs w:val="32"/>
          <w:highlight w:val="none"/>
        </w:rPr>
        <w:t>年初预算为2.98万元，支出决算为2.98万元，完成年初预算的100.00%。决算数与年初预算数不存在差异。</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2、一般公共服务支出（类）市场监督管理事务（款）药品事务（项）。</w:t>
      </w:r>
      <w:r>
        <w:rPr>
          <w:rFonts w:hint="eastAsia" w:ascii="仿宋_GB2312" w:hAnsi="仿宋_GB2312" w:eastAsia="仿宋_GB2312" w:cs="仿宋_GB2312"/>
          <w:color w:val="auto"/>
          <w:sz w:val="32"/>
          <w:szCs w:val="32"/>
          <w:highlight w:val="none"/>
        </w:rPr>
        <w:t>年初预算为0.00万元，支出决算为4.09万元。决算数与年初预算数存在差异的主要原因是使用结转资金继续用于药品抽验工作。</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3、一般公共服务支出（类）市场监督管理事务（款）事业运行（项）。</w:t>
      </w:r>
      <w:r>
        <w:rPr>
          <w:rFonts w:hint="eastAsia" w:ascii="仿宋_GB2312" w:hAnsi="仿宋_GB2312" w:eastAsia="仿宋_GB2312" w:cs="仿宋_GB2312"/>
          <w:color w:val="auto"/>
          <w:sz w:val="32"/>
          <w:szCs w:val="32"/>
          <w:highlight w:val="none"/>
        </w:rPr>
        <w:t>年初预算为520.74万元，支出决算为514.90万元，完成年初预算的98.88%。决算数与年初预算数存在差异的主要原因是有在职人员转为退休人员，人员经费支出减少。</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4、一般公共服务支出（类）市场监督管理事务（款）其他市场监督管理事务（项）。</w:t>
      </w:r>
      <w:r>
        <w:rPr>
          <w:rFonts w:hint="eastAsia" w:ascii="仿宋_GB2312" w:hAnsi="仿宋_GB2312" w:eastAsia="仿宋_GB2312" w:cs="仿宋_GB2312"/>
          <w:color w:val="auto"/>
          <w:sz w:val="32"/>
          <w:szCs w:val="32"/>
          <w:highlight w:val="none"/>
        </w:rPr>
        <w:t>年初预算为49.20万元，支出决算为84.89万元，完成年初预算的172.54%。决算数与年初预算数存在差异的主要原因是使用结转资金继续用于药品抽验工作以及药品、医疗器械等不良反应监测工作。</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5、社会保障和就业支出（类）行政事业单位养老支出（款）事业单位离退休（项）。</w:t>
      </w:r>
      <w:r>
        <w:rPr>
          <w:rFonts w:hint="eastAsia" w:ascii="仿宋_GB2312" w:hAnsi="仿宋_GB2312" w:eastAsia="仿宋_GB2312" w:cs="仿宋_GB2312"/>
          <w:color w:val="auto"/>
          <w:sz w:val="32"/>
          <w:szCs w:val="32"/>
          <w:highlight w:val="none"/>
        </w:rPr>
        <w:t>年初预算为49.05万元，支出决算为51.87万元，完成年初预算的105.75%。决算数与年初预算数存在差异的主要原因是退休人员增加，经费增长。</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年初预算为35.59万元，支出决算为35.95万元，完成年初预算的101.01%。决算数与年初预算数存在差异的主要原因是在职人员养老保险基数增长。</w:t>
      </w:r>
    </w:p>
    <w:p>
      <w:pPr>
        <w:widowControl/>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7、卫生健康支出（类）行政事业单位医疗（款）事业单位医疗（项）。</w:t>
      </w:r>
      <w:r>
        <w:rPr>
          <w:rFonts w:hint="eastAsia" w:ascii="仿宋_GB2312" w:hAnsi="仿宋_GB2312" w:eastAsia="仿宋_GB2312" w:cs="仿宋_GB2312"/>
          <w:color w:val="auto"/>
          <w:sz w:val="32"/>
          <w:szCs w:val="32"/>
          <w:highlight w:val="none"/>
        </w:rPr>
        <w:t>年初预算为17.43万元，支出决算为16.75万元，完成年初预算的96.10%。决算数与年初预算数存在差异的主要原因是在职人员减少，医疗经费支出减少。</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622.45万元。其中：人员经费593.14万元，主要包括：基本工资、津贴补贴、绩效工资、奖金、机关事业单位基本养老保险缴费、职工基本医疗保险缴费、其他社会保障缴费、退休费、住房公积金；公用经费29.31万元，主要包括：办公费、水费、电费、邮电费、取暖费、差旅费、维修（护）费、培训费、公务接待费、劳务费、委托业务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年度“三公”经费财政拨款支出预算为2.80万元，支出决算为1.62万元，完成预算的57.86%。</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olor w:val="auto"/>
          <w:sz w:val="32"/>
          <w:highlight w:val="none"/>
        </w:rPr>
        <w:t>本着厉行节约的要求，</w:t>
      </w:r>
      <w:r>
        <w:rPr>
          <w:rFonts w:hint="eastAsia" w:ascii="仿宋_GB2312" w:hAnsi="仿宋_GB2312" w:eastAsia="仿宋_GB2312" w:cs="仿宋_GB2312"/>
          <w:color w:val="auto"/>
          <w:sz w:val="32"/>
          <w:szCs w:val="32"/>
          <w:highlight w:val="none"/>
        </w:rPr>
        <w:t>减少公务用车运行维护费及公务接待费。</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0.00万元，占0.00%；公务用车购置及运行费支出决算1.61万元，完成预算的80.50%，占99.38%；公务接待费支出决算0.01万元，完成预算的1.25%，占0.62%。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预算为2.00万元，支出决算为1.61万元，完成预算的80.50%。决算数与预算数存在差异的主要原因是</w:t>
      </w:r>
      <w:r>
        <w:rPr>
          <w:rFonts w:hint="eastAsia" w:ascii="仿宋_GB2312" w:hAnsi="仿宋_GB2312" w:eastAsia="仿宋_GB2312"/>
          <w:color w:val="auto"/>
          <w:sz w:val="32"/>
          <w:highlight w:val="none"/>
        </w:rPr>
        <w:t>加强管理，统筹安排车辆，公务用车运行维护费减少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为0.00万元，购置车辆0台。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rPr>
        <w:t>1.61万元。主要用于药品、医疗器械等不良反应监测工作用车支出。</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年期末，单位开支财政拨款的公务用车保有量为2</w:t>
      </w:r>
      <w:r>
        <w:rPr>
          <w:rFonts w:hint="eastAsia" w:ascii="仿宋_GB2312" w:hAnsi="仿宋_GB2312" w:eastAsia="仿宋_GB2312" w:cs="仿宋_GB2312"/>
          <w:color w:val="auto"/>
          <w:sz w:val="32"/>
          <w:szCs w:val="32"/>
          <w:highlight w:val="none"/>
        </w:rPr>
        <w:t>量</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预算为0.80万元，支出决算为0.01万元，完成预算的1.25%。决算数与预算数存在差异的主要原因是</w:t>
      </w:r>
      <w:r>
        <w:rPr>
          <w:rFonts w:hint="eastAsia" w:ascii="仿宋_GB2312" w:hAnsi="仿宋_GB2312" w:eastAsia="仿宋_GB2312"/>
          <w:color w:val="auto"/>
          <w:sz w:val="32"/>
          <w:highlight w:val="none"/>
        </w:rPr>
        <w:t>本着厉行节约的要求，减少公务接待支出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0.00万元。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0.01万元。主要用于省食品药品检验所开展调研交流。</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年共接待国内来访团组1个、来宾6人次（不包括陪同人员）。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年度政府性基金预算财政拨款支出年初预算为0.00万元，支出决算为0.00万元。不存在项目年末结转和结余资金数额较大，</w:t>
      </w:r>
      <w:r>
        <w:rPr>
          <w:rFonts w:hint="eastAsia" w:ascii="仿宋_GB2312" w:hAnsi="仿宋_GB2312" w:eastAsia="仿宋_GB2312" w:cs="仿宋_GB2312"/>
          <w:bCs/>
          <w:color w:val="auto"/>
          <w:sz w:val="32"/>
          <w:szCs w:val="32"/>
          <w:highlight w:val="none"/>
        </w:rPr>
        <w:t>我单位2021年度没</w:t>
      </w:r>
      <w:r>
        <w:rPr>
          <w:rFonts w:hint="eastAsia" w:ascii="仿宋_GB2312" w:hAnsi="仿宋_GB2312" w:eastAsia="仿宋_GB2312" w:cs="仿宋_GB2312"/>
          <w:color w:val="auto"/>
          <w:sz w:val="32"/>
          <w:szCs w:val="32"/>
          <w:highlight w:val="none"/>
        </w:rPr>
        <w:t>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我单位不是行政机关，也不是参照公务员管理事业单位，没有机关运行经费支出。</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2辆，其中：省级领导干部用车0辆、主要领导干部用车0辆、机要通信用车0辆、应急保障车0辆、执法执勤用车0辆、特种专业技术用车0辆、离退休干部用车0辆、其他用车2辆；单位价值50万元以上通用设备6台（套），单位价值100万元以上专用设备1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 许昌市人民政府关于全面实施预算绩效管理的实施意见》（许发〔2021〕13号）文件要求，对本单位整体支出和项目支出开展全过程预算绩效管理。</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我单位多次召开相关科室人员会议，加强学习预算绩效相关制度文件，提高对预算绩效管理工作的重视程度，提升预算绩效管理相关人员绩效管理意识和业务水平。并</w:t>
      </w:r>
      <w:r>
        <w:rPr>
          <w:rFonts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rPr>
        <w:t>单位</w:t>
      </w:r>
      <w:r>
        <w:rPr>
          <w:rFonts w:ascii="仿宋_GB2312" w:hAnsi="仿宋_GB2312" w:eastAsia="仿宋_GB2312" w:cs="仿宋_GB2312"/>
          <w:color w:val="auto"/>
          <w:sz w:val="32"/>
          <w:szCs w:val="32"/>
          <w:highlight w:val="none"/>
        </w:rPr>
        <w:t>职责为依据，确定</w:t>
      </w:r>
      <w:r>
        <w:rPr>
          <w:rFonts w:hint="eastAsia" w:ascii="仿宋_GB2312" w:hAnsi="仿宋_GB2312" w:eastAsia="仿宋_GB2312" w:cs="仿宋_GB2312"/>
          <w:color w:val="auto"/>
          <w:sz w:val="32"/>
          <w:szCs w:val="32"/>
          <w:highlight w:val="none"/>
        </w:rPr>
        <w:t>单位</w:t>
      </w:r>
      <w:r>
        <w:rPr>
          <w:rFonts w:ascii="仿宋_GB2312" w:hAnsi="仿宋_GB2312" w:eastAsia="仿宋_GB2312" w:cs="仿宋_GB2312"/>
          <w:color w:val="auto"/>
          <w:sz w:val="32"/>
          <w:szCs w:val="32"/>
          <w:highlight w:val="none"/>
        </w:rPr>
        <w:t>预算项目和预算额度，清晰描述预算项目开支范围和内容，确定预算项目的绩效目标和评价标准，为预算绩效控制、绩效分析、绩效评价打下</w:t>
      </w:r>
      <w:r>
        <w:rPr>
          <w:rFonts w:hint="eastAsia" w:ascii="仿宋_GB2312" w:hAnsi="仿宋_GB2312" w:eastAsia="仿宋_GB2312" w:cs="仿宋_GB2312"/>
          <w:color w:val="auto"/>
          <w:sz w:val="32"/>
          <w:szCs w:val="32"/>
          <w:highlight w:val="none"/>
        </w:rPr>
        <w:t>了</w:t>
      </w:r>
      <w:r>
        <w:rPr>
          <w:rFonts w:ascii="仿宋_GB2312" w:hAnsi="仿宋_GB2312" w:eastAsia="仿宋_GB2312" w:cs="仿宋_GB2312"/>
          <w:color w:val="auto"/>
          <w:sz w:val="32"/>
          <w:szCs w:val="32"/>
          <w:highlight w:val="none"/>
        </w:rPr>
        <w:t>基础。</w:t>
      </w:r>
    </w:p>
    <w:p>
      <w:pPr>
        <w:widowControl/>
        <w:spacing w:line="360" w:lineRule="auto"/>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（二）单位整体和项目绩效自评结果。</w:t>
      </w:r>
    </w:p>
    <w:p>
      <w:pPr>
        <w:widowControl/>
        <w:spacing w:line="360" w:lineRule="auto"/>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1号）等文件精神，我单位对本单位整体绩效目标和项目支出绩效目标进行了自评。一是单位整体绩效自评情况。整体绩效情况良好，预算执行总额控制在年初预算批复，年度绩效目标完成情况良好。二是项目绩效自评情况。我单位共有3个项目批复了绩效目标，项目金额42.20万元。其中：</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提前下达2021年省级药品综合监管专项资金1个，项目金额37.19万元；</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中央提前下达2021年省级药品监管补助资金1个，项目金额3.71万元；</w:t>
      </w:r>
    </w:p>
    <w:p>
      <w:pPr>
        <w:widowControl/>
        <w:spacing w:line="360" w:lineRule="auto"/>
        <w:ind w:firstLine="800" w:firstLineChars="2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2021年中央转移支付药品监管补助资金1个，项目金额1.30万元。</w:t>
      </w:r>
    </w:p>
    <w:p>
      <w:pPr>
        <w:widowControl/>
        <w:spacing w:line="360" w:lineRule="auto"/>
        <w:ind w:firstLine="960" w:firstLineChars="300"/>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2021年度项目支出绩效进行自评，绩效自评平均得分为88分。其中：1个项目评价等级为“优”、2个项目评价等级为“良”、0个项目评价等级为“中”、0个项目评价等级为“差”。</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spacing w:line="360" w:lineRule="auto"/>
        <w:ind w:firstLine="640" w:firstLineChars="200"/>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- 29 -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287E"/>
    <w:rsid w:val="000270E8"/>
    <w:rsid w:val="000335B5"/>
    <w:rsid w:val="00033A5C"/>
    <w:rsid w:val="00057AFD"/>
    <w:rsid w:val="000611A9"/>
    <w:rsid w:val="00063990"/>
    <w:rsid w:val="000739E7"/>
    <w:rsid w:val="000762C6"/>
    <w:rsid w:val="00076410"/>
    <w:rsid w:val="00081835"/>
    <w:rsid w:val="000904B3"/>
    <w:rsid w:val="000C073B"/>
    <w:rsid w:val="000C1142"/>
    <w:rsid w:val="000C308E"/>
    <w:rsid w:val="000D4ADC"/>
    <w:rsid w:val="001003F8"/>
    <w:rsid w:val="00104B07"/>
    <w:rsid w:val="00116244"/>
    <w:rsid w:val="00144159"/>
    <w:rsid w:val="00152976"/>
    <w:rsid w:val="00162420"/>
    <w:rsid w:val="001718A8"/>
    <w:rsid w:val="00182842"/>
    <w:rsid w:val="00184D53"/>
    <w:rsid w:val="001905F2"/>
    <w:rsid w:val="00197592"/>
    <w:rsid w:val="001A1E2D"/>
    <w:rsid w:val="001C32F0"/>
    <w:rsid w:val="001C6D77"/>
    <w:rsid w:val="001D3135"/>
    <w:rsid w:val="001D61B1"/>
    <w:rsid w:val="001E5659"/>
    <w:rsid w:val="001F09AA"/>
    <w:rsid w:val="001F5040"/>
    <w:rsid w:val="002006EB"/>
    <w:rsid w:val="00214AE1"/>
    <w:rsid w:val="00216383"/>
    <w:rsid w:val="0023387C"/>
    <w:rsid w:val="00260D70"/>
    <w:rsid w:val="00281114"/>
    <w:rsid w:val="00282C7F"/>
    <w:rsid w:val="00283553"/>
    <w:rsid w:val="00287811"/>
    <w:rsid w:val="00292B4B"/>
    <w:rsid w:val="002A6352"/>
    <w:rsid w:val="002B3F94"/>
    <w:rsid w:val="002C115E"/>
    <w:rsid w:val="002C171D"/>
    <w:rsid w:val="002E14FD"/>
    <w:rsid w:val="002E6A86"/>
    <w:rsid w:val="00304D04"/>
    <w:rsid w:val="00305B88"/>
    <w:rsid w:val="00315FEB"/>
    <w:rsid w:val="003228B2"/>
    <w:rsid w:val="003340B1"/>
    <w:rsid w:val="00337791"/>
    <w:rsid w:val="00353ACD"/>
    <w:rsid w:val="003550B3"/>
    <w:rsid w:val="00355F98"/>
    <w:rsid w:val="00364100"/>
    <w:rsid w:val="00366805"/>
    <w:rsid w:val="003F41C0"/>
    <w:rsid w:val="0041489C"/>
    <w:rsid w:val="0042585F"/>
    <w:rsid w:val="00445CAC"/>
    <w:rsid w:val="00470E99"/>
    <w:rsid w:val="00470FFD"/>
    <w:rsid w:val="00472E19"/>
    <w:rsid w:val="00487869"/>
    <w:rsid w:val="004B07D1"/>
    <w:rsid w:val="004C1283"/>
    <w:rsid w:val="004D341D"/>
    <w:rsid w:val="004D5275"/>
    <w:rsid w:val="004F63DB"/>
    <w:rsid w:val="004F6781"/>
    <w:rsid w:val="005001B3"/>
    <w:rsid w:val="00505190"/>
    <w:rsid w:val="00507364"/>
    <w:rsid w:val="00510000"/>
    <w:rsid w:val="005101FF"/>
    <w:rsid w:val="0051521C"/>
    <w:rsid w:val="0051558F"/>
    <w:rsid w:val="00521C89"/>
    <w:rsid w:val="005318BB"/>
    <w:rsid w:val="005422F4"/>
    <w:rsid w:val="00545C59"/>
    <w:rsid w:val="00546F7C"/>
    <w:rsid w:val="0057610D"/>
    <w:rsid w:val="00582B9F"/>
    <w:rsid w:val="005A0C2F"/>
    <w:rsid w:val="005B1AE2"/>
    <w:rsid w:val="005E0718"/>
    <w:rsid w:val="005E3397"/>
    <w:rsid w:val="005E369B"/>
    <w:rsid w:val="00607D67"/>
    <w:rsid w:val="006228C4"/>
    <w:rsid w:val="00624BE6"/>
    <w:rsid w:val="00636C37"/>
    <w:rsid w:val="006512DD"/>
    <w:rsid w:val="00656BEF"/>
    <w:rsid w:val="00656D75"/>
    <w:rsid w:val="00657E86"/>
    <w:rsid w:val="006600EE"/>
    <w:rsid w:val="0066142C"/>
    <w:rsid w:val="00672F31"/>
    <w:rsid w:val="00673EF7"/>
    <w:rsid w:val="006809A3"/>
    <w:rsid w:val="006841E9"/>
    <w:rsid w:val="0069449E"/>
    <w:rsid w:val="006C07F0"/>
    <w:rsid w:val="006C644A"/>
    <w:rsid w:val="006C7D84"/>
    <w:rsid w:val="006E0A7F"/>
    <w:rsid w:val="006F0E6B"/>
    <w:rsid w:val="006F359E"/>
    <w:rsid w:val="007148E8"/>
    <w:rsid w:val="00733DAA"/>
    <w:rsid w:val="00737B79"/>
    <w:rsid w:val="00742BA0"/>
    <w:rsid w:val="00753545"/>
    <w:rsid w:val="00764156"/>
    <w:rsid w:val="007706D7"/>
    <w:rsid w:val="007711BE"/>
    <w:rsid w:val="00775B75"/>
    <w:rsid w:val="00775B89"/>
    <w:rsid w:val="0078321A"/>
    <w:rsid w:val="007879ED"/>
    <w:rsid w:val="007A48A3"/>
    <w:rsid w:val="007A69AD"/>
    <w:rsid w:val="007C029F"/>
    <w:rsid w:val="007C7F49"/>
    <w:rsid w:val="007D2A21"/>
    <w:rsid w:val="007D7159"/>
    <w:rsid w:val="008029F6"/>
    <w:rsid w:val="00803C1E"/>
    <w:rsid w:val="0081152B"/>
    <w:rsid w:val="00815631"/>
    <w:rsid w:val="00821E3A"/>
    <w:rsid w:val="00823049"/>
    <w:rsid w:val="0083472C"/>
    <w:rsid w:val="00843461"/>
    <w:rsid w:val="0084562C"/>
    <w:rsid w:val="00854C8C"/>
    <w:rsid w:val="008651E7"/>
    <w:rsid w:val="00872946"/>
    <w:rsid w:val="0088023A"/>
    <w:rsid w:val="008858FB"/>
    <w:rsid w:val="00894B41"/>
    <w:rsid w:val="008A72A6"/>
    <w:rsid w:val="008B5427"/>
    <w:rsid w:val="008B722D"/>
    <w:rsid w:val="008C5DC0"/>
    <w:rsid w:val="008C7CD0"/>
    <w:rsid w:val="008E1029"/>
    <w:rsid w:val="00903F6B"/>
    <w:rsid w:val="00904A9C"/>
    <w:rsid w:val="009173F9"/>
    <w:rsid w:val="009269BC"/>
    <w:rsid w:val="009308CB"/>
    <w:rsid w:val="00950270"/>
    <w:rsid w:val="00962F58"/>
    <w:rsid w:val="00975A04"/>
    <w:rsid w:val="00987E71"/>
    <w:rsid w:val="00992A72"/>
    <w:rsid w:val="009976BE"/>
    <w:rsid w:val="009A204A"/>
    <w:rsid w:val="009A41B5"/>
    <w:rsid w:val="009B0B20"/>
    <w:rsid w:val="009D0BE3"/>
    <w:rsid w:val="009D10E7"/>
    <w:rsid w:val="009E666A"/>
    <w:rsid w:val="009F0FBB"/>
    <w:rsid w:val="009F546E"/>
    <w:rsid w:val="009F5ED1"/>
    <w:rsid w:val="00A045FF"/>
    <w:rsid w:val="00A079F0"/>
    <w:rsid w:val="00A1385A"/>
    <w:rsid w:val="00A22C85"/>
    <w:rsid w:val="00A27A1A"/>
    <w:rsid w:val="00A42BBB"/>
    <w:rsid w:val="00A42F43"/>
    <w:rsid w:val="00A51982"/>
    <w:rsid w:val="00A51DF7"/>
    <w:rsid w:val="00A57BF7"/>
    <w:rsid w:val="00A71DC1"/>
    <w:rsid w:val="00A83D8A"/>
    <w:rsid w:val="00A93E7D"/>
    <w:rsid w:val="00AA260E"/>
    <w:rsid w:val="00AA2E20"/>
    <w:rsid w:val="00AA44CB"/>
    <w:rsid w:val="00AA67CD"/>
    <w:rsid w:val="00AC32FE"/>
    <w:rsid w:val="00AC6DF4"/>
    <w:rsid w:val="00AD6761"/>
    <w:rsid w:val="00AE2FEA"/>
    <w:rsid w:val="00AE600E"/>
    <w:rsid w:val="00B0083B"/>
    <w:rsid w:val="00B040BC"/>
    <w:rsid w:val="00B209B8"/>
    <w:rsid w:val="00B20BBC"/>
    <w:rsid w:val="00B249F3"/>
    <w:rsid w:val="00B2514D"/>
    <w:rsid w:val="00B366DE"/>
    <w:rsid w:val="00B41C37"/>
    <w:rsid w:val="00B440DC"/>
    <w:rsid w:val="00B463D9"/>
    <w:rsid w:val="00B649BE"/>
    <w:rsid w:val="00B653A5"/>
    <w:rsid w:val="00B710DD"/>
    <w:rsid w:val="00B95805"/>
    <w:rsid w:val="00BA3F90"/>
    <w:rsid w:val="00BB6025"/>
    <w:rsid w:val="00BC0415"/>
    <w:rsid w:val="00BD4965"/>
    <w:rsid w:val="00BE5A85"/>
    <w:rsid w:val="00BF4E6A"/>
    <w:rsid w:val="00BF5718"/>
    <w:rsid w:val="00C13474"/>
    <w:rsid w:val="00C3106E"/>
    <w:rsid w:val="00C405B5"/>
    <w:rsid w:val="00C409C9"/>
    <w:rsid w:val="00C461CA"/>
    <w:rsid w:val="00C60609"/>
    <w:rsid w:val="00C61AD5"/>
    <w:rsid w:val="00C76A6E"/>
    <w:rsid w:val="00C95CC1"/>
    <w:rsid w:val="00CA3F44"/>
    <w:rsid w:val="00CB03ED"/>
    <w:rsid w:val="00CB7521"/>
    <w:rsid w:val="00CE212D"/>
    <w:rsid w:val="00CE4B38"/>
    <w:rsid w:val="00CF3C90"/>
    <w:rsid w:val="00D038FD"/>
    <w:rsid w:val="00D04A9D"/>
    <w:rsid w:val="00D1321A"/>
    <w:rsid w:val="00D246D0"/>
    <w:rsid w:val="00D30ADF"/>
    <w:rsid w:val="00D33CF8"/>
    <w:rsid w:val="00D34923"/>
    <w:rsid w:val="00D54A95"/>
    <w:rsid w:val="00D6315E"/>
    <w:rsid w:val="00D652C2"/>
    <w:rsid w:val="00D74EE2"/>
    <w:rsid w:val="00D83E19"/>
    <w:rsid w:val="00D86CAD"/>
    <w:rsid w:val="00DA00C9"/>
    <w:rsid w:val="00DB200E"/>
    <w:rsid w:val="00DB65F5"/>
    <w:rsid w:val="00DC488D"/>
    <w:rsid w:val="00DC6E64"/>
    <w:rsid w:val="00DD5EE3"/>
    <w:rsid w:val="00DE4A4E"/>
    <w:rsid w:val="00E01C3E"/>
    <w:rsid w:val="00E13099"/>
    <w:rsid w:val="00E14028"/>
    <w:rsid w:val="00E418F3"/>
    <w:rsid w:val="00E4339F"/>
    <w:rsid w:val="00E53ED3"/>
    <w:rsid w:val="00E60B05"/>
    <w:rsid w:val="00E61B03"/>
    <w:rsid w:val="00E629EA"/>
    <w:rsid w:val="00E6777C"/>
    <w:rsid w:val="00E67BF4"/>
    <w:rsid w:val="00E93BBA"/>
    <w:rsid w:val="00EB05A3"/>
    <w:rsid w:val="00ED0E0E"/>
    <w:rsid w:val="00ED38B7"/>
    <w:rsid w:val="00EE051D"/>
    <w:rsid w:val="00EF584B"/>
    <w:rsid w:val="00F0131A"/>
    <w:rsid w:val="00F0697D"/>
    <w:rsid w:val="00F14C17"/>
    <w:rsid w:val="00F17041"/>
    <w:rsid w:val="00F218CF"/>
    <w:rsid w:val="00F33649"/>
    <w:rsid w:val="00F34DA7"/>
    <w:rsid w:val="00F44937"/>
    <w:rsid w:val="00F5172F"/>
    <w:rsid w:val="00F536D2"/>
    <w:rsid w:val="00F61A47"/>
    <w:rsid w:val="00F70258"/>
    <w:rsid w:val="00F84422"/>
    <w:rsid w:val="00F95455"/>
    <w:rsid w:val="00FA574D"/>
    <w:rsid w:val="00FC2588"/>
    <w:rsid w:val="00FE3839"/>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0DE66A4B"/>
    <w:rsid w:val="0EF0475B"/>
    <w:rsid w:val="10BD36F6"/>
    <w:rsid w:val="11BF0649"/>
    <w:rsid w:val="123E3E08"/>
    <w:rsid w:val="133212F4"/>
    <w:rsid w:val="13D22E22"/>
    <w:rsid w:val="161C2DFF"/>
    <w:rsid w:val="16373578"/>
    <w:rsid w:val="16D3336B"/>
    <w:rsid w:val="17200028"/>
    <w:rsid w:val="17806C36"/>
    <w:rsid w:val="17A74F62"/>
    <w:rsid w:val="18A47774"/>
    <w:rsid w:val="1A7D1F18"/>
    <w:rsid w:val="1A8D28EB"/>
    <w:rsid w:val="1A9F2D78"/>
    <w:rsid w:val="1B2E6FD8"/>
    <w:rsid w:val="1B877D21"/>
    <w:rsid w:val="1C4319A9"/>
    <w:rsid w:val="1E443B4B"/>
    <w:rsid w:val="1E994F4A"/>
    <w:rsid w:val="1EAF0224"/>
    <w:rsid w:val="1F2230A4"/>
    <w:rsid w:val="2001791F"/>
    <w:rsid w:val="20210932"/>
    <w:rsid w:val="202448E0"/>
    <w:rsid w:val="20370DCC"/>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4968DC"/>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6934FC"/>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B051F5A"/>
    <w:rsid w:val="6EFB7548"/>
    <w:rsid w:val="6F3831C3"/>
    <w:rsid w:val="6F8B71C1"/>
    <w:rsid w:val="6FA302A1"/>
    <w:rsid w:val="70753482"/>
    <w:rsid w:val="707B522A"/>
    <w:rsid w:val="73194D05"/>
    <w:rsid w:val="73A83B0E"/>
    <w:rsid w:val="744D3EF9"/>
    <w:rsid w:val="74794411"/>
    <w:rsid w:val="75867C40"/>
    <w:rsid w:val="75B10B26"/>
    <w:rsid w:val="76432199"/>
    <w:rsid w:val="76F44829"/>
    <w:rsid w:val="77A267C0"/>
    <w:rsid w:val="78882278"/>
    <w:rsid w:val="78B118A6"/>
    <w:rsid w:val="79135044"/>
    <w:rsid w:val="79C97992"/>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link w:val="8"/>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qFormat/>
    <w:uiPriority w:val="0"/>
    <w:pPr>
      <w:tabs>
        <w:tab w:val="left" w:pos="360"/>
      </w:tabs>
    </w:pPr>
    <w:rPr>
      <w:sz w:val="44"/>
      <w:szCs w:val="24"/>
    </w:rPr>
  </w:style>
  <w:style w:type="character" w:styleId="9">
    <w:name w:val="FollowedHyperlink"/>
    <w:unhideWhenUsed/>
    <w:qFormat/>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2"/>
    <w:semiHidden/>
    <w:qFormat/>
    <w:uiPriority w:val="99"/>
    <w:rPr>
      <w:kern w:val="2"/>
      <w:sz w:val="18"/>
      <w:szCs w:val="18"/>
    </w:rPr>
  </w:style>
  <w:style w:type="character" w:customStyle="1" w:styleId="12">
    <w:name w:val="页脚 Char"/>
    <w:link w:val="3"/>
    <w:qFormat/>
    <w:uiPriority w:val="99"/>
    <w:rPr>
      <w:kern w:val="2"/>
      <w:sz w:val="18"/>
      <w:szCs w:val="18"/>
    </w:rPr>
  </w:style>
  <w:style w:type="character" w:customStyle="1" w:styleId="13">
    <w:name w:val="页眉 Char"/>
    <w:link w:val="4"/>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MS User</Company>
  <Pages>29</Pages>
  <Words>8278</Words>
  <Characters>10027</Characters>
  <Lines>89</Lines>
  <Paragraphs>25</Paragraphs>
  <TotalTime>2</TotalTime>
  <ScaleCrop>false</ScaleCrop>
  <LinksUpToDate>false</LinksUpToDate>
  <CharactersWithSpaces>10761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2023-09-17T11:15:28Z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5E97CDD7058D426DB1DC4D4339E3D4CE_13</vt:lpwstr>
  </property>
</Properties>
</file>