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许昌市退役军人服务中心</w:t>
      </w:r>
      <w:r>
        <w:rPr>
          <w:rFonts w:hint="eastAsia" w:ascii="黑体" w:hAnsi="黑体" w:eastAsia="黑体" w:cs="黑体"/>
          <w:sz w:val="52"/>
          <w:szCs w:val="52"/>
          <w:highlight w:val="none"/>
          <w:lang w:val="en-US" w:eastAsia="zh-CN"/>
        </w:rPr>
        <w:t>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退役军人服务中心</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rPr>
        <w:t>许昌市退役军人服务中心</w:t>
      </w: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widowControl/>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协助退役军人事务局机关做好退役军人服务和权益保障等工作。</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许昌市退役军人服务中心内设机构9个，包括：综合科、来访接待科、教育培训科、优抚救助科、就业创业服务科、军人接待转运科、复员退伍军人服务科、军队转业干部服务科、数据信息科。</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从决算单位构成看，许昌市退役军人服务中心单位决算包括：本级决算。</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决算编制范围的单位共1个。</w:t>
      </w:r>
    </w:p>
    <w:p>
      <w:pPr>
        <w:widowControl/>
        <w:ind w:firstLine="640" w:firstLineChars="200"/>
        <w:jc w:val="left"/>
        <w:rPr>
          <w:rFonts w:hint="eastAsia" w:ascii="仿宋_GB2312" w:hAnsi="仿宋_GB2312" w:eastAsia="仿宋_GB2312" w:cs="仿宋_GB2312"/>
          <w:kern w:val="0"/>
          <w:sz w:val="32"/>
          <w:szCs w:val="32"/>
        </w:rPr>
        <w:sectPr>
          <w:pgSz w:w="11906" w:h="16838"/>
          <w:pgMar w:top="1440" w:right="1800" w:bottom="1440" w:left="1800" w:header="720" w:footer="720" w:gutter="0"/>
          <w:pgNumType w:fmt="numberInDash"/>
          <w:cols w:space="720" w:num="1"/>
          <w:docGrid w:type="lines" w:linePitch="312" w:charSpace="0"/>
        </w:sectPr>
      </w:pPr>
      <w:r>
        <w:rPr>
          <w:rFonts w:hint="eastAsia" w:ascii="仿宋_GB2312" w:hAnsi="仿宋_GB2312" w:eastAsia="仿宋_GB2312" w:cs="仿宋_GB2312"/>
          <w:kern w:val="0"/>
          <w:sz w:val="32"/>
          <w:szCs w:val="32"/>
        </w:rPr>
        <w:t>1.许昌市退役军人服务中心</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tbl>
      <w:tblPr>
        <w:tblStyle w:val="6"/>
        <w:tblW w:w="0" w:type="auto"/>
        <w:tblInd w:w="93" w:type="dxa"/>
        <w:tblLayout w:type="fixed"/>
        <w:tblCellMar>
          <w:top w:w="0" w:type="dxa"/>
          <w:left w:w="108" w:type="dxa"/>
          <w:bottom w:w="0" w:type="dxa"/>
          <w:right w:w="108" w:type="dxa"/>
        </w:tblCellMar>
      </w:tblPr>
      <w:tblGrid>
        <w:gridCol w:w="4507"/>
        <w:gridCol w:w="813"/>
        <w:gridCol w:w="1077"/>
        <w:gridCol w:w="4244"/>
        <w:gridCol w:w="1106"/>
        <w:gridCol w:w="1567"/>
      </w:tblGrid>
      <w:tr>
        <w:tblPrEx>
          <w:tblCellMar>
            <w:top w:w="0" w:type="dxa"/>
            <w:left w:w="108" w:type="dxa"/>
            <w:bottom w:w="0" w:type="dxa"/>
            <w:right w:w="108" w:type="dxa"/>
          </w:tblCellMar>
        </w:tblPrEx>
        <w:trPr>
          <w:trHeight w:val="390" w:hRule="atLeast"/>
        </w:trPr>
        <w:tc>
          <w:tcPr>
            <w:tcW w:w="13314" w:type="dxa"/>
            <w:gridSpan w:val="6"/>
            <w:tcBorders>
              <w:top w:val="nil"/>
              <w:left w:val="nil"/>
              <w:bottom w:val="nil"/>
              <w:right w:val="nil"/>
            </w:tcBorders>
            <w:noWrap w:val="0"/>
            <w:vAlign w:val="bottom"/>
          </w:tcPr>
          <w:p>
            <w:pPr>
              <w:widowControl/>
              <w:jc w:val="center"/>
              <w:textAlignment w:val="bottom"/>
              <w:rPr>
                <w:rFonts w:hint="eastAsia" w:ascii="宋体" w:hAnsi="宋体" w:cs="宋体"/>
                <w:color w:val="000000"/>
                <w:sz w:val="30"/>
                <w:szCs w:val="30"/>
              </w:rPr>
            </w:pPr>
            <w:r>
              <w:rPr>
                <w:rFonts w:hint="eastAsia" w:ascii="华文中宋" w:hAnsi="华文中宋" w:eastAsia="华文中宋" w:cs="华文中宋"/>
                <w:color w:val="000000"/>
                <w:kern w:val="0"/>
                <w:sz w:val="32"/>
                <w:szCs w:val="32"/>
                <w:lang w:bidi="ar"/>
              </w:rPr>
              <w:t>收入支出决算总表</w:t>
            </w:r>
          </w:p>
        </w:tc>
      </w:tr>
      <w:tr>
        <w:tblPrEx>
          <w:tblCellMar>
            <w:top w:w="0" w:type="dxa"/>
            <w:left w:w="108" w:type="dxa"/>
            <w:bottom w:w="0" w:type="dxa"/>
            <w:right w:w="108" w:type="dxa"/>
          </w:tblCellMar>
        </w:tblPrEx>
        <w:trPr>
          <w:trHeight w:val="255" w:hRule="atLeast"/>
        </w:trPr>
        <w:tc>
          <w:tcPr>
            <w:tcW w:w="4507" w:type="dxa"/>
            <w:tcBorders>
              <w:top w:val="nil"/>
              <w:left w:val="nil"/>
              <w:bottom w:val="nil"/>
              <w:right w:val="nil"/>
            </w:tcBorders>
            <w:noWrap w:val="0"/>
            <w:vAlign w:val="bottom"/>
          </w:tcPr>
          <w:p>
            <w:pPr>
              <w:rPr>
                <w:rFonts w:hint="eastAsia" w:ascii="Arial" w:hAnsi="Arial" w:cs="Arial"/>
                <w:color w:val="000000"/>
                <w:sz w:val="20"/>
                <w:szCs w:val="20"/>
              </w:rPr>
            </w:pPr>
          </w:p>
        </w:tc>
        <w:tc>
          <w:tcPr>
            <w:tcW w:w="813" w:type="dxa"/>
            <w:tcBorders>
              <w:top w:val="nil"/>
              <w:left w:val="nil"/>
              <w:bottom w:val="nil"/>
              <w:right w:val="nil"/>
            </w:tcBorders>
            <w:noWrap w:val="0"/>
            <w:vAlign w:val="bottom"/>
          </w:tcPr>
          <w:p>
            <w:pPr>
              <w:rPr>
                <w:rFonts w:ascii="Arial" w:hAnsi="Arial" w:cs="Arial"/>
                <w:color w:val="000000"/>
                <w:sz w:val="20"/>
                <w:szCs w:val="20"/>
              </w:rPr>
            </w:pPr>
          </w:p>
        </w:tc>
        <w:tc>
          <w:tcPr>
            <w:tcW w:w="1077" w:type="dxa"/>
            <w:tcBorders>
              <w:top w:val="nil"/>
              <w:left w:val="nil"/>
              <w:bottom w:val="nil"/>
              <w:right w:val="nil"/>
            </w:tcBorders>
            <w:noWrap w:val="0"/>
            <w:vAlign w:val="bottom"/>
          </w:tcPr>
          <w:p>
            <w:pPr>
              <w:rPr>
                <w:rFonts w:ascii="Arial" w:hAnsi="Arial" w:cs="Arial"/>
                <w:color w:val="000000"/>
                <w:sz w:val="20"/>
                <w:szCs w:val="20"/>
              </w:rPr>
            </w:pPr>
          </w:p>
        </w:tc>
        <w:tc>
          <w:tcPr>
            <w:tcW w:w="4244" w:type="dxa"/>
            <w:tcBorders>
              <w:top w:val="nil"/>
              <w:left w:val="nil"/>
              <w:bottom w:val="nil"/>
              <w:right w:val="nil"/>
            </w:tcBorders>
            <w:noWrap w:val="0"/>
            <w:vAlign w:val="bottom"/>
          </w:tcPr>
          <w:p>
            <w:pPr>
              <w:rPr>
                <w:rFonts w:ascii="Arial" w:hAnsi="Arial" w:cs="Arial"/>
                <w:color w:val="000000"/>
                <w:sz w:val="20"/>
                <w:szCs w:val="20"/>
              </w:rPr>
            </w:pPr>
          </w:p>
        </w:tc>
        <w:tc>
          <w:tcPr>
            <w:tcW w:w="2673" w:type="dxa"/>
            <w:gridSpan w:val="2"/>
            <w:tcBorders>
              <w:top w:val="nil"/>
              <w:left w:val="nil"/>
              <w:bottom w:val="nil"/>
              <w:right w:val="nil"/>
            </w:tcBorders>
            <w:noWrap w:val="0"/>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公开01表</w:t>
            </w:r>
          </w:p>
        </w:tc>
      </w:tr>
      <w:tr>
        <w:tblPrEx>
          <w:tblCellMar>
            <w:top w:w="0" w:type="dxa"/>
            <w:left w:w="108" w:type="dxa"/>
            <w:bottom w:w="0" w:type="dxa"/>
            <w:right w:w="108" w:type="dxa"/>
          </w:tblCellMar>
        </w:tblPrEx>
        <w:trPr>
          <w:trHeight w:val="255" w:hRule="atLeast"/>
        </w:trPr>
        <w:tc>
          <w:tcPr>
            <w:tcW w:w="5320" w:type="dxa"/>
            <w:gridSpan w:val="2"/>
            <w:tcBorders>
              <w:top w:val="nil"/>
              <w:left w:val="nil"/>
              <w:bottom w:val="nil"/>
              <w:right w:val="nil"/>
            </w:tcBorders>
            <w:noWrap w:val="0"/>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20"/>
                <w:szCs w:val="20"/>
                <w:lang w:eastAsia="zh-CN" w:bidi="ar"/>
              </w:rPr>
              <w:t>单位</w:t>
            </w:r>
            <w:r>
              <w:rPr>
                <w:rFonts w:hint="eastAsia" w:ascii="宋体" w:hAnsi="宋体" w:cs="宋体"/>
                <w:color w:val="000000"/>
                <w:kern w:val="0"/>
                <w:sz w:val="20"/>
                <w:szCs w:val="20"/>
                <w:lang w:bidi="ar"/>
              </w:rPr>
              <w:t>：许昌市退役军人服务中心</w:t>
            </w:r>
          </w:p>
        </w:tc>
        <w:tc>
          <w:tcPr>
            <w:tcW w:w="1077" w:type="dxa"/>
            <w:tcBorders>
              <w:top w:val="nil"/>
              <w:left w:val="nil"/>
              <w:bottom w:val="nil"/>
              <w:right w:val="nil"/>
            </w:tcBorders>
            <w:noWrap w:val="0"/>
            <w:vAlign w:val="bottom"/>
          </w:tcPr>
          <w:p>
            <w:pPr>
              <w:rPr>
                <w:rFonts w:ascii="Arial" w:hAnsi="Arial" w:cs="Arial"/>
                <w:color w:val="000000"/>
                <w:sz w:val="20"/>
                <w:szCs w:val="20"/>
              </w:rPr>
            </w:pPr>
          </w:p>
        </w:tc>
        <w:tc>
          <w:tcPr>
            <w:tcW w:w="4244" w:type="dxa"/>
            <w:tcBorders>
              <w:top w:val="nil"/>
              <w:left w:val="nil"/>
              <w:bottom w:val="nil"/>
              <w:right w:val="nil"/>
            </w:tcBorders>
            <w:noWrap w:val="0"/>
            <w:vAlign w:val="bottom"/>
          </w:tcPr>
          <w:p>
            <w:pPr>
              <w:rPr>
                <w:rFonts w:ascii="Arial" w:hAnsi="Arial" w:cs="Arial"/>
                <w:color w:val="000000"/>
                <w:sz w:val="20"/>
                <w:szCs w:val="20"/>
              </w:rPr>
            </w:pPr>
          </w:p>
        </w:tc>
        <w:tc>
          <w:tcPr>
            <w:tcW w:w="2673" w:type="dxa"/>
            <w:gridSpan w:val="2"/>
            <w:tcBorders>
              <w:top w:val="nil"/>
              <w:left w:val="nil"/>
              <w:bottom w:val="nil"/>
              <w:right w:val="nil"/>
            </w:tcBorders>
            <w:noWrap w:val="0"/>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6397"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收入</w:t>
            </w:r>
          </w:p>
        </w:tc>
        <w:tc>
          <w:tcPr>
            <w:tcW w:w="6917"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支出</w:t>
            </w:r>
          </w:p>
        </w:tc>
      </w:tr>
      <w:tr>
        <w:tblPrEx>
          <w:tblCellMar>
            <w:top w:w="0" w:type="dxa"/>
            <w:left w:w="108" w:type="dxa"/>
            <w:bottom w:w="0" w:type="dxa"/>
            <w:right w:w="108" w:type="dxa"/>
          </w:tblCellMar>
        </w:tblPrEx>
        <w:trPr>
          <w:trHeight w:val="308" w:hRule="atLeast"/>
        </w:trPr>
        <w:tc>
          <w:tcPr>
            <w:tcW w:w="4507"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项目</w:t>
            </w:r>
          </w:p>
        </w:tc>
        <w:tc>
          <w:tcPr>
            <w:tcW w:w="813"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行次</w:t>
            </w:r>
          </w:p>
        </w:tc>
        <w:tc>
          <w:tcPr>
            <w:tcW w:w="1077"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金额</w:t>
            </w:r>
          </w:p>
        </w:tc>
        <w:tc>
          <w:tcPr>
            <w:tcW w:w="4244"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项目</w:t>
            </w:r>
          </w:p>
        </w:tc>
        <w:tc>
          <w:tcPr>
            <w:tcW w:w="1106"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行次</w:t>
            </w:r>
          </w:p>
        </w:tc>
        <w:tc>
          <w:tcPr>
            <w:tcW w:w="1567"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金额</w:t>
            </w:r>
          </w:p>
        </w:tc>
      </w:tr>
      <w:tr>
        <w:tblPrEx>
          <w:tblCellMar>
            <w:top w:w="0" w:type="dxa"/>
            <w:left w:w="108" w:type="dxa"/>
            <w:bottom w:w="0" w:type="dxa"/>
            <w:right w:w="108" w:type="dxa"/>
          </w:tblCellMar>
        </w:tblPrEx>
        <w:trPr>
          <w:trHeight w:val="282" w:hRule="atLeast"/>
        </w:trPr>
        <w:tc>
          <w:tcPr>
            <w:tcW w:w="4507"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栏次</w:t>
            </w:r>
          </w:p>
        </w:tc>
        <w:tc>
          <w:tcPr>
            <w:tcW w:w="813" w:type="dxa"/>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4244"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栏次</w:t>
            </w:r>
          </w:p>
        </w:tc>
        <w:tc>
          <w:tcPr>
            <w:tcW w:w="1106" w:type="dxa"/>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20"/>
                <w:szCs w:val="20"/>
              </w:rPr>
            </w:pPr>
          </w:p>
        </w:tc>
        <w:tc>
          <w:tcPr>
            <w:tcW w:w="1567"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w:t>
            </w:r>
          </w:p>
        </w:tc>
      </w:tr>
      <w:tr>
        <w:tblPrEx>
          <w:tblCellMar>
            <w:top w:w="0" w:type="dxa"/>
            <w:left w:w="108" w:type="dxa"/>
            <w:bottom w:w="0" w:type="dxa"/>
            <w:right w:w="108" w:type="dxa"/>
          </w:tblCellMar>
        </w:tblPrEx>
        <w:trPr>
          <w:trHeight w:val="308" w:hRule="atLeast"/>
        </w:trPr>
        <w:tc>
          <w:tcPr>
            <w:tcW w:w="4507"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一、一般公共预算财政拨款收入</w:t>
            </w:r>
          </w:p>
        </w:tc>
        <w:tc>
          <w:tcPr>
            <w:tcW w:w="813"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077"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bidi="ar"/>
              </w:rPr>
              <w:t>805.16</w:t>
            </w:r>
          </w:p>
        </w:tc>
        <w:tc>
          <w:tcPr>
            <w:tcW w:w="4244" w:type="dxa"/>
            <w:tcBorders>
              <w:top w:val="nil"/>
              <w:left w:val="nil"/>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一、一般公共服务支出</w:t>
            </w:r>
          </w:p>
        </w:tc>
        <w:tc>
          <w:tcPr>
            <w:tcW w:w="1106"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32</w:t>
            </w:r>
          </w:p>
        </w:tc>
        <w:tc>
          <w:tcPr>
            <w:tcW w:w="1567"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bidi="ar"/>
              </w:rPr>
              <w:t>2.20</w:t>
            </w:r>
          </w:p>
        </w:tc>
      </w:tr>
      <w:tr>
        <w:tblPrEx>
          <w:tblCellMar>
            <w:top w:w="0" w:type="dxa"/>
            <w:left w:w="108" w:type="dxa"/>
            <w:bottom w:w="0" w:type="dxa"/>
            <w:right w:w="108" w:type="dxa"/>
          </w:tblCellMar>
        </w:tblPrEx>
        <w:trPr>
          <w:trHeight w:val="308" w:hRule="atLeast"/>
        </w:trPr>
        <w:tc>
          <w:tcPr>
            <w:tcW w:w="4507"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二、政府性基金预算财政拨款收入</w:t>
            </w:r>
          </w:p>
        </w:tc>
        <w:tc>
          <w:tcPr>
            <w:tcW w:w="813"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077"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0</w:t>
            </w:r>
          </w:p>
        </w:tc>
        <w:tc>
          <w:tcPr>
            <w:tcW w:w="4244" w:type="dxa"/>
            <w:tcBorders>
              <w:top w:val="nil"/>
              <w:left w:val="nil"/>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二、外交支出</w:t>
            </w:r>
          </w:p>
        </w:tc>
        <w:tc>
          <w:tcPr>
            <w:tcW w:w="1106"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33</w:t>
            </w:r>
          </w:p>
        </w:tc>
        <w:tc>
          <w:tcPr>
            <w:tcW w:w="1567"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0</w:t>
            </w:r>
          </w:p>
        </w:tc>
      </w:tr>
      <w:tr>
        <w:tblPrEx>
          <w:tblCellMar>
            <w:top w:w="0" w:type="dxa"/>
            <w:left w:w="108" w:type="dxa"/>
            <w:bottom w:w="0" w:type="dxa"/>
            <w:right w:w="108" w:type="dxa"/>
          </w:tblCellMar>
        </w:tblPrEx>
        <w:trPr>
          <w:trHeight w:val="308" w:hRule="atLeast"/>
        </w:trPr>
        <w:tc>
          <w:tcPr>
            <w:tcW w:w="4507"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三、国有资本经营预算财政拨款收入</w:t>
            </w:r>
          </w:p>
        </w:tc>
        <w:tc>
          <w:tcPr>
            <w:tcW w:w="813"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077"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0</w:t>
            </w:r>
          </w:p>
        </w:tc>
        <w:tc>
          <w:tcPr>
            <w:tcW w:w="4244" w:type="dxa"/>
            <w:tcBorders>
              <w:top w:val="nil"/>
              <w:left w:val="nil"/>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三、国防支出</w:t>
            </w:r>
          </w:p>
        </w:tc>
        <w:tc>
          <w:tcPr>
            <w:tcW w:w="1106"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34</w:t>
            </w:r>
          </w:p>
        </w:tc>
        <w:tc>
          <w:tcPr>
            <w:tcW w:w="1567"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0</w:t>
            </w:r>
          </w:p>
        </w:tc>
      </w:tr>
      <w:tr>
        <w:tblPrEx>
          <w:tblCellMar>
            <w:top w:w="0" w:type="dxa"/>
            <w:left w:w="108" w:type="dxa"/>
            <w:bottom w:w="0" w:type="dxa"/>
            <w:right w:w="108" w:type="dxa"/>
          </w:tblCellMar>
        </w:tblPrEx>
        <w:trPr>
          <w:trHeight w:val="308" w:hRule="atLeast"/>
        </w:trPr>
        <w:tc>
          <w:tcPr>
            <w:tcW w:w="4507"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四、上级补助收入</w:t>
            </w:r>
          </w:p>
        </w:tc>
        <w:tc>
          <w:tcPr>
            <w:tcW w:w="813"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077"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0</w:t>
            </w:r>
          </w:p>
        </w:tc>
        <w:tc>
          <w:tcPr>
            <w:tcW w:w="4244" w:type="dxa"/>
            <w:tcBorders>
              <w:top w:val="nil"/>
              <w:left w:val="nil"/>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四、公共安全支出</w:t>
            </w:r>
          </w:p>
        </w:tc>
        <w:tc>
          <w:tcPr>
            <w:tcW w:w="1106"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35</w:t>
            </w:r>
          </w:p>
        </w:tc>
        <w:tc>
          <w:tcPr>
            <w:tcW w:w="1567"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0</w:t>
            </w:r>
          </w:p>
        </w:tc>
      </w:tr>
      <w:tr>
        <w:tblPrEx>
          <w:tblCellMar>
            <w:top w:w="0" w:type="dxa"/>
            <w:left w:w="108" w:type="dxa"/>
            <w:bottom w:w="0" w:type="dxa"/>
            <w:right w:w="108" w:type="dxa"/>
          </w:tblCellMar>
        </w:tblPrEx>
        <w:trPr>
          <w:trHeight w:val="308" w:hRule="atLeast"/>
        </w:trPr>
        <w:tc>
          <w:tcPr>
            <w:tcW w:w="4507"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五、事业收入</w:t>
            </w:r>
          </w:p>
        </w:tc>
        <w:tc>
          <w:tcPr>
            <w:tcW w:w="813"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077"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0</w:t>
            </w:r>
          </w:p>
        </w:tc>
        <w:tc>
          <w:tcPr>
            <w:tcW w:w="4244" w:type="dxa"/>
            <w:tcBorders>
              <w:top w:val="nil"/>
              <w:left w:val="nil"/>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五、教育支出</w:t>
            </w:r>
          </w:p>
        </w:tc>
        <w:tc>
          <w:tcPr>
            <w:tcW w:w="1106"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36</w:t>
            </w:r>
          </w:p>
        </w:tc>
        <w:tc>
          <w:tcPr>
            <w:tcW w:w="1567"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0</w:t>
            </w:r>
          </w:p>
        </w:tc>
      </w:tr>
      <w:tr>
        <w:tblPrEx>
          <w:tblCellMar>
            <w:top w:w="0" w:type="dxa"/>
            <w:left w:w="108" w:type="dxa"/>
            <w:bottom w:w="0" w:type="dxa"/>
            <w:right w:w="108" w:type="dxa"/>
          </w:tblCellMar>
        </w:tblPrEx>
        <w:trPr>
          <w:trHeight w:val="297" w:hRule="atLeast"/>
        </w:trPr>
        <w:tc>
          <w:tcPr>
            <w:tcW w:w="4507"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六、经营收入</w:t>
            </w:r>
          </w:p>
        </w:tc>
        <w:tc>
          <w:tcPr>
            <w:tcW w:w="813"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1077"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0</w:t>
            </w:r>
          </w:p>
        </w:tc>
        <w:tc>
          <w:tcPr>
            <w:tcW w:w="4244" w:type="dxa"/>
            <w:tcBorders>
              <w:top w:val="nil"/>
              <w:left w:val="nil"/>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六、科学技术支出</w:t>
            </w:r>
          </w:p>
        </w:tc>
        <w:tc>
          <w:tcPr>
            <w:tcW w:w="1106"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37</w:t>
            </w:r>
          </w:p>
        </w:tc>
        <w:tc>
          <w:tcPr>
            <w:tcW w:w="1567"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0</w:t>
            </w:r>
          </w:p>
        </w:tc>
      </w:tr>
      <w:tr>
        <w:tblPrEx>
          <w:tblCellMar>
            <w:top w:w="0" w:type="dxa"/>
            <w:left w:w="108" w:type="dxa"/>
            <w:bottom w:w="0" w:type="dxa"/>
            <w:right w:w="108" w:type="dxa"/>
          </w:tblCellMar>
        </w:tblPrEx>
        <w:trPr>
          <w:trHeight w:val="308" w:hRule="atLeast"/>
        </w:trPr>
        <w:tc>
          <w:tcPr>
            <w:tcW w:w="4507"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七、附属单位上缴收入</w:t>
            </w:r>
          </w:p>
        </w:tc>
        <w:tc>
          <w:tcPr>
            <w:tcW w:w="813"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c>
          <w:tcPr>
            <w:tcW w:w="1077"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0</w:t>
            </w:r>
          </w:p>
        </w:tc>
        <w:tc>
          <w:tcPr>
            <w:tcW w:w="4244" w:type="dxa"/>
            <w:tcBorders>
              <w:top w:val="nil"/>
              <w:left w:val="nil"/>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七、文化旅游体育与传媒支出</w:t>
            </w:r>
          </w:p>
        </w:tc>
        <w:tc>
          <w:tcPr>
            <w:tcW w:w="1106"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38</w:t>
            </w:r>
          </w:p>
        </w:tc>
        <w:tc>
          <w:tcPr>
            <w:tcW w:w="1567"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0</w:t>
            </w:r>
          </w:p>
        </w:tc>
      </w:tr>
      <w:tr>
        <w:tblPrEx>
          <w:tblCellMar>
            <w:top w:w="0" w:type="dxa"/>
            <w:left w:w="108" w:type="dxa"/>
            <w:bottom w:w="0" w:type="dxa"/>
            <w:right w:w="108" w:type="dxa"/>
          </w:tblCellMar>
        </w:tblPrEx>
        <w:trPr>
          <w:trHeight w:val="308" w:hRule="atLeast"/>
        </w:trPr>
        <w:tc>
          <w:tcPr>
            <w:tcW w:w="4507"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八、其他收入</w:t>
            </w:r>
          </w:p>
        </w:tc>
        <w:tc>
          <w:tcPr>
            <w:tcW w:w="813"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w:t>
            </w:r>
          </w:p>
        </w:tc>
        <w:tc>
          <w:tcPr>
            <w:tcW w:w="1077"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0</w:t>
            </w:r>
          </w:p>
        </w:tc>
        <w:tc>
          <w:tcPr>
            <w:tcW w:w="4244" w:type="dxa"/>
            <w:tcBorders>
              <w:top w:val="nil"/>
              <w:left w:val="nil"/>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八、社会保障和就业支出</w:t>
            </w:r>
          </w:p>
        </w:tc>
        <w:tc>
          <w:tcPr>
            <w:tcW w:w="1106"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39</w:t>
            </w:r>
          </w:p>
        </w:tc>
        <w:tc>
          <w:tcPr>
            <w:tcW w:w="1567"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sz w:val="20"/>
                <w:szCs w:val="20"/>
                <w:lang w:val="en-US" w:eastAsia="zh-CN"/>
              </w:rPr>
              <w:t>967.64</w:t>
            </w:r>
          </w:p>
        </w:tc>
      </w:tr>
      <w:tr>
        <w:tblPrEx>
          <w:tblCellMar>
            <w:top w:w="0" w:type="dxa"/>
            <w:left w:w="108" w:type="dxa"/>
            <w:bottom w:w="0" w:type="dxa"/>
            <w:right w:w="108" w:type="dxa"/>
          </w:tblCellMar>
        </w:tblPrEx>
        <w:trPr>
          <w:trHeight w:val="308" w:hRule="atLeast"/>
        </w:trPr>
        <w:tc>
          <w:tcPr>
            <w:tcW w:w="4507"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cs="宋体"/>
                <w:color w:val="000000"/>
                <w:sz w:val="20"/>
                <w:szCs w:val="20"/>
              </w:rPr>
            </w:pPr>
          </w:p>
        </w:tc>
        <w:tc>
          <w:tcPr>
            <w:tcW w:w="813"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0"/>
                <w:szCs w:val="20"/>
              </w:rPr>
            </w:pPr>
          </w:p>
        </w:tc>
        <w:tc>
          <w:tcPr>
            <w:tcW w:w="4244" w:type="dxa"/>
            <w:tcBorders>
              <w:top w:val="nil"/>
              <w:left w:val="nil"/>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九、卫生健康支出</w:t>
            </w:r>
          </w:p>
        </w:tc>
        <w:tc>
          <w:tcPr>
            <w:tcW w:w="1106"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40</w:t>
            </w:r>
          </w:p>
        </w:tc>
        <w:tc>
          <w:tcPr>
            <w:tcW w:w="1567"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bidi="ar"/>
              </w:rPr>
              <w:t>2.32</w:t>
            </w:r>
          </w:p>
        </w:tc>
      </w:tr>
      <w:tr>
        <w:tblPrEx>
          <w:tblCellMar>
            <w:top w:w="0" w:type="dxa"/>
            <w:left w:w="108" w:type="dxa"/>
            <w:bottom w:w="0" w:type="dxa"/>
            <w:right w:w="108" w:type="dxa"/>
          </w:tblCellMar>
        </w:tblPrEx>
        <w:trPr>
          <w:trHeight w:val="308" w:hRule="atLeast"/>
        </w:trPr>
        <w:tc>
          <w:tcPr>
            <w:tcW w:w="4507"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cs="宋体"/>
                <w:color w:val="000000"/>
                <w:sz w:val="20"/>
                <w:szCs w:val="20"/>
              </w:rPr>
            </w:pPr>
          </w:p>
        </w:tc>
        <w:tc>
          <w:tcPr>
            <w:tcW w:w="813"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0"/>
                <w:szCs w:val="20"/>
              </w:rPr>
            </w:pPr>
          </w:p>
        </w:tc>
        <w:tc>
          <w:tcPr>
            <w:tcW w:w="4244" w:type="dxa"/>
            <w:tcBorders>
              <w:top w:val="nil"/>
              <w:left w:val="nil"/>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十、节能环保支出</w:t>
            </w:r>
          </w:p>
        </w:tc>
        <w:tc>
          <w:tcPr>
            <w:tcW w:w="1106"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41</w:t>
            </w:r>
          </w:p>
        </w:tc>
        <w:tc>
          <w:tcPr>
            <w:tcW w:w="1567"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0</w:t>
            </w:r>
          </w:p>
        </w:tc>
      </w:tr>
      <w:tr>
        <w:tblPrEx>
          <w:tblCellMar>
            <w:top w:w="0" w:type="dxa"/>
            <w:left w:w="108" w:type="dxa"/>
            <w:bottom w:w="0" w:type="dxa"/>
            <w:right w:w="108" w:type="dxa"/>
          </w:tblCellMar>
        </w:tblPrEx>
        <w:trPr>
          <w:trHeight w:val="308" w:hRule="atLeast"/>
        </w:trPr>
        <w:tc>
          <w:tcPr>
            <w:tcW w:w="4507"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cs="宋体"/>
                <w:color w:val="000000"/>
                <w:sz w:val="20"/>
                <w:szCs w:val="20"/>
              </w:rPr>
            </w:pPr>
          </w:p>
        </w:tc>
        <w:tc>
          <w:tcPr>
            <w:tcW w:w="813"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11</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0"/>
                <w:szCs w:val="20"/>
              </w:rPr>
            </w:pPr>
          </w:p>
        </w:tc>
        <w:tc>
          <w:tcPr>
            <w:tcW w:w="4244" w:type="dxa"/>
            <w:tcBorders>
              <w:top w:val="nil"/>
              <w:left w:val="nil"/>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十一、城乡社区支出</w:t>
            </w:r>
          </w:p>
        </w:tc>
        <w:tc>
          <w:tcPr>
            <w:tcW w:w="1106"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42</w:t>
            </w:r>
          </w:p>
        </w:tc>
        <w:tc>
          <w:tcPr>
            <w:tcW w:w="1567"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0</w:t>
            </w:r>
          </w:p>
        </w:tc>
      </w:tr>
      <w:tr>
        <w:tblPrEx>
          <w:tblCellMar>
            <w:top w:w="0" w:type="dxa"/>
            <w:left w:w="108" w:type="dxa"/>
            <w:bottom w:w="0" w:type="dxa"/>
            <w:right w:w="108" w:type="dxa"/>
          </w:tblCellMar>
        </w:tblPrEx>
        <w:trPr>
          <w:trHeight w:val="308" w:hRule="atLeast"/>
        </w:trPr>
        <w:tc>
          <w:tcPr>
            <w:tcW w:w="4507"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cs="宋体"/>
                <w:color w:val="000000"/>
                <w:sz w:val="20"/>
                <w:szCs w:val="20"/>
              </w:rPr>
            </w:pPr>
          </w:p>
        </w:tc>
        <w:tc>
          <w:tcPr>
            <w:tcW w:w="813"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12</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0"/>
                <w:szCs w:val="20"/>
              </w:rPr>
            </w:pPr>
          </w:p>
        </w:tc>
        <w:tc>
          <w:tcPr>
            <w:tcW w:w="4244" w:type="dxa"/>
            <w:tcBorders>
              <w:top w:val="nil"/>
              <w:left w:val="nil"/>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十二、农林水支出</w:t>
            </w:r>
          </w:p>
        </w:tc>
        <w:tc>
          <w:tcPr>
            <w:tcW w:w="1106"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43</w:t>
            </w:r>
          </w:p>
        </w:tc>
        <w:tc>
          <w:tcPr>
            <w:tcW w:w="1567"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0</w:t>
            </w:r>
          </w:p>
        </w:tc>
      </w:tr>
      <w:tr>
        <w:tblPrEx>
          <w:tblCellMar>
            <w:top w:w="0" w:type="dxa"/>
            <w:left w:w="108" w:type="dxa"/>
            <w:bottom w:w="0" w:type="dxa"/>
            <w:right w:w="108" w:type="dxa"/>
          </w:tblCellMar>
        </w:tblPrEx>
        <w:trPr>
          <w:trHeight w:val="308" w:hRule="atLeast"/>
        </w:trPr>
        <w:tc>
          <w:tcPr>
            <w:tcW w:w="4507"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cs="宋体"/>
                <w:color w:val="000000"/>
                <w:sz w:val="20"/>
                <w:szCs w:val="20"/>
              </w:rPr>
            </w:pPr>
          </w:p>
        </w:tc>
        <w:tc>
          <w:tcPr>
            <w:tcW w:w="813"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13</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0"/>
                <w:szCs w:val="20"/>
              </w:rPr>
            </w:pPr>
          </w:p>
        </w:tc>
        <w:tc>
          <w:tcPr>
            <w:tcW w:w="4244" w:type="dxa"/>
            <w:tcBorders>
              <w:top w:val="nil"/>
              <w:left w:val="nil"/>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十三、交通运输支出</w:t>
            </w:r>
          </w:p>
        </w:tc>
        <w:tc>
          <w:tcPr>
            <w:tcW w:w="1106"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44</w:t>
            </w:r>
          </w:p>
        </w:tc>
        <w:tc>
          <w:tcPr>
            <w:tcW w:w="1567"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0</w:t>
            </w:r>
          </w:p>
        </w:tc>
      </w:tr>
      <w:tr>
        <w:tblPrEx>
          <w:tblCellMar>
            <w:top w:w="0" w:type="dxa"/>
            <w:left w:w="108" w:type="dxa"/>
            <w:bottom w:w="0" w:type="dxa"/>
            <w:right w:w="108" w:type="dxa"/>
          </w:tblCellMar>
        </w:tblPrEx>
        <w:trPr>
          <w:trHeight w:val="308" w:hRule="atLeast"/>
        </w:trPr>
        <w:tc>
          <w:tcPr>
            <w:tcW w:w="4507"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cs="宋体"/>
                <w:color w:val="000000"/>
                <w:sz w:val="20"/>
                <w:szCs w:val="20"/>
              </w:rPr>
            </w:pPr>
          </w:p>
        </w:tc>
        <w:tc>
          <w:tcPr>
            <w:tcW w:w="813"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14</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0"/>
                <w:szCs w:val="20"/>
              </w:rPr>
            </w:pPr>
          </w:p>
        </w:tc>
        <w:tc>
          <w:tcPr>
            <w:tcW w:w="4244" w:type="dxa"/>
            <w:tcBorders>
              <w:top w:val="nil"/>
              <w:left w:val="nil"/>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十四、资源勘探工业信息等支出</w:t>
            </w:r>
          </w:p>
        </w:tc>
        <w:tc>
          <w:tcPr>
            <w:tcW w:w="1106"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45</w:t>
            </w:r>
          </w:p>
        </w:tc>
        <w:tc>
          <w:tcPr>
            <w:tcW w:w="1567"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0</w:t>
            </w:r>
          </w:p>
        </w:tc>
      </w:tr>
      <w:tr>
        <w:tblPrEx>
          <w:tblCellMar>
            <w:top w:w="0" w:type="dxa"/>
            <w:left w:w="108" w:type="dxa"/>
            <w:bottom w:w="0" w:type="dxa"/>
            <w:right w:w="108" w:type="dxa"/>
          </w:tblCellMar>
        </w:tblPrEx>
        <w:trPr>
          <w:trHeight w:val="308" w:hRule="atLeast"/>
        </w:trPr>
        <w:tc>
          <w:tcPr>
            <w:tcW w:w="4507"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cs="宋体"/>
                <w:color w:val="000000"/>
                <w:sz w:val="20"/>
                <w:szCs w:val="20"/>
              </w:rPr>
            </w:pPr>
          </w:p>
        </w:tc>
        <w:tc>
          <w:tcPr>
            <w:tcW w:w="813"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15</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0"/>
                <w:szCs w:val="20"/>
              </w:rPr>
            </w:pPr>
          </w:p>
        </w:tc>
        <w:tc>
          <w:tcPr>
            <w:tcW w:w="4244" w:type="dxa"/>
            <w:tcBorders>
              <w:top w:val="nil"/>
              <w:left w:val="nil"/>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十五、商业服务业等支出</w:t>
            </w:r>
          </w:p>
        </w:tc>
        <w:tc>
          <w:tcPr>
            <w:tcW w:w="1106"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46</w:t>
            </w:r>
          </w:p>
        </w:tc>
        <w:tc>
          <w:tcPr>
            <w:tcW w:w="1567"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0</w:t>
            </w:r>
          </w:p>
        </w:tc>
      </w:tr>
      <w:tr>
        <w:tblPrEx>
          <w:tblCellMar>
            <w:top w:w="0" w:type="dxa"/>
            <w:left w:w="108" w:type="dxa"/>
            <w:bottom w:w="0" w:type="dxa"/>
            <w:right w:w="108" w:type="dxa"/>
          </w:tblCellMar>
        </w:tblPrEx>
        <w:trPr>
          <w:trHeight w:val="308" w:hRule="atLeast"/>
        </w:trPr>
        <w:tc>
          <w:tcPr>
            <w:tcW w:w="4507"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cs="宋体"/>
                <w:color w:val="000000"/>
                <w:sz w:val="20"/>
                <w:szCs w:val="20"/>
              </w:rPr>
            </w:pPr>
          </w:p>
        </w:tc>
        <w:tc>
          <w:tcPr>
            <w:tcW w:w="813"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16</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0"/>
                <w:szCs w:val="20"/>
              </w:rPr>
            </w:pPr>
          </w:p>
        </w:tc>
        <w:tc>
          <w:tcPr>
            <w:tcW w:w="4244" w:type="dxa"/>
            <w:tcBorders>
              <w:top w:val="nil"/>
              <w:left w:val="nil"/>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十六、金融支出</w:t>
            </w:r>
          </w:p>
        </w:tc>
        <w:tc>
          <w:tcPr>
            <w:tcW w:w="1106"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47</w:t>
            </w:r>
          </w:p>
        </w:tc>
        <w:tc>
          <w:tcPr>
            <w:tcW w:w="1567"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0</w:t>
            </w:r>
          </w:p>
        </w:tc>
      </w:tr>
      <w:tr>
        <w:tblPrEx>
          <w:tblCellMar>
            <w:top w:w="0" w:type="dxa"/>
            <w:left w:w="108" w:type="dxa"/>
            <w:bottom w:w="0" w:type="dxa"/>
            <w:right w:w="108" w:type="dxa"/>
          </w:tblCellMar>
        </w:tblPrEx>
        <w:trPr>
          <w:trHeight w:val="308" w:hRule="atLeast"/>
        </w:trPr>
        <w:tc>
          <w:tcPr>
            <w:tcW w:w="4507"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cs="宋体"/>
                <w:color w:val="000000"/>
                <w:sz w:val="20"/>
                <w:szCs w:val="20"/>
              </w:rPr>
            </w:pPr>
          </w:p>
        </w:tc>
        <w:tc>
          <w:tcPr>
            <w:tcW w:w="813"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17</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0"/>
                <w:szCs w:val="20"/>
              </w:rPr>
            </w:pPr>
          </w:p>
        </w:tc>
        <w:tc>
          <w:tcPr>
            <w:tcW w:w="4244" w:type="dxa"/>
            <w:tcBorders>
              <w:top w:val="nil"/>
              <w:left w:val="nil"/>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十七、援助其他地区支出</w:t>
            </w:r>
          </w:p>
        </w:tc>
        <w:tc>
          <w:tcPr>
            <w:tcW w:w="1106"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48</w:t>
            </w:r>
          </w:p>
        </w:tc>
        <w:tc>
          <w:tcPr>
            <w:tcW w:w="1567"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0</w:t>
            </w:r>
          </w:p>
        </w:tc>
      </w:tr>
      <w:tr>
        <w:tblPrEx>
          <w:tblCellMar>
            <w:top w:w="0" w:type="dxa"/>
            <w:left w:w="108" w:type="dxa"/>
            <w:bottom w:w="0" w:type="dxa"/>
            <w:right w:w="108" w:type="dxa"/>
          </w:tblCellMar>
        </w:tblPrEx>
        <w:trPr>
          <w:trHeight w:val="308" w:hRule="atLeast"/>
        </w:trPr>
        <w:tc>
          <w:tcPr>
            <w:tcW w:w="4507"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cs="宋体"/>
                <w:color w:val="000000"/>
                <w:sz w:val="20"/>
                <w:szCs w:val="20"/>
              </w:rPr>
            </w:pPr>
          </w:p>
        </w:tc>
        <w:tc>
          <w:tcPr>
            <w:tcW w:w="813"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18</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0"/>
                <w:szCs w:val="20"/>
              </w:rPr>
            </w:pPr>
          </w:p>
        </w:tc>
        <w:tc>
          <w:tcPr>
            <w:tcW w:w="4244" w:type="dxa"/>
            <w:tcBorders>
              <w:top w:val="nil"/>
              <w:left w:val="nil"/>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十八、自然资源海洋气象等支出</w:t>
            </w:r>
          </w:p>
        </w:tc>
        <w:tc>
          <w:tcPr>
            <w:tcW w:w="1106"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49</w:t>
            </w:r>
          </w:p>
        </w:tc>
        <w:tc>
          <w:tcPr>
            <w:tcW w:w="1567"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0</w:t>
            </w:r>
          </w:p>
        </w:tc>
      </w:tr>
      <w:tr>
        <w:tblPrEx>
          <w:tblCellMar>
            <w:top w:w="0" w:type="dxa"/>
            <w:left w:w="108" w:type="dxa"/>
            <w:bottom w:w="0" w:type="dxa"/>
            <w:right w:w="108" w:type="dxa"/>
          </w:tblCellMar>
        </w:tblPrEx>
        <w:trPr>
          <w:trHeight w:val="308" w:hRule="atLeast"/>
        </w:trPr>
        <w:tc>
          <w:tcPr>
            <w:tcW w:w="4507"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cs="宋体"/>
                <w:color w:val="000000"/>
                <w:sz w:val="20"/>
                <w:szCs w:val="20"/>
              </w:rPr>
            </w:pPr>
          </w:p>
        </w:tc>
        <w:tc>
          <w:tcPr>
            <w:tcW w:w="813"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19</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0"/>
                <w:szCs w:val="20"/>
              </w:rPr>
            </w:pPr>
          </w:p>
        </w:tc>
        <w:tc>
          <w:tcPr>
            <w:tcW w:w="4244" w:type="dxa"/>
            <w:tcBorders>
              <w:top w:val="nil"/>
              <w:left w:val="nil"/>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十九、住房保障支出</w:t>
            </w:r>
          </w:p>
        </w:tc>
        <w:tc>
          <w:tcPr>
            <w:tcW w:w="1106"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50</w:t>
            </w:r>
          </w:p>
        </w:tc>
        <w:tc>
          <w:tcPr>
            <w:tcW w:w="1567"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0</w:t>
            </w:r>
          </w:p>
        </w:tc>
      </w:tr>
      <w:tr>
        <w:tblPrEx>
          <w:tblCellMar>
            <w:top w:w="0" w:type="dxa"/>
            <w:left w:w="108" w:type="dxa"/>
            <w:bottom w:w="0" w:type="dxa"/>
            <w:right w:w="108" w:type="dxa"/>
          </w:tblCellMar>
        </w:tblPrEx>
        <w:trPr>
          <w:trHeight w:val="308" w:hRule="atLeast"/>
        </w:trPr>
        <w:tc>
          <w:tcPr>
            <w:tcW w:w="4507"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cs="宋体"/>
                <w:color w:val="000000"/>
                <w:sz w:val="20"/>
                <w:szCs w:val="20"/>
              </w:rPr>
            </w:pPr>
          </w:p>
        </w:tc>
        <w:tc>
          <w:tcPr>
            <w:tcW w:w="813"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0"/>
                <w:szCs w:val="20"/>
              </w:rPr>
            </w:pPr>
          </w:p>
        </w:tc>
        <w:tc>
          <w:tcPr>
            <w:tcW w:w="4244" w:type="dxa"/>
            <w:tcBorders>
              <w:top w:val="nil"/>
              <w:left w:val="nil"/>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二十、粮油物资储备支出</w:t>
            </w:r>
          </w:p>
        </w:tc>
        <w:tc>
          <w:tcPr>
            <w:tcW w:w="1106"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51</w:t>
            </w:r>
          </w:p>
        </w:tc>
        <w:tc>
          <w:tcPr>
            <w:tcW w:w="1567"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0</w:t>
            </w:r>
          </w:p>
        </w:tc>
      </w:tr>
      <w:tr>
        <w:tblPrEx>
          <w:tblCellMar>
            <w:top w:w="0" w:type="dxa"/>
            <w:left w:w="108" w:type="dxa"/>
            <w:bottom w:w="0" w:type="dxa"/>
            <w:right w:w="108" w:type="dxa"/>
          </w:tblCellMar>
        </w:tblPrEx>
        <w:trPr>
          <w:trHeight w:val="308" w:hRule="atLeast"/>
        </w:trPr>
        <w:tc>
          <w:tcPr>
            <w:tcW w:w="4507"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cs="宋体"/>
                <w:color w:val="000000"/>
                <w:sz w:val="20"/>
                <w:szCs w:val="20"/>
              </w:rPr>
            </w:pPr>
          </w:p>
        </w:tc>
        <w:tc>
          <w:tcPr>
            <w:tcW w:w="813"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21</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0"/>
                <w:szCs w:val="20"/>
              </w:rPr>
            </w:pPr>
          </w:p>
        </w:tc>
        <w:tc>
          <w:tcPr>
            <w:tcW w:w="4244" w:type="dxa"/>
            <w:tcBorders>
              <w:top w:val="nil"/>
              <w:left w:val="nil"/>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二十一、国有资本经营预算支出</w:t>
            </w:r>
          </w:p>
        </w:tc>
        <w:tc>
          <w:tcPr>
            <w:tcW w:w="1106"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52</w:t>
            </w:r>
          </w:p>
        </w:tc>
        <w:tc>
          <w:tcPr>
            <w:tcW w:w="1567"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0</w:t>
            </w:r>
          </w:p>
        </w:tc>
      </w:tr>
      <w:tr>
        <w:tblPrEx>
          <w:tblCellMar>
            <w:top w:w="0" w:type="dxa"/>
            <w:left w:w="108" w:type="dxa"/>
            <w:bottom w:w="0" w:type="dxa"/>
            <w:right w:w="108" w:type="dxa"/>
          </w:tblCellMar>
        </w:tblPrEx>
        <w:trPr>
          <w:trHeight w:val="308" w:hRule="atLeast"/>
        </w:trPr>
        <w:tc>
          <w:tcPr>
            <w:tcW w:w="4507"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cs="宋体"/>
                <w:color w:val="000000"/>
                <w:sz w:val="20"/>
                <w:szCs w:val="20"/>
              </w:rPr>
            </w:pPr>
          </w:p>
        </w:tc>
        <w:tc>
          <w:tcPr>
            <w:tcW w:w="813"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22</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0"/>
                <w:szCs w:val="20"/>
              </w:rPr>
            </w:pPr>
          </w:p>
        </w:tc>
        <w:tc>
          <w:tcPr>
            <w:tcW w:w="4244" w:type="dxa"/>
            <w:tcBorders>
              <w:top w:val="nil"/>
              <w:left w:val="nil"/>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二十二、灾害防治及应急管理支出</w:t>
            </w:r>
          </w:p>
        </w:tc>
        <w:tc>
          <w:tcPr>
            <w:tcW w:w="1106"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53</w:t>
            </w:r>
          </w:p>
        </w:tc>
        <w:tc>
          <w:tcPr>
            <w:tcW w:w="1567"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0</w:t>
            </w:r>
          </w:p>
        </w:tc>
      </w:tr>
      <w:tr>
        <w:tblPrEx>
          <w:tblCellMar>
            <w:top w:w="0" w:type="dxa"/>
            <w:left w:w="108" w:type="dxa"/>
            <w:bottom w:w="0" w:type="dxa"/>
            <w:right w:w="108" w:type="dxa"/>
          </w:tblCellMar>
        </w:tblPrEx>
        <w:trPr>
          <w:trHeight w:val="308" w:hRule="atLeast"/>
        </w:trPr>
        <w:tc>
          <w:tcPr>
            <w:tcW w:w="4507"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cs="宋体"/>
                <w:color w:val="000000"/>
                <w:sz w:val="20"/>
                <w:szCs w:val="20"/>
              </w:rPr>
            </w:pPr>
          </w:p>
        </w:tc>
        <w:tc>
          <w:tcPr>
            <w:tcW w:w="813"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23</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0"/>
                <w:szCs w:val="20"/>
              </w:rPr>
            </w:pPr>
          </w:p>
        </w:tc>
        <w:tc>
          <w:tcPr>
            <w:tcW w:w="4244" w:type="dxa"/>
            <w:tcBorders>
              <w:top w:val="nil"/>
              <w:left w:val="nil"/>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二十三、其他支出</w:t>
            </w:r>
          </w:p>
        </w:tc>
        <w:tc>
          <w:tcPr>
            <w:tcW w:w="1106"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54</w:t>
            </w:r>
          </w:p>
        </w:tc>
        <w:tc>
          <w:tcPr>
            <w:tcW w:w="1567"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6.28</w:t>
            </w:r>
          </w:p>
        </w:tc>
      </w:tr>
      <w:tr>
        <w:tblPrEx>
          <w:tblCellMar>
            <w:top w:w="0" w:type="dxa"/>
            <w:left w:w="108" w:type="dxa"/>
            <w:bottom w:w="0" w:type="dxa"/>
            <w:right w:w="108" w:type="dxa"/>
          </w:tblCellMar>
        </w:tblPrEx>
        <w:trPr>
          <w:trHeight w:val="308" w:hRule="atLeast"/>
        </w:trPr>
        <w:tc>
          <w:tcPr>
            <w:tcW w:w="4507" w:type="dxa"/>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
                <w:bCs/>
                <w:color w:val="000000"/>
                <w:sz w:val="20"/>
                <w:szCs w:val="20"/>
              </w:rPr>
            </w:pPr>
          </w:p>
        </w:tc>
        <w:tc>
          <w:tcPr>
            <w:tcW w:w="813"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24</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0"/>
                <w:szCs w:val="20"/>
              </w:rPr>
            </w:pPr>
          </w:p>
        </w:tc>
        <w:tc>
          <w:tcPr>
            <w:tcW w:w="4244" w:type="dxa"/>
            <w:tcBorders>
              <w:top w:val="nil"/>
              <w:left w:val="nil"/>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二十四、债务还本支出</w:t>
            </w:r>
          </w:p>
        </w:tc>
        <w:tc>
          <w:tcPr>
            <w:tcW w:w="1106"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55</w:t>
            </w:r>
          </w:p>
        </w:tc>
        <w:tc>
          <w:tcPr>
            <w:tcW w:w="1567"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0</w:t>
            </w:r>
          </w:p>
        </w:tc>
      </w:tr>
      <w:tr>
        <w:tblPrEx>
          <w:tblCellMar>
            <w:top w:w="0" w:type="dxa"/>
            <w:left w:w="108" w:type="dxa"/>
            <w:bottom w:w="0" w:type="dxa"/>
            <w:right w:w="108" w:type="dxa"/>
          </w:tblCellMar>
        </w:tblPrEx>
        <w:trPr>
          <w:trHeight w:val="308" w:hRule="atLeast"/>
        </w:trPr>
        <w:tc>
          <w:tcPr>
            <w:tcW w:w="4507"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cs="宋体"/>
                <w:color w:val="000000"/>
                <w:sz w:val="20"/>
                <w:szCs w:val="20"/>
              </w:rPr>
            </w:pPr>
          </w:p>
        </w:tc>
        <w:tc>
          <w:tcPr>
            <w:tcW w:w="813"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25</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0"/>
                <w:szCs w:val="20"/>
              </w:rPr>
            </w:pPr>
          </w:p>
        </w:tc>
        <w:tc>
          <w:tcPr>
            <w:tcW w:w="4244" w:type="dxa"/>
            <w:tcBorders>
              <w:top w:val="nil"/>
              <w:left w:val="nil"/>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二十五、债务付息支出</w:t>
            </w:r>
          </w:p>
        </w:tc>
        <w:tc>
          <w:tcPr>
            <w:tcW w:w="1106"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56</w:t>
            </w:r>
          </w:p>
        </w:tc>
        <w:tc>
          <w:tcPr>
            <w:tcW w:w="1567"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0</w:t>
            </w:r>
          </w:p>
        </w:tc>
      </w:tr>
      <w:tr>
        <w:tblPrEx>
          <w:tblCellMar>
            <w:top w:w="0" w:type="dxa"/>
            <w:left w:w="108" w:type="dxa"/>
            <w:bottom w:w="0" w:type="dxa"/>
            <w:right w:w="108" w:type="dxa"/>
          </w:tblCellMar>
        </w:tblPrEx>
        <w:trPr>
          <w:trHeight w:val="308" w:hRule="atLeast"/>
        </w:trPr>
        <w:tc>
          <w:tcPr>
            <w:tcW w:w="4507"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cs="宋体"/>
                <w:color w:val="000000"/>
                <w:sz w:val="20"/>
                <w:szCs w:val="20"/>
              </w:rPr>
            </w:pPr>
          </w:p>
        </w:tc>
        <w:tc>
          <w:tcPr>
            <w:tcW w:w="813"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26</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0"/>
                <w:szCs w:val="20"/>
              </w:rPr>
            </w:pPr>
          </w:p>
        </w:tc>
        <w:tc>
          <w:tcPr>
            <w:tcW w:w="4244" w:type="dxa"/>
            <w:tcBorders>
              <w:top w:val="nil"/>
              <w:left w:val="nil"/>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二十六、抗疫特别国债安排的支出</w:t>
            </w:r>
          </w:p>
        </w:tc>
        <w:tc>
          <w:tcPr>
            <w:tcW w:w="1106"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57</w:t>
            </w:r>
          </w:p>
        </w:tc>
        <w:tc>
          <w:tcPr>
            <w:tcW w:w="1567"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0</w:t>
            </w:r>
          </w:p>
        </w:tc>
      </w:tr>
      <w:tr>
        <w:tblPrEx>
          <w:tblCellMar>
            <w:top w:w="0" w:type="dxa"/>
            <w:left w:w="108" w:type="dxa"/>
            <w:bottom w:w="0" w:type="dxa"/>
            <w:right w:w="108" w:type="dxa"/>
          </w:tblCellMar>
        </w:tblPrEx>
        <w:trPr>
          <w:trHeight w:val="308" w:hRule="atLeast"/>
        </w:trPr>
        <w:tc>
          <w:tcPr>
            <w:tcW w:w="4507"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b/>
                <w:bCs/>
                <w:color w:val="000000"/>
                <w:sz w:val="20"/>
                <w:szCs w:val="20"/>
              </w:rPr>
            </w:pPr>
            <w:r>
              <w:rPr>
                <w:rFonts w:hint="eastAsia" w:ascii="宋体" w:hAnsi="宋体" w:cs="宋体"/>
                <w:b/>
                <w:bCs/>
                <w:color w:val="000000"/>
                <w:kern w:val="0"/>
                <w:sz w:val="20"/>
                <w:szCs w:val="20"/>
                <w:lang w:bidi="ar"/>
              </w:rPr>
              <w:t>本年收入合计</w:t>
            </w:r>
          </w:p>
        </w:tc>
        <w:tc>
          <w:tcPr>
            <w:tcW w:w="813"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27</w:t>
            </w:r>
          </w:p>
        </w:tc>
        <w:tc>
          <w:tcPr>
            <w:tcW w:w="1077"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bidi="ar"/>
              </w:rPr>
              <w:t>805.16</w:t>
            </w:r>
          </w:p>
        </w:tc>
        <w:tc>
          <w:tcPr>
            <w:tcW w:w="4244"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b/>
                <w:bCs/>
                <w:color w:val="000000"/>
                <w:sz w:val="20"/>
                <w:szCs w:val="20"/>
              </w:rPr>
            </w:pPr>
            <w:r>
              <w:rPr>
                <w:rFonts w:hint="eastAsia" w:ascii="宋体" w:hAnsi="宋体" w:cs="宋体"/>
                <w:b/>
                <w:bCs/>
                <w:color w:val="000000"/>
                <w:kern w:val="0"/>
                <w:sz w:val="20"/>
                <w:szCs w:val="20"/>
                <w:lang w:bidi="ar"/>
              </w:rPr>
              <w:t>本年支出合计</w:t>
            </w:r>
          </w:p>
        </w:tc>
        <w:tc>
          <w:tcPr>
            <w:tcW w:w="1106"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58</w:t>
            </w:r>
          </w:p>
        </w:tc>
        <w:tc>
          <w:tcPr>
            <w:tcW w:w="1567"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bidi="ar"/>
              </w:rPr>
              <w:t>972.15</w:t>
            </w:r>
          </w:p>
        </w:tc>
      </w:tr>
      <w:tr>
        <w:tblPrEx>
          <w:tblCellMar>
            <w:top w:w="0" w:type="dxa"/>
            <w:left w:w="108" w:type="dxa"/>
            <w:bottom w:w="0" w:type="dxa"/>
            <w:right w:w="108" w:type="dxa"/>
          </w:tblCellMar>
        </w:tblPrEx>
        <w:trPr>
          <w:trHeight w:val="308" w:hRule="atLeast"/>
        </w:trPr>
        <w:tc>
          <w:tcPr>
            <w:tcW w:w="4507"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使用非财政拨款结余</w:t>
            </w:r>
          </w:p>
        </w:tc>
        <w:tc>
          <w:tcPr>
            <w:tcW w:w="813"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28</w:t>
            </w:r>
          </w:p>
        </w:tc>
        <w:tc>
          <w:tcPr>
            <w:tcW w:w="1077"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0</w:t>
            </w:r>
          </w:p>
        </w:tc>
        <w:tc>
          <w:tcPr>
            <w:tcW w:w="4244" w:type="dxa"/>
            <w:tcBorders>
              <w:top w:val="nil"/>
              <w:left w:val="nil"/>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结余分配</w:t>
            </w:r>
          </w:p>
        </w:tc>
        <w:tc>
          <w:tcPr>
            <w:tcW w:w="1106"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59</w:t>
            </w:r>
          </w:p>
        </w:tc>
        <w:tc>
          <w:tcPr>
            <w:tcW w:w="1567"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0</w:t>
            </w:r>
          </w:p>
        </w:tc>
      </w:tr>
      <w:tr>
        <w:tblPrEx>
          <w:tblCellMar>
            <w:top w:w="0" w:type="dxa"/>
            <w:left w:w="108" w:type="dxa"/>
            <w:bottom w:w="0" w:type="dxa"/>
            <w:right w:w="108" w:type="dxa"/>
          </w:tblCellMar>
        </w:tblPrEx>
        <w:trPr>
          <w:trHeight w:val="308" w:hRule="atLeast"/>
        </w:trPr>
        <w:tc>
          <w:tcPr>
            <w:tcW w:w="4507"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年初结转和结余</w:t>
            </w:r>
          </w:p>
        </w:tc>
        <w:tc>
          <w:tcPr>
            <w:tcW w:w="813"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29</w:t>
            </w:r>
          </w:p>
        </w:tc>
        <w:tc>
          <w:tcPr>
            <w:tcW w:w="1077"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bidi="ar"/>
              </w:rPr>
              <w:t>167</w:t>
            </w:r>
          </w:p>
        </w:tc>
        <w:tc>
          <w:tcPr>
            <w:tcW w:w="4244" w:type="dxa"/>
            <w:tcBorders>
              <w:top w:val="nil"/>
              <w:left w:val="nil"/>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年末结转和结余</w:t>
            </w:r>
          </w:p>
        </w:tc>
        <w:tc>
          <w:tcPr>
            <w:tcW w:w="1106"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60</w:t>
            </w:r>
          </w:p>
        </w:tc>
        <w:tc>
          <w:tcPr>
            <w:tcW w:w="1567"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282" w:hRule="atLeast"/>
        </w:trPr>
        <w:tc>
          <w:tcPr>
            <w:tcW w:w="4507" w:type="dxa"/>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cs="宋体"/>
                <w:color w:val="000000"/>
                <w:sz w:val="20"/>
                <w:szCs w:val="20"/>
              </w:rPr>
            </w:pPr>
          </w:p>
        </w:tc>
        <w:tc>
          <w:tcPr>
            <w:tcW w:w="813"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w:t>
            </w:r>
          </w:p>
        </w:tc>
        <w:tc>
          <w:tcPr>
            <w:tcW w:w="107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0"/>
                <w:szCs w:val="20"/>
              </w:rPr>
            </w:pPr>
          </w:p>
        </w:tc>
        <w:tc>
          <w:tcPr>
            <w:tcW w:w="4244" w:type="dxa"/>
            <w:tcBorders>
              <w:top w:val="nil"/>
              <w:left w:val="nil"/>
              <w:bottom w:val="single" w:color="000000" w:sz="4" w:space="0"/>
              <w:right w:val="single" w:color="000000" w:sz="4" w:space="0"/>
            </w:tcBorders>
            <w:shd w:val="clear" w:color="auto" w:fill="FFFFFF"/>
            <w:noWrap w:val="0"/>
            <w:vAlign w:val="center"/>
          </w:tcPr>
          <w:p>
            <w:pPr>
              <w:jc w:val="left"/>
              <w:rPr>
                <w:rFonts w:hint="eastAsia" w:ascii="宋体" w:hAnsi="宋体" w:cs="宋体"/>
                <w:color w:val="000000"/>
                <w:sz w:val="20"/>
                <w:szCs w:val="20"/>
              </w:rPr>
            </w:pPr>
          </w:p>
        </w:tc>
        <w:tc>
          <w:tcPr>
            <w:tcW w:w="1106"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61</w:t>
            </w:r>
          </w:p>
        </w:tc>
        <w:tc>
          <w:tcPr>
            <w:tcW w:w="1567" w:type="dxa"/>
            <w:tcBorders>
              <w:top w:val="nil"/>
              <w:left w:val="nil"/>
              <w:bottom w:val="single" w:color="000000" w:sz="4" w:space="0"/>
              <w:right w:val="single" w:color="000000" w:sz="4" w:space="0"/>
            </w:tcBorders>
            <w:shd w:val="clear" w:color="auto" w:fill="FFFFFF"/>
            <w:noWrap w:val="0"/>
            <w:vAlign w:val="center"/>
          </w:tcPr>
          <w:p>
            <w:pPr>
              <w:jc w:val="left"/>
              <w:rPr>
                <w:rFonts w:hint="eastAsia" w:ascii="宋体" w:hAnsi="宋体" w:cs="宋体"/>
                <w:color w:val="000000"/>
                <w:sz w:val="20"/>
                <w:szCs w:val="20"/>
              </w:rPr>
            </w:pPr>
          </w:p>
        </w:tc>
      </w:tr>
      <w:tr>
        <w:tblPrEx>
          <w:tblCellMar>
            <w:top w:w="0" w:type="dxa"/>
            <w:left w:w="108" w:type="dxa"/>
            <w:bottom w:w="0" w:type="dxa"/>
            <w:right w:w="108" w:type="dxa"/>
          </w:tblCellMar>
        </w:tblPrEx>
        <w:trPr>
          <w:trHeight w:val="308" w:hRule="atLeast"/>
        </w:trPr>
        <w:tc>
          <w:tcPr>
            <w:tcW w:w="4507"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b/>
                <w:bCs/>
                <w:color w:val="000000"/>
                <w:sz w:val="20"/>
                <w:szCs w:val="20"/>
              </w:rPr>
            </w:pPr>
            <w:r>
              <w:rPr>
                <w:rFonts w:hint="eastAsia" w:ascii="宋体" w:hAnsi="宋体" w:cs="宋体"/>
                <w:b/>
                <w:bCs/>
                <w:color w:val="000000"/>
                <w:kern w:val="0"/>
                <w:sz w:val="20"/>
                <w:szCs w:val="20"/>
                <w:lang w:bidi="ar"/>
              </w:rPr>
              <w:t>总计</w:t>
            </w:r>
          </w:p>
        </w:tc>
        <w:tc>
          <w:tcPr>
            <w:tcW w:w="813" w:type="dxa"/>
            <w:tcBorders>
              <w:top w:val="nil"/>
              <w:left w:val="nil"/>
              <w:bottom w:val="single" w:color="000000" w:sz="8"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w:t>
            </w:r>
          </w:p>
        </w:tc>
        <w:tc>
          <w:tcPr>
            <w:tcW w:w="1077"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bidi="ar"/>
              </w:rPr>
              <w:t>972.15</w:t>
            </w:r>
          </w:p>
        </w:tc>
        <w:tc>
          <w:tcPr>
            <w:tcW w:w="4244"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b/>
                <w:bCs/>
                <w:color w:val="000000"/>
                <w:sz w:val="20"/>
                <w:szCs w:val="20"/>
              </w:rPr>
            </w:pPr>
            <w:r>
              <w:rPr>
                <w:rFonts w:hint="eastAsia" w:ascii="宋体" w:hAnsi="宋体" w:cs="宋体"/>
                <w:b/>
                <w:bCs/>
                <w:color w:val="000000"/>
                <w:kern w:val="0"/>
                <w:sz w:val="20"/>
                <w:szCs w:val="20"/>
                <w:lang w:bidi="ar"/>
              </w:rPr>
              <w:t>总计</w:t>
            </w:r>
          </w:p>
        </w:tc>
        <w:tc>
          <w:tcPr>
            <w:tcW w:w="1106" w:type="dxa"/>
            <w:tcBorders>
              <w:top w:val="nil"/>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62</w:t>
            </w:r>
          </w:p>
        </w:tc>
        <w:tc>
          <w:tcPr>
            <w:tcW w:w="1567"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bidi="ar"/>
              </w:rPr>
              <w:t>972.15</w:t>
            </w:r>
          </w:p>
        </w:tc>
      </w:tr>
      <w:tr>
        <w:tblPrEx>
          <w:tblCellMar>
            <w:top w:w="0" w:type="dxa"/>
            <w:left w:w="108" w:type="dxa"/>
            <w:bottom w:w="0" w:type="dxa"/>
            <w:right w:w="108" w:type="dxa"/>
          </w:tblCellMar>
        </w:tblPrEx>
        <w:trPr>
          <w:trHeight w:val="308" w:hRule="atLeast"/>
        </w:trPr>
        <w:tc>
          <w:tcPr>
            <w:tcW w:w="13314" w:type="dxa"/>
            <w:gridSpan w:val="6"/>
            <w:tcBorders>
              <w:top w:val="nil"/>
              <w:left w:val="nil"/>
              <w:bottom w:val="nil"/>
              <w:right w:val="nil"/>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w:t>
            </w:r>
            <w:r>
              <w:rPr>
                <w:rFonts w:hint="eastAsia" w:ascii="宋体" w:hAnsi="宋体" w:cs="宋体"/>
                <w:color w:val="000000"/>
                <w:kern w:val="0"/>
                <w:sz w:val="20"/>
                <w:szCs w:val="20"/>
                <w:lang w:eastAsia="zh-CN" w:bidi="ar"/>
              </w:rPr>
              <w:t>单位</w:t>
            </w:r>
            <w:r>
              <w:rPr>
                <w:rFonts w:hint="eastAsia" w:ascii="宋体" w:hAnsi="宋体" w:cs="宋体"/>
                <w:color w:val="000000"/>
                <w:kern w:val="0"/>
                <w:sz w:val="20"/>
                <w:szCs w:val="20"/>
                <w:lang w:bidi="ar"/>
              </w:rPr>
              <w:t>本年度的总收支和年末结转结余情况。本套报表金额单位转换时可能存在尾数误差。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1027"/>
        <w:gridCol w:w="59"/>
        <w:gridCol w:w="2061"/>
        <w:gridCol w:w="763"/>
        <w:gridCol w:w="648"/>
        <w:gridCol w:w="905"/>
        <w:gridCol w:w="479"/>
        <w:gridCol w:w="1074"/>
        <w:gridCol w:w="264"/>
        <w:gridCol w:w="1289"/>
        <w:gridCol w:w="352"/>
        <w:gridCol w:w="1201"/>
        <w:gridCol w:w="440"/>
        <w:gridCol w:w="1113"/>
        <w:gridCol w:w="528"/>
        <w:gridCol w:w="1642"/>
      </w:tblGrid>
      <w:tr>
        <w:tblPrEx>
          <w:tblCellMar>
            <w:top w:w="0" w:type="dxa"/>
            <w:left w:w="0" w:type="dxa"/>
            <w:bottom w:w="0" w:type="dxa"/>
            <w:right w:w="0" w:type="dxa"/>
          </w:tblCellMar>
        </w:tblPrEx>
        <w:trPr>
          <w:trHeight w:val="435" w:hRule="atLeast"/>
        </w:trPr>
        <w:tc>
          <w:tcPr>
            <w:tcW w:w="13845" w:type="dxa"/>
            <w:gridSpan w:val="16"/>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收入决算表</w:t>
            </w:r>
          </w:p>
        </w:tc>
      </w:tr>
      <w:tr>
        <w:tblPrEx>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06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76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公开02表</w:t>
            </w:r>
          </w:p>
        </w:tc>
      </w:tr>
      <w:tr>
        <w:tblPrEx>
          <w:tblCellMar>
            <w:top w:w="0" w:type="dxa"/>
            <w:left w:w="0" w:type="dxa"/>
            <w:bottom w:w="0" w:type="dxa"/>
            <w:right w:w="0" w:type="dxa"/>
          </w:tblCellMar>
        </w:tblPrEx>
        <w:trPr>
          <w:trHeight w:val="312" w:hRule="atLeast"/>
        </w:trPr>
        <w:tc>
          <w:tcPr>
            <w:tcW w:w="3147" w:type="dxa"/>
            <w:gridSpan w:val="3"/>
            <w:tcBorders>
              <w:top w:val="nil"/>
              <w:left w:val="nil"/>
              <w:bottom w:val="nil"/>
              <w:right w:val="nil"/>
            </w:tcBorders>
            <w:shd w:val="clear" w:color="auto" w:fill="FFFFFF"/>
            <w:noWrap/>
            <w:tcMar>
              <w:top w:w="15" w:type="dxa"/>
              <w:left w:w="15" w:type="dxa"/>
              <w:right w:w="15" w:type="dxa"/>
            </w:tcMar>
            <w:vAlign w:val="center"/>
          </w:tcPr>
          <w:p>
            <w:pPr>
              <w:jc w:val="both"/>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w:t>
            </w:r>
            <w:r>
              <w:rPr>
                <w:rFonts w:hint="eastAsia" w:ascii="宋体" w:hAnsi="宋体" w:cs="宋体"/>
                <w:color w:val="000000"/>
                <w:kern w:val="0"/>
                <w:sz w:val="20"/>
                <w:szCs w:val="20"/>
                <w:highlight w:val="none"/>
                <w:lang w:eastAsia="zh-CN" w:bidi="ar"/>
              </w:rPr>
              <w:t>许昌市退役军人服务中心</w:t>
            </w:r>
          </w:p>
        </w:tc>
        <w:tc>
          <w:tcPr>
            <w:tcW w:w="76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lang w:bidi="ar"/>
              </w:rPr>
              <w:t>金额单位</w:t>
            </w:r>
            <w:r>
              <w:rPr>
                <w:rFonts w:hint="eastAsia" w:ascii="宋体" w:hAnsi="宋体" w:cs="宋体"/>
                <w:color w:val="000000"/>
                <w:kern w:val="0"/>
                <w:sz w:val="20"/>
                <w:szCs w:val="20"/>
                <w:highlight w:val="none"/>
                <w:lang w:bidi="ar"/>
              </w:rPr>
              <w:t>：万元</w:t>
            </w:r>
          </w:p>
        </w:tc>
      </w:tr>
      <w:tr>
        <w:tblPrEx>
          <w:tblCellMar>
            <w:top w:w="0" w:type="dxa"/>
            <w:left w:w="0" w:type="dxa"/>
            <w:bottom w:w="0" w:type="dxa"/>
            <w:right w:w="0" w:type="dxa"/>
          </w:tblCellMar>
        </w:tblPrEx>
        <w:trPr>
          <w:trHeight w:val="450" w:hRule="atLeast"/>
        </w:trPr>
        <w:tc>
          <w:tcPr>
            <w:tcW w:w="3147" w:type="dxa"/>
            <w:gridSpan w:val="3"/>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141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本年收入合计</w:t>
            </w:r>
          </w:p>
        </w:tc>
        <w:tc>
          <w:tcPr>
            <w:tcW w:w="1384" w:type="dxa"/>
            <w:gridSpan w:val="2"/>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财政拨款收入</w:t>
            </w:r>
          </w:p>
        </w:tc>
        <w:tc>
          <w:tcPr>
            <w:tcW w:w="1338"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上级补助收入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事业收入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经营收入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附属单位上缴收入</w:t>
            </w:r>
          </w:p>
        </w:tc>
        <w:tc>
          <w:tcPr>
            <w:tcW w:w="1642"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其他收入</w:t>
            </w:r>
          </w:p>
        </w:tc>
      </w:tr>
      <w:tr>
        <w:tblPrEx>
          <w:tblCellMar>
            <w:top w:w="0" w:type="dxa"/>
            <w:left w:w="0" w:type="dxa"/>
            <w:bottom w:w="0" w:type="dxa"/>
            <w:right w:w="0" w:type="dxa"/>
          </w:tblCellMar>
        </w:tblPrEx>
        <w:trPr>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科目编码</w:t>
            </w:r>
          </w:p>
        </w:tc>
        <w:tc>
          <w:tcPr>
            <w:tcW w:w="206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141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84"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38"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06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41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84"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38"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3147"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栏次</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c>
          <w:tcPr>
            <w:tcW w:w="1642"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7</w:t>
            </w:r>
          </w:p>
        </w:tc>
      </w:tr>
      <w:tr>
        <w:tblPrEx>
          <w:tblCellMar>
            <w:top w:w="0" w:type="dxa"/>
            <w:left w:w="0" w:type="dxa"/>
            <w:bottom w:w="0" w:type="dxa"/>
            <w:right w:w="0" w:type="dxa"/>
          </w:tblCellMar>
        </w:tblPrEx>
        <w:trPr>
          <w:trHeight w:val="450" w:hRule="atLeast"/>
        </w:trPr>
        <w:tc>
          <w:tcPr>
            <w:tcW w:w="3147" w:type="dxa"/>
            <w:gridSpan w:val="3"/>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41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805.16</w:t>
            </w:r>
          </w:p>
        </w:tc>
        <w:tc>
          <w:tcPr>
            <w:tcW w:w="138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805.16</w:t>
            </w:r>
          </w:p>
        </w:tc>
        <w:tc>
          <w:tcPr>
            <w:tcW w:w="133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201</w:t>
            </w:r>
          </w:p>
        </w:tc>
        <w:tc>
          <w:tcPr>
            <w:tcW w:w="20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一般公共服务支出</w:t>
            </w:r>
          </w:p>
        </w:tc>
        <w:tc>
          <w:tcPr>
            <w:tcW w:w="141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2.20</w:t>
            </w:r>
          </w:p>
        </w:tc>
        <w:tc>
          <w:tcPr>
            <w:tcW w:w="138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2.20</w:t>
            </w:r>
          </w:p>
        </w:tc>
        <w:tc>
          <w:tcPr>
            <w:tcW w:w="133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20129</w:t>
            </w:r>
          </w:p>
        </w:tc>
        <w:tc>
          <w:tcPr>
            <w:tcW w:w="20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群众团体事务</w:t>
            </w:r>
          </w:p>
        </w:tc>
        <w:tc>
          <w:tcPr>
            <w:tcW w:w="141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华文中宋" w:hAnsi="华文中宋" w:eastAsia="华文中宋" w:cs="华文中宋"/>
                <w:color w:val="000000"/>
                <w:sz w:val="20"/>
                <w:szCs w:val="20"/>
                <w:highlight w:val="none"/>
                <w:lang w:val="en-US" w:eastAsia="zh-CN"/>
              </w:rPr>
            </w:pPr>
            <w:r>
              <w:rPr>
                <w:rFonts w:hint="eastAsia" w:ascii="华文中宋" w:hAnsi="华文中宋" w:eastAsia="华文中宋" w:cs="华文中宋"/>
                <w:color w:val="000000"/>
                <w:sz w:val="20"/>
                <w:szCs w:val="20"/>
                <w:highlight w:val="none"/>
                <w:lang w:val="en-US" w:eastAsia="zh-CN"/>
              </w:rPr>
              <w:t>2.20</w:t>
            </w:r>
          </w:p>
        </w:tc>
        <w:tc>
          <w:tcPr>
            <w:tcW w:w="138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2.20</w:t>
            </w:r>
          </w:p>
        </w:tc>
        <w:tc>
          <w:tcPr>
            <w:tcW w:w="133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2012906</w:t>
            </w:r>
          </w:p>
        </w:tc>
        <w:tc>
          <w:tcPr>
            <w:tcW w:w="20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工会事务</w:t>
            </w:r>
          </w:p>
        </w:tc>
        <w:tc>
          <w:tcPr>
            <w:tcW w:w="141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2.20</w:t>
            </w:r>
          </w:p>
        </w:tc>
        <w:tc>
          <w:tcPr>
            <w:tcW w:w="138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2.20</w:t>
            </w:r>
          </w:p>
        </w:tc>
        <w:tc>
          <w:tcPr>
            <w:tcW w:w="133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208</w:t>
            </w:r>
          </w:p>
        </w:tc>
        <w:tc>
          <w:tcPr>
            <w:tcW w:w="20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社会保障和就业支出</w:t>
            </w:r>
          </w:p>
        </w:tc>
        <w:tc>
          <w:tcPr>
            <w:tcW w:w="141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802.96</w:t>
            </w:r>
          </w:p>
        </w:tc>
        <w:tc>
          <w:tcPr>
            <w:tcW w:w="138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802.86</w:t>
            </w:r>
          </w:p>
        </w:tc>
        <w:tc>
          <w:tcPr>
            <w:tcW w:w="133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20805</w:t>
            </w:r>
          </w:p>
        </w:tc>
        <w:tc>
          <w:tcPr>
            <w:tcW w:w="20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行政事业单位养老支出</w:t>
            </w:r>
          </w:p>
        </w:tc>
        <w:tc>
          <w:tcPr>
            <w:tcW w:w="141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50.52</w:t>
            </w:r>
          </w:p>
        </w:tc>
        <w:tc>
          <w:tcPr>
            <w:tcW w:w="138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50.52</w:t>
            </w:r>
          </w:p>
        </w:tc>
        <w:tc>
          <w:tcPr>
            <w:tcW w:w="133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2080501</w:t>
            </w:r>
          </w:p>
        </w:tc>
        <w:tc>
          <w:tcPr>
            <w:tcW w:w="20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行政单位离退休</w:t>
            </w:r>
          </w:p>
        </w:tc>
        <w:tc>
          <w:tcPr>
            <w:tcW w:w="141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9.91</w:t>
            </w:r>
          </w:p>
        </w:tc>
        <w:tc>
          <w:tcPr>
            <w:tcW w:w="138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9.91</w:t>
            </w:r>
          </w:p>
        </w:tc>
        <w:tc>
          <w:tcPr>
            <w:tcW w:w="133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2080502</w:t>
            </w:r>
          </w:p>
        </w:tc>
        <w:tc>
          <w:tcPr>
            <w:tcW w:w="20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事业单位离退休</w:t>
            </w:r>
          </w:p>
        </w:tc>
        <w:tc>
          <w:tcPr>
            <w:tcW w:w="141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40.61</w:t>
            </w:r>
          </w:p>
        </w:tc>
        <w:tc>
          <w:tcPr>
            <w:tcW w:w="138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40.61</w:t>
            </w:r>
          </w:p>
        </w:tc>
        <w:tc>
          <w:tcPr>
            <w:tcW w:w="133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rPr>
              <w:t>2080</w:t>
            </w:r>
            <w:r>
              <w:rPr>
                <w:rFonts w:hint="eastAsia" w:ascii="宋体" w:hAnsi="宋体" w:cs="宋体"/>
                <w:color w:val="000000"/>
                <w:sz w:val="20"/>
                <w:szCs w:val="20"/>
                <w:lang w:val="en-US" w:eastAsia="zh-CN"/>
              </w:rPr>
              <w:t>9</w:t>
            </w:r>
          </w:p>
        </w:tc>
        <w:tc>
          <w:tcPr>
            <w:tcW w:w="20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eastAsia="zh-CN"/>
              </w:rPr>
              <w:t>退役安置</w:t>
            </w:r>
          </w:p>
        </w:tc>
        <w:tc>
          <w:tcPr>
            <w:tcW w:w="141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289</w:t>
            </w:r>
          </w:p>
        </w:tc>
        <w:tc>
          <w:tcPr>
            <w:tcW w:w="138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289</w:t>
            </w:r>
          </w:p>
        </w:tc>
        <w:tc>
          <w:tcPr>
            <w:tcW w:w="133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2080905</w:t>
            </w:r>
          </w:p>
        </w:tc>
        <w:tc>
          <w:tcPr>
            <w:tcW w:w="20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eastAsia="zh-CN"/>
              </w:rPr>
              <w:t>军队转业干部安置</w:t>
            </w:r>
          </w:p>
        </w:tc>
        <w:tc>
          <w:tcPr>
            <w:tcW w:w="141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16.49</w:t>
            </w:r>
          </w:p>
        </w:tc>
        <w:tc>
          <w:tcPr>
            <w:tcW w:w="138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16.49</w:t>
            </w:r>
          </w:p>
        </w:tc>
        <w:tc>
          <w:tcPr>
            <w:tcW w:w="133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2080999</w:t>
            </w:r>
          </w:p>
        </w:tc>
        <w:tc>
          <w:tcPr>
            <w:tcW w:w="206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其他退役安置支出</w:t>
            </w:r>
          </w:p>
        </w:tc>
        <w:tc>
          <w:tcPr>
            <w:tcW w:w="141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272.5</w:t>
            </w:r>
          </w:p>
        </w:tc>
        <w:tc>
          <w:tcPr>
            <w:tcW w:w="138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272.5</w:t>
            </w:r>
          </w:p>
        </w:tc>
        <w:tc>
          <w:tcPr>
            <w:tcW w:w="1338"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20828</w:t>
            </w:r>
          </w:p>
        </w:tc>
        <w:tc>
          <w:tcPr>
            <w:tcW w:w="206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退役军人管理事务</w:t>
            </w:r>
          </w:p>
        </w:tc>
        <w:tc>
          <w:tcPr>
            <w:tcW w:w="141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463.44</w:t>
            </w:r>
          </w:p>
        </w:tc>
        <w:tc>
          <w:tcPr>
            <w:tcW w:w="138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463.44</w:t>
            </w:r>
          </w:p>
        </w:tc>
        <w:tc>
          <w:tcPr>
            <w:tcW w:w="1338"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2082850</w:t>
            </w:r>
          </w:p>
        </w:tc>
        <w:tc>
          <w:tcPr>
            <w:tcW w:w="206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事业运行</w:t>
            </w:r>
          </w:p>
        </w:tc>
        <w:tc>
          <w:tcPr>
            <w:tcW w:w="141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463.44</w:t>
            </w:r>
          </w:p>
        </w:tc>
        <w:tc>
          <w:tcPr>
            <w:tcW w:w="138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463.44</w:t>
            </w:r>
          </w:p>
        </w:tc>
        <w:tc>
          <w:tcPr>
            <w:tcW w:w="1338"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615" w:hRule="atLeast"/>
        </w:trPr>
        <w:tc>
          <w:tcPr>
            <w:tcW w:w="13845" w:type="dxa"/>
            <w:gridSpan w:val="16"/>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w:t>
            </w: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901" w:type="dxa"/>
        <w:tblInd w:w="87" w:type="dxa"/>
        <w:tblLayout w:type="fixed"/>
        <w:tblCellMar>
          <w:top w:w="0" w:type="dxa"/>
          <w:left w:w="0" w:type="dxa"/>
          <w:bottom w:w="0" w:type="dxa"/>
          <w:right w:w="0" w:type="dxa"/>
        </w:tblCellMar>
      </w:tblPr>
      <w:tblGrid>
        <w:gridCol w:w="1033"/>
        <w:gridCol w:w="63"/>
        <w:gridCol w:w="27"/>
        <w:gridCol w:w="2252"/>
        <w:gridCol w:w="871"/>
        <w:gridCol w:w="792"/>
        <w:gridCol w:w="1010"/>
        <w:gridCol w:w="457"/>
        <w:gridCol w:w="1344"/>
        <w:gridCol w:w="335"/>
        <w:gridCol w:w="1467"/>
        <w:gridCol w:w="437"/>
        <w:gridCol w:w="1364"/>
        <w:gridCol w:w="540"/>
        <w:gridCol w:w="1909"/>
      </w:tblGrid>
      <w:tr>
        <w:tblPrEx>
          <w:tblCellMar>
            <w:top w:w="0" w:type="dxa"/>
            <w:left w:w="0" w:type="dxa"/>
            <w:bottom w:w="0" w:type="dxa"/>
            <w:right w:w="0" w:type="dxa"/>
          </w:tblCellMar>
        </w:tblPrEx>
        <w:trPr>
          <w:trHeight w:val="435" w:hRule="atLeast"/>
        </w:trPr>
        <w:tc>
          <w:tcPr>
            <w:tcW w:w="13901" w:type="dxa"/>
            <w:gridSpan w:val="15"/>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支出决算表</w:t>
            </w:r>
          </w:p>
        </w:tc>
      </w:tr>
      <w:tr>
        <w:tblPrEx>
          <w:tblCellMar>
            <w:top w:w="0" w:type="dxa"/>
            <w:left w:w="0" w:type="dxa"/>
            <w:bottom w:w="0" w:type="dxa"/>
            <w:right w:w="0" w:type="dxa"/>
          </w:tblCellMar>
        </w:tblPrEx>
        <w:trPr>
          <w:trHeight w:val="285" w:hRule="atLeast"/>
        </w:trPr>
        <w:tc>
          <w:tcPr>
            <w:tcW w:w="103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252"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公开03表</w:t>
            </w:r>
          </w:p>
        </w:tc>
      </w:tr>
      <w:tr>
        <w:tblPrEx>
          <w:tblCellMar>
            <w:top w:w="0" w:type="dxa"/>
            <w:left w:w="0" w:type="dxa"/>
            <w:bottom w:w="0" w:type="dxa"/>
            <w:right w:w="0" w:type="dxa"/>
          </w:tblCellMar>
        </w:tblPrEx>
        <w:trPr>
          <w:trHeight w:val="300" w:hRule="atLeast"/>
        </w:trPr>
        <w:tc>
          <w:tcPr>
            <w:tcW w:w="3375" w:type="dxa"/>
            <w:gridSpan w:val="4"/>
            <w:tcBorders>
              <w:top w:val="nil"/>
              <w:left w:val="nil"/>
              <w:bottom w:val="nil"/>
              <w:right w:val="nil"/>
            </w:tcBorders>
            <w:shd w:val="clear" w:color="auto" w:fill="FFFFFF"/>
            <w:noWrap/>
            <w:tcMar>
              <w:top w:w="15" w:type="dxa"/>
              <w:left w:w="15" w:type="dxa"/>
              <w:right w:w="15" w:type="dxa"/>
            </w:tcMar>
            <w:vAlign w:val="center"/>
          </w:tcPr>
          <w:p>
            <w:pPr>
              <w:jc w:val="both"/>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w:t>
            </w:r>
            <w:r>
              <w:rPr>
                <w:rFonts w:hint="eastAsia" w:ascii="宋体" w:hAnsi="宋体" w:cs="宋体"/>
                <w:color w:val="000000"/>
                <w:kern w:val="0"/>
                <w:sz w:val="20"/>
                <w:szCs w:val="20"/>
                <w:highlight w:val="none"/>
                <w:lang w:eastAsia="zh-CN" w:bidi="ar"/>
              </w:rPr>
              <w:t>许昌市退役军人服务中心</w:t>
            </w:r>
          </w:p>
        </w:tc>
        <w:tc>
          <w:tcPr>
            <w:tcW w:w="8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lang w:bidi="ar"/>
              </w:rPr>
              <w:t>金额单位</w:t>
            </w:r>
            <w:r>
              <w:rPr>
                <w:rFonts w:hint="eastAsia" w:ascii="宋体" w:hAnsi="宋体" w:cs="宋体"/>
                <w:color w:val="000000"/>
                <w:kern w:val="0"/>
                <w:sz w:val="20"/>
                <w:szCs w:val="20"/>
                <w:highlight w:val="none"/>
                <w:lang w:bidi="ar"/>
              </w:rPr>
              <w:t>：万元</w:t>
            </w:r>
          </w:p>
        </w:tc>
      </w:tr>
      <w:tr>
        <w:tblPrEx>
          <w:tblCellMar>
            <w:top w:w="0" w:type="dxa"/>
            <w:left w:w="0" w:type="dxa"/>
            <w:bottom w:w="0" w:type="dxa"/>
            <w:right w:w="0" w:type="dxa"/>
          </w:tblCellMar>
        </w:tblPrEx>
        <w:trPr>
          <w:trHeight w:val="450" w:hRule="atLeast"/>
        </w:trPr>
        <w:tc>
          <w:tcPr>
            <w:tcW w:w="3375" w:type="dxa"/>
            <w:gridSpan w:val="4"/>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1663"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本年支出合计</w:t>
            </w:r>
          </w:p>
        </w:tc>
        <w:tc>
          <w:tcPr>
            <w:tcW w:w="1467"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基本支出</w:t>
            </w:r>
          </w:p>
        </w:tc>
        <w:tc>
          <w:tcPr>
            <w:tcW w:w="1679"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项目支出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上缴上级支出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经营支出</w:t>
            </w:r>
          </w:p>
        </w:tc>
        <w:tc>
          <w:tcPr>
            <w:tcW w:w="1909"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对附属单位补助支出</w:t>
            </w:r>
          </w:p>
        </w:tc>
      </w:tr>
      <w:tr>
        <w:tblPrEx>
          <w:tblCellMar>
            <w:top w:w="0" w:type="dxa"/>
            <w:left w:w="0" w:type="dxa"/>
            <w:bottom w:w="0" w:type="dxa"/>
            <w:right w:w="0" w:type="dxa"/>
          </w:tblCellMar>
        </w:tblPrEx>
        <w:trPr>
          <w:trHeight w:val="450" w:hRule="atLeast"/>
        </w:trPr>
        <w:tc>
          <w:tcPr>
            <w:tcW w:w="1096"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科目编码</w:t>
            </w:r>
          </w:p>
        </w:tc>
        <w:tc>
          <w:tcPr>
            <w:tcW w:w="2279"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166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467"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79"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96"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27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6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467"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79"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3375" w:type="dxa"/>
            <w:gridSpan w:val="4"/>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栏次</w:t>
            </w:r>
          </w:p>
        </w:tc>
        <w:tc>
          <w:tcPr>
            <w:tcW w:w="16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467"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90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r>
      <w:tr>
        <w:tblPrEx>
          <w:tblCellMar>
            <w:top w:w="0" w:type="dxa"/>
            <w:left w:w="0" w:type="dxa"/>
            <w:bottom w:w="0" w:type="dxa"/>
            <w:right w:w="0" w:type="dxa"/>
          </w:tblCellMar>
        </w:tblPrEx>
        <w:trPr>
          <w:trHeight w:val="450" w:hRule="atLeast"/>
        </w:trPr>
        <w:tc>
          <w:tcPr>
            <w:tcW w:w="3375" w:type="dxa"/>
            <w:gridSpan w:val="4"/>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66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972.15</w:t>
            </w:r>
          </w:p>
        </w:tc>
        <w:tc>
          <w:tcPr>
            <w:tcW w:w="14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581.20</w:t>
            </w:r>
          </w:p>
        </w:tc>
        <w:tc>
          <w:tcPr>
            <w:tcW w:w="167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390.95</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96"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201</w:t>
            </w:r>
          </w:p>
        </w:tc>
        <w:tc>
          <w:tcPr>
            <w:tcW w:w="22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一般公共服务支出</w:t>
            </w:r>
          </w:p>
        </w:tc>
        <w:tc>
          <w:tcPr>
            <w:tcW w:w="166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2.20</w:t>
            </w:r>
          </w:p>
        </w:tc>
        <w:tc>
          <w:tcPr>
            <w:tcW w:w="14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2.20</w:t>
            </w:r>
          </w:p>
        </w:tc>
        <w:tc>
          <w:tcPr>
            <w:tcW w:w="167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96"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20129</w:t>
            </w:r>
          </w:p>
        </w:tc>
        <w:tc>
          <w:tcPr>
            <w:tcW w:w="22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群众团体事务</w:t>
            </w:r>
          </w:p>
        </w:tc>
        <w:tc>
          <w:tcPr>
            <w:tcW w:w="166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2.20</w:t>
            </w:r>
          </w:p>
        </w:tc>
        <w:tc>
          <w:tcPr>
            <w:tcW w:w="14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2.20</w:t>
            </w:r>
          </w:p>
        </w:tc>
        <w:tc>
          <w:tcPr>
            <w:tcW w:w="167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96"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2012906</w:t>
            </w:r>
          </w:p>
        </w:tc>
        <w:tc>
          <w:tcPr>
            <w:tcW w:w="22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工会事务</w:t>
            </w:r>
          </w:p>
        </w:tc>
        <w:tc>
          <w:tcPr>
            <w:tcW w:w="166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2.20</w:t>
            </w:r>
          </w:p>
        </w:tc>
        <w:tc>
          <w:tcPr>
            <w:tcW w:w="14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2.20</w:t>
            </w:r>
          </w:p>
        </w:tc>
        <w:tc>
          <w:tcPr>
            <w:tcW w:w="167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96"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208</w:t>
            </w:r>
          </w:p>
        </w:tc>
        <w:tc>
          <w:tcPr>
            <w:tcW w:w="22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社会保障和就业支出</w:t>
            </w:r>
          </w:p>
        </w:tc>
        <w:tc>
          <w:tcPr>
            <w:tcW w:w="166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967.64</w:t>
            </w:r>
          </w:p>
        </w:tc>
        <w:tc>
          <w:tcPr>
            <w:tcW w:w="14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576.69</w:t>
            </w:r>
          </w:p>
        </w:tc>
        <w:tc>
          <w:tcPr>
            <w:tcW w:w="167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390.95</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96"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20805</w:t>
            </w:r>
          </w:p>
        </w:tc>
        <w:tc>
          <w:tcPr>
            <w:tcW w:w="22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行政事业单位养老支出</w:t>
            </w:r>
          </w:p>
        </w:tc>
        <w:tc>
          <w:tcPr>
            <w:tcW w:w="166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58.77</w:t>
            </w:r>
          </w:p>
        </w:tc>
        <w:tc>
          <w:tcPr>
            <w:tcW w:w="14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58.77</w:t>
            </w:r>
          </w:p>
        </w:tc>
        <w:tc>
          <w:tcPr>
            <w:tcW w:w="167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96"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2080501</w:t>
            </w:r>
          </w:p>
        </w:tc>
        <w:tc>
          <w:tcPr>
            <w:tcW w:w="22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行政单位离退休</w:t>
            </w:r>
          </w:p>
        </w:tc>
        <w:tc>
          <w:tcPr>
            <w:tcW w:w="166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9.91</w:t>
            </w:r>
          </w:p>
        </w:tc>
        <w:tc>
          <w:tcPr>
            <w:tcW w:w="14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9.91</w:t>
            </w:r>
          </w:p>
        </w:tc>
        <w:tc>
          <w:tcPr>
            <w:tcW w:w="167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color w:val="000000"/>
                <w:sz w:val="20"/>
                <w:szCs w:val="20"/>
                <w:highlight w:val="none"/>
                <w:lang w:val="en-US"/>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color w:val="000000"/>
                <w:sz w:val="20"/>
                <w:szCs w:val="20"/>
                <w:highlight w:val="none"/>
                <w:lang w:val="en-US"/>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color w:val="000000"/>
                <w:sz w:val="20"/>
                <w:szCs w:val="20"/>
                <w:highlight w:val="none"/>
                <w:lang w:val="en-US"/>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cs="宋体"/>
                <w:color w:val="000000"/>
                <w:sz w:val="20"/>
                <w:szCs w:val="20"/>
                <w:highlight w:val="none"/>
                <w:lang w:val="en-US"/>
              </w:rPr>
            </w:pPr>
          </w:p>
        </w:tc>
      </w:tr>
      <w:tr>
        <w:tblPrEx>
          <w:tblCellMar>
            <w:top w:w="0" w:type="dxa"/>
            <w:left w:w="0" w:type="dxa"/>
            <w:bottom w:w="0" w:type="dxa"/>
            <w:right w:w="0" w:type="dxa"/>
          </w:tblCellMar>
        </w:tblPrEx>
        <w:trPr>
          <w:trHeight w:val="450" w:hRule="atLeast"/>
        </w:trPr>
        <w:tc>
          <w:tcPr>
            <w:tcW w:w="1096"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2080502</w:t>
            </w:r>
          </w:p>
        </w:tc>
        <w:tc>
          <w:tcPr>
            <w:tcW w:w="22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事业单位离退休</w:t>
            </w:r>
          </w:p>
        </w:tc>
        <w:tc>
          <w:tcPr>
            <w:tcW w:w="166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47.53</w:t>
            </w:r>
          </w:p>
        </w:tc>
        <w:tc>
          <w:tcPr>
            <w:tcW w:w="14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47.53</w:t>
            </w:r>
          </w:p>
        </w:tc>
        <w:tc>
          <w:tcPr>
            <w:tcW w:w="167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96"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2080505</w:t>
            </w:r>
          </w:p>
        </w:tc>
        <w:tc>
          <w:tcPr>
            <w:tcW w:w="22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 xml:space="preserve"> 机关事业单位基本养老保险缴费支出</w:t>
            </w:r>
          </w:p>
        </w:tc>
        <w:tc>
          <w:tcPr>
            <w:tcW w:w="166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1.33</w:t>
            </w:r>
          </w:p>
        </w:tc>
        <w:tc>
          <w:tcPr>
            <w:tcW w:w="14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1.33</w:t>
            </w:r>
          </w:p>
        </w:tc>
        <w:tc>
          <w:tcPr>
            <w:tcW w:w="167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96"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20809</w:t>
            </w:r>
          </w:p>
        </w:tc>
        <w:tc>
          <w:tcPr>
            <w:tcW w:w="22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退役安置</w:t>
            </w:r>
          </w:p>
        </w:tc>
        <w:tc>
          <w:tcPr>
            <w:tcW w:w="166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382.31</w:t>
            </w:r>
          </w:p>
        </w:tc>
        <w:tc>
          <w:tcPr>
            <w:tcW w:w="14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7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382.31</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96"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2080905</w:t>
            </w:r>
          </w:p>
        </w:tc>
        <w:tc>
          <w:tcPr>
            <w:tcW w:w="22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军队转业干部安置</w:t>
            </w:r>
          </w:p>
        </w:tc>
        <w:tc>
          <w:tcPr>
            <w:tcW w:w="166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29.55</w:t>
            </w:r>
          </w:p>
        </w:tc>
        <w:tc>
          <w:tcPr>
            <w:tcW w:w="14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7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29.55</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96"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2080999</w:t>
            </w:r>
          </w:p>
        </w:tc>
        <w:tc>
          <w:tcPr>
            <w:tcW w:w="22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其他退役安置支出</w:t>
            </w:r>
          </w:p>
        </w:tc>
        <w:tc>
          <w:tcPr>
            <w:tcW w:w="166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352.75</w:t>
            </w:r>
          </w:p>
        </w:tc>
        <w:tc>
          <w:tcPr>
            <w:tcW w:w="14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7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352.75</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96"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20828</w:t>
            </w:r>
          </w:p>
        </w:tc>
        <w:tc>
          <w:tcPr>
            <w:tcW w:w="22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退役军人管理事务</w:t>
            </w:r>
          </w:p>
        </w:tc>
        <w:tc>
          <w:tcPr>
            <w:tcW w:w="166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526.56</w:t>
            </w:r>
          </w:p>
        </w:tc>
        <w:tc>
          <w:tcPr>
            <w:tcW w:w="14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7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526.56</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96"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2082850</w:t>
            </w:r>
          </w:p>
        </w:tc>
        <w:tc>
          <w:tcPr>
            <w:tcW w:w="22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事业运行</w:t>
            </w:r>
          </w:p>
        </w:tc>
        <w:tc>
          <w:tcPr>
            <w:tcW w:w="166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517.92</w:t>
            </w:r>
          </w:p>
        </w:tc>
        <w:tc>
          <w:tcPr>
            <w:tcW w:w="14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517.92</w:t>
            </w:r>
          </w:p>
        </w:tc>
        <w:tc>
          <w:tcPr>
            <w:tcW w:w="167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96"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2082899</w:t>
            </w:r>
          </w:p>
        </w:tc>
        <w:tc>
          <w:tcPr>
            <w:tcW w:w="22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其他退役军人事务管理支出</w:t>
            </w:r>
          </w:p>
        </w:tc>
        <w:tc>
          <w:tcPr>
            <w:tcW w:w="166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8.64</w:t>
            </w:r>
          </w:p>
        </w:tc>
        <w:tc>
          <w:tcPr>
            <w:tcW w:w="14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8.64</w:t>
            </w:r>
          </w:p>
        </w:tc>
        <w:tc>
          <w:tcPr>
            <w:tcW w:w="167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96"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210</w:t>
            </w:r>
          </w:p>
        </w:tc>
        <w:tc>
          <w:tcPr>
            <w:tcW w:w="2279"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卫生健康支出</w:t>
            </w:r>
          </w:p>
        </w:tc>
        <w:tc>
          <w:tcPr>
            <w:tcW w:w="166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2.32</w:t>
            </w:r>
          </w:p>
        </w:tc>
        <w:tc>
          <w:tcPr>
            <w:tcW w:w="146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2.32</w:t>
            </w:r>
          </w:p>
        </w:tc>
        <w:tc>
          <w:tcPr>
            <w:tcW w:w="167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0" w:hRule="atLeast"/>
        </w:trPr>
        <w:tc>
          <w:tcPr>
            <w:tcW w:w="1096"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21011</w:t>
            </w:r>
          </w:p>
        </w:tc>
        <w:tc>
          <w:tcPr>
            <w:tcW w:w="2279"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行政事业单位医疗</w:t>
            </w:r>
          </w:p>
        </w:tc>
        <w:tc>
          <w:tcPr>
            <w:tcW w:w="166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2.32</w:t>
            </w:r>
          </w:p>
        </w:tc>
        <w:tc>
          <w:tcPr>
            <w:tcW w:w="146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2.32</w:t>
            </w:r>
          </w:p>
        </w:tc>
        <w:tc>
          <w:tcPr>
            <w:tcW w:w="167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96"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2101102</w:t>
            </w:r>
          </w:p>
        </w:tc>
        <w:tc>
          <w:tcPr>
            <w:tcW w:w="2279"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事业单位医疗</w:t>
            </w:r>
          </w:p>
        </w:tc>
        <w:tc>
          <w:tcPr>
            <w:tcW w:w="166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1.2</w:t>
            </w:r>
          </w:p>
        </w:tc>
        <w:tc>
          <w:tcPr>
            <w:tcW w:w="146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1.2</w:t>
            </w:r>
          </w:p>
        </w:tc>
        <w:tc>
          <w:tcPr>
            <w:tcW w:w="167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96"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2101103</w:t>
            </w:r>
          </w:p>
        </w:tc>
        <w:tc>
          <w:tcPr>
            <w:tcW w:w="2279"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公务员医疗补助</w:t>
            </w:r>
          </w:p>
        </w:tc>
        <w:tc>
          <w:tcPr>
            <w:tcW w:w="166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1.12</w:t>
            </w:r>
          </w:p>
        </w:tc>
        <w:tc>
          <w:tcPr>
            <w:tcW w:w="146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1.12</w:t>
            </w:r>
          </w:p>
        </w:tc>
        <w:tc>
          <w:tcPr>
            <w:tcW w:w="167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bl>
    <w:p>
      <w:pPr>
        <w:keepNext w:val="0"/>
        <w:keepLines w:val="0"/>
        <w:widowControl w:val="0"/>
        <w:suppressLineNumbers w:val="0"/>
        <w:spacing w:before="0" w:beforeAutospacing="0" w:after="0" w:afterAutospacing="0"/>
        <w:ind w:left="0" w:right="0"/>
        <w:jc w:val="both"/>
      </w:pPr>
      <w:r>
        <w:rPr>
          <w:rFonts w:hint="eastAsia" w:ascii="宋体" w:hAnsi="宋体" w:eastAsia="宋体" w:cs="宋体"/>
          <w:color w:val="000000"/>
          <w:kern w:val="0"/>
          <w:sz w:val="20"/>
          <w:szCs w:val="20"/>
          <w:lang w:val="en-US" w:eastAsia="zh-CN" w:bidi="ar"/>
        </w:rPr>
        <w:t>注：本表反映</w:t>
      </w:r>
      <w:r>
        <w:rPr>
          <w:rFonts w:hint="eastAsia" w:ascii="宋体" w:hAnsi="宋体" w:cs="宋体"/>
          <w:color w:val="000000"/>
          <w:kern w:val="0"/>
          <w:sz w:val="20"/>
          <w:szCs w:val="20"/>
          <w:lang w:val="en-US" w:eastAsia="zh-CN" w:bidi="ar"/>
        </w:rPr>
        <w:t>单位</w:t>
      </w:r>
      <w:r>
        <w:rPr>
          <w:rFonts w:hint="eastAsia" w:ascii="宋体" w:hAnsi="宋体" w:eastAsia="宋体" w:cs="宋体"/>
          <w:color w:val="000000"/>
          <w:kern w:val="0"/>
          <w:sz w:val="20"/>
          <w:szCs w:val="20"/>
          <w:lang w:val="en-US" w:eastAsia="zh-CN" w:bidi="ar"/>
        </w:rPr>
        <w:t>本年度各项支出情况。本表金额转换为万元时，因四舍五入可能存在尾差。</w:t>
      </w: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3417"/>
        <w:gridCol w:w="1297"/>
        <w:gridCol w:w="1210"/>
        <w:gridCol w:w="2596"/>
        <w:gridCol w:w="993"/>
        <w:gridCol w:w="759"/>
        <w:gridCol w:w="1083"/>
        <w:gridCol w:w="617"/>
        <w:gridCol w:w="567"/>
        <w:gridCol w:w="1434"/>
      </w:tblGrid>
      <w:tr>
        <w:tblPrEx>
          <w:tblCellMar>
            <w:top w:w="0" w:type="dxa"/>
            <w:left w:w="0" w:type="dxa"/>
            <w:bottom w:w="0" w:type="dxa"/>
            <w:right w:w="0" w:type="dxa"/>
          </w:tblCellMar>
        </w:tblPrEx>
        <w:trPr>
          <w:trHeight w:val="360" w:hRule="atLeast"/>
        </w:trPr>
        <w:tc>
          <w:tcPr>
            <w:tcW w:w="12539"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财政拨款收入支出决算总表</w:t>
            </w:r>
          </w:p>
        </w:tc>
        <w:tc>
          <w:tcPr>
            <w:tcW w:w="1434" w:type="dxa"/>
            <w:tcBorders>
              <w:top w:val="nil"/>
              <w:left w:val="nil"/>
              <w:bottom w:val="nil"/>
              <w:right w:val="nil"/>
            </w:tcBorders>
            <w:noWrap w:val="0"/>
            <w:vAlign w:val="top"/>
          </w:tcPr>
          <w:p>
            <w:pPr>
              <w:widowControl/>
              <w:jc w:val="center"/>
              <w:textAlignment w:val="center"/>
              <w:rPr>
                <w:rFonts w:hint="eastAsia" w:ascii="华文中宋" w:hAnsi="华文中宋" w:eastAsia="华文中宋" w:cs="华文中宋"/>
                <w:color w:val="000000"/>
                <w:kern w:val="0"/>
                <w:sz w:val="32"/>
                <w:szCs w:val="32"/>
                <w:highlight w:val="none"/>
                <w:lang w:bidi="ar"/>
              </w:rPr>
            </w:pPr>
          </w:p>
        </w:tc>
      </w:tr>
      <w:tr>
        <w:tblPrEx>
          <w:tblCellMar>
            <w:top w:w="0" w:type="dxa"/>
            <w:left w:w="0" w:type="dxa"/>
            <w:bottom w:w="0" w:type="dxa"/>
            <w:right w:w="0" w:type="dxa"/>
          </w:tblCellMar>
        </w:tblPrEx>
        <w:trPr>
          <w:trHeight w:val="199" w:hRule="atLeast"/>
        </w:trPr>
        <w:tc>
          <w:tcPr>
            <w:tcW w:w="341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9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9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75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00" w:type="dxa"/>
            <w:gridSpan w:val="2"/>
            <w:tcBorders>
              <w:top w:val="nil"/>
              <w:left w:val="nil"/>
              <w:bottom w:val="nil"/>
              <w:right w:val="nil"/>
            </w:tcBorders>
            <w:shd w:val="clear" w:color="auto" w:fill="FFFFFF"/>
            <w:noWrap/>
            <w:tcMar>
              <w:top w:w="15" w:type="dxa"/>
              <w:left w:w="15" w:type="dxa"/>
              <w:right w:w="15" w:type="dxa"/>
            </w:tcMar>
            <w:vAlign w:val="center"/>
          </w:tcPr>
          <w:p>
            <w:pPr>
              <w:wordWrap w:val="0"/>
              <w:jc w:val="right"/>
              <w:rPr>
                <w:rFonts w:hint="eastAsia" w:ascii="宋体" w:hAnsi="宋体" w:cs="宋体"/>
                <w:color w:val="000000"/>
                <w:sz w:val="20"/>
                <w:szCs w:val="20"/>
                <w:highlight w:val="none"/>
              </w:rPr>
            </w:pPr>
            <w:r>
              <w:rPr>
                <w:rFonts w:hint="eastAsia" w:ascii="宋体" w:hAnsi="宋体" w:cs="宋体"/>
                <w:color w:val="000000"/>
                <w:sz w:val="20"/>
                <w:szCs w:val="20"/>
                <w:highlight w:val="none"/>
              </w:rPr>
              <w:t xml:space="preserve"> </w:t>
            </w:r>
            <w:r>
              <w:rPr>
                <w:rFonts w:ascii="宋体" w:hAnsi="宋体" w:cs="宋体"/>
                <w:color w:val="000000"/>
                <w:sz w:val="20"/>
                <w:szCs w:val="20"/>
                <w:highlight w:val="none"/>
              </w:rPr>
              <w:t xml:space="preserve">       </w:t>
            </w:r>
          </w:p>
        </w:tc>
        <w:tc>
          <w:tcPr>
            <w:tcW w:w="567"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bidi="ar"/>
              </w:rPr>
            </w:pPr>
          </w:p>
        </w:tc>
        <w:tc>
          <w:tcPr>
            <w:tcW w:w="1434" w:type="dxa"/>
            <w:tcBorders>
              <w:top w:val="nil"/>
              <w:left w:val="nil"/>
              <w:bottom w:val="nil"/>
              <w:right w:val="nil"/>
            </w:tcBorders>
            <w:shd w:val="clear" w:color="auto" w:fill="FFFFFF"/>
            <w:noWrap w:val="0"/>
            <w:vAlign w:val="center"/>
          </w:tcPr>
          <w:p>
            <w:pPr>
              <w:widowControl/>
              <w:jc w:val="right"/>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公开04表</w:t>
            </w:r>
          </w:p>
        </w:tc>
      </w:tr>
      <w:tr>
        <w:tblPrEx>
          <w:tblCellMar>
            <w:top w:w="0" w:type="dxa"/>
            <w:left w:w="0" w:type="dxa"/>
            <w:bottom w:w="0" w:type="dxa"/>
            <w:right w:w="0" w:type="dxa"/>
          </w:tblCellMar>
        </w:tblPrEx>
        <w:trPr>
          <w:trHeight w:val="300" w:hRule="atLeast"/>
        </w:trPr>
        <w:tc>
          <w:tcPr>
            <w:tcW w:w="3417"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w:t>
            </w:r>
            <w:r>
              <w:rPr>
                <w:rFonts w:hint="eastAsia" w:ascii="宋体" w:hAnsi="宋体" w:cs="宋体"/>
                <w:color w:val="000000"/>
                <w:kern w:val="0"/>
                <w:sz w:val="20"/>
                <w:szCs w:val="20"/>
                <w:highlight w:val="none"/>
                <w:lang w:eastAsia="zh-CN" w:bidi="ar"/>
              </w:rPr>
              <w:t>许昌市退役军人服务中心</w:t>
            </w:r>
          </w:p>
        </w:tc>
        <w:tc>
          <w:tcPr>
            <w:tcW w:w="129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9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75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0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67"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bidi="ar"/>
              </w:rPr>
            </w:pPr>
          </w:p>
        </w:tc>
        <w:tc>
          <w:tcPr>
            <w:tcW w:w="1434" w:type="dxa"/>
            <w:tcBorders>
              <w:top w:val="nil"/>
              <w:left w:val="nil"/>
              <w:bottom w:val="nil"/>
              <w:right w:val="nil"/>
            </w:tcBorders>
            <w:shd w:val="clear" w:color="auto" w:fill="FFFFFF"/>
            <w:noWrap w:val="0"/>
            <w:vAlign w:val="center"/>
          </w:tcPr>
          <w:p>
            <w:pPr>
              <w:widowControl/>
              <w:jc w:val="right"/>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lang w:bidi="ar"/>
              </w:rPr>
              <w:t>金额单位</w:t>
            </w:r>
            <w:r>
              <w:rPr>
                <w:rFonts w:hint="eastAsia" w:ascii="宋体" w:hAnsi="宋体" w:cs="宋体"/>
                <w:color w:val="000000"/>
                <w:kern w:val="0"/>
                <w:sz w:val="20"/>
                <w:szCs w:val="20"/>
                <w:highlight w:val="none"/>
                <w:lang w:bidi="ar"/>
              </w:rPr>
              <w:t>：万元</w:t>
            </w:r>
          </w:p>
        </w:tc>
      </w:tr>
      <w:tr>
        <w:tblPrEx>
          <w:tblCellMar>
            <w:top w:w="0" w:type="dxa"/>
            <w:left w:w="0" w:type="dxa"/>
            <w:bottom w:w="0" w:type="dxa"/>
            <w:right w:w="0" w:type="dxa"/>
          </w:tblCellMar>
        </w:tblPrEx>
        <w:trPr>
          <w:trHeight w:val="402"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收入</w:t>
            </w:r>
          </w:p>
        </w:tc>
        <w:tc>
          <w:tcPr>
            <w:tcW w:w="8049" w:type="dxa"/>
            <w:gridSpan w:val="7"/>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支出</w:t>
            </w:r>
          </w:p>
        </w:tc>
      </w:tr>
      <w:tr>
        <w:tblPrEx>
          <w:tblCellMar>
            <w:top w:w="0" w:type="dxa"/>
            <w:left w:w="0" w:type="dxa"/>
            <w:bottom w:w="0" w:type="dxa"/>
            <w:right w:w="0" w:type="dxa"/>
          </w:tblCellMar>
        </w:tblPrEx>
        <w:trPr>
          <w:trHeight w:val="630"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金额</w:t>
            </w: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行次</w:t>
            </w: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一般公共预算财政拨款</w:t>
            </w:r>
          </w:p>
        </w:tc>
        <w:tc>
          <w:tcPr>
            <w:tcW w:w="1184"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政府性基金预算财政拨款</w:t>
            </w:r>
          </w:p>
        </w:tc>
        <w:tc>
          <w:tcPr>
            <w:tcW w:w="1434" w:type="dxa"/>
            <w:tcBorders>
              <w:top w:val="single" w:color="000000" w:sz="4" w:space="0"/>
              <w:left w:val="single" w:color="000000" w:sz="4" w:space="0"/>
              <w:bottom w:val="single" w:color="000000" w:sz="4" w:space="0"/>
              <w:right w:val="single" w:color="000000" w:sz="8" w:space="0"/>
            </w:tcBorders>
            <w:noWrap w:val="0"/>
            <w:vAlign w:val="top"/>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sz w:val="20"/>
                <w:szCs w:val="20"/>
                <w:highlight w:val="none"/>
              </w:rPr>
              <w:t>国有资本经营预算财政拨款</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    次</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    次</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184" w:type="dxa"/>
            <w:gridSpan w:val="2"/>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434" w:type="dxa"/>
            <w:tcBorders>
              <w:top w:val="single" w:color="000000" w:sz="4" w:space="0"/>
              <w:left w:val="single" w:color="000000" w:sz="4" w:space="0"/>
              <w:bottom w:val="single" w:color="000000" w:sz="4" w:space="0"/>
              <w:right w:val="single" w:color="000000" w:sz="8" w:space="0"/>
            </w:tcBorders>
            <w:shd w:val="clear" w:color="auto" w:fill="FFFFFF"/>
            <w:noWrap w:val="0"/>
            <w:vAlign w:val="top"/>
          </w:tcPr>
          <w:p>
            <w:pPr>
              <w:widowControl/>
              <w:jc w:val="center"/>
              <w:textAlignment w:val="center"/>
              <w:rPr>
                <w:rFonts w:hint="eastAsia" w:ascii="宋体" w:hAnsi="宋体" w:cs="宋体"/>
                <w:color w:val="000000"/>
                <w:kern w:val="0"/>
                <w:sz w:val="20"/>
                <w:szCs w:val="20"/>
                <w:highlight w:val="none"/>
                <w:lang w:bidi="ar"/>
              </w:rPr>
            </w:pPr>
            <w:r>
              <w:rPr>
                <w:rFonts w:ascii="宋体" w:hAnsi="宋体" w:cs="宋体"/>
                <w:color w:val="000000"/>
                <w:kern w:val="0"/>
                <w:sz w:val="20"/>
                <w:szCs w:val="20"/>
                <w:highlight w:val="none"/>
                <w:lang w:bidi="ar"/>
              </w:rPr>
              <w:t>5</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一、一般公共预算财政拨款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805.16</w:t>
            </w: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一、一般公共服务支出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15</w:t>
            </w:r>
          </w:p>
        </w:tc>
        <w:tc>
          <w:tcPr>
            <w:tcW w:w="75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2.2</w:t>
            </w:r>
          </w:p>
        </w:tc>
        <w:tc>
          <w:tcPr>
            <w:tcW w:w="1083"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2.2</w:t>
            </w:r>
          </w:p>
        </w:tc>
        <w:tc>
          <w:tcPr>
            <w:tcW w:w="1184"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34"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二、政府性基金预算财政拨款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二、外交支出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16</w:t>
            </w:r>
          </w:p>
        </w:tc>
        <w:tc>
          <w:tcPr>
            <w:tcW w:w="75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083"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84"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34"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三、国有资本经营预算财政拨款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三、国防支出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17</w:t>
            </w:r>
          </w:p>
        </w:tc>
        <w:tc>
          <w:tcPr>
            <w:tcW w:w="75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083"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84"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34"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四、公共安全支出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18</w:t>
            </w:r>
          </w:p>
        </w:tc>
        <w:tc>
          <w:tcPr>
            <w:tcW w:w="75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083"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84"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34"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五、教育支出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19</w:t>
            </w:r>
          </w:p>
        </w:tc>
        <w:tc>
          <w:tcPr>
            <w:tcW w:w="75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083"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84"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34"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六、科学技术支出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20</w:t>
            </w:r>
          </w:p>
        </w:tc>
        <w:tc>
          <w:tcPr>
            <w:tcW w:w="75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083"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84"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34"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7</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eastAsia="zh-CN" w:bidi="ar"/>
              </w:rPr>
              <w:t>八、社会保障和就业支出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21</w:t>
            </w:r>
          </w:p>
        </w:tc>
        <w:tc>
          <w:tcPr>
            <w:tcW w:w="75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967.64</w:t>
            </w:r>
          </w:p>
        </w:tc>
        <w:tc>
          <w:tcPr>
            <w:tcW w:w="1083"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967.64</w:t>
            </w:r>
          </w:p>
        </w:tc>
        <w:tc>
          <w:tcPr>
            <w:tcW w:w="1184"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34"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九、卫生健康支出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22</w:t>
            </w:r>
          </w:p>
        </w:tc>
        <w:tc>
          <w:tcPr>
            <w:tcW w:w="759"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84"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434" w:type="dxa"/>
            <w:tcBorders>
              <w:top w:val="single" w:color="000000" w:sz="4" w:space="0"/>
              <w:left w:val="nil"/>
              <w:bottom w:val="single" w:color="000000" w:sz="4" w:space="0"/>
              <w:right w:val="single" w:color="000000" w:sz="8" w:space="0"/>
            </w:tcBorders>
            <w:noWrap w:val="0"/>
            <w:vAlign w:val="top"/>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本年收入合计</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9</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805.16</w:t>
            </w:r>
          </w:p>
        </w:tc>
        <w:tc>
          <w:tcPr>
            <w:tcW w:w="259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本年支出合计</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23</w:t>
            </w:r>
          </w:p>
        </w:tc>
        <w:tc>
          <w:tcPr>
            <w:tcW w:w="759"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972.15</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972.15</w:t>
            </w:r>
          </w:p>
        </w:tc>
        <w:tc>
          <w:tcPr>
            <w:tcW w:w="1184"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b/>
                <w:color w:val="000000"/>
                <w:sz w:val="20"/>
                <w:szCs w:val="20"/>
                <w:highlight w:val="none"/>
              </w:rPr>
            </w:pPr>
          </w:p>
        </w:tc>
        <w:tc>
          <w:tcPr>
            <w:tcW w:w="1434" w:type="dxa"/>
            <w:tcBorders>
              <w:top w:val="single" w:color="000000" w:sz="4" w:space="0"/>
              <w:left w:val="nil"/>
              <w:bottom w:val="single" w:color="000000" w:sz="4" w:space="0"/>
              <w:right w:val="single" w:color="000000" w:sz="8" w:space="0"/>
            </w:tcBorders>
            <w:noWrap w:val="0"/>
            <w:vAlign w:val="top"/>
          </w:tcPr>
          <w:p>
            <w:pPr>
              <w:rPr>
                <w:rFonts w:hint="eastAsia" w:ascii="宋体" w:hAnsi="宋体" w:cs="宋体"/>
                <w:b/>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年初</w:t>
            </w:r>
            <w:r>
              <w:rPr>
                <w:rFonts w:hint="eastAsia" w:ascii="宋体" w:hAnsi="宋体" w:cs="宋体"/>
                <w:color w:val="000000"/>
                <w:kern w:val="0"/>
                <w:sz w:val="20"/>
                <w:szCs w:val="20"/>
                <w:highlight w:val="none"/>
                <w:lang w:bidi="ar"/>
              </w:rPr>
              <w:t>财政拨款结转和结余</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167</w:t>
            </w:r>
          </w:p>
        </w:tc>
        <w:tc>
          <w:tcPr>
            <w:tcW w:w="259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年末财政拨款结转和结余</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24</w:t>
            </w:r>
          </w:p>
        </w:tc>
        <w:tc>
          <w:tcPr>
            <w:tcW w:w="759"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84"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1434" w:type="dxa"/>
            <w:tcBorders>
              <w:top w:val="single" w:color="000000" w:sz="4" w:space="0"/>
              <w:left w:val="nil"/>
              <w:bottom w:val="single" w:color="000000" w:sz="4" w:space="0"/>
              <w:right w:val="single" w:color="000000" w:sz="8" w:space="0"/>
            </w:tcBorders>
            <w:noWrap w:val="0"/>
            <w:vAlign w:val="top"/>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一般公共预算财政拨款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167</w:t>
            </w:r>
          </w:p>
        </w:tc>
        <w:tc>
          <w:tcPr>
            <w:tcW w:w="259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25</w:t>
            </w:r>
          </w:p>
        </w:tc>
        <w:tc>
          <w:tcPr>
            <w:tcW w:w="759"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84"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1434" w:type="dxa"/>
            <w:tcBorders>
              <w:top w:val="single" w:color="000000" w:sz="4" w:space="0"/>
              <w:left w:val="nil"/>
              <w:bottom w:val="single" w:color="000000" w:sz="4" w:space="0"/>
              <w:right w:val="single" w:color="000000" w:sz="8" w:space="0"/>
            </w:tcBorders>
            <w:noWrap w:val="0"/>
            <w:vAlign w:val="top"/>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政府性基金预算财政拨款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12</w:t>
            </w:r>
          </w:p>
        </w:tc>
        <w:tc>
          <w:tcPr>
            <w:tcW w:w="121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26</w:t>
            </w:r>
          </w:p>
        </w:tc>
        <w:tc>
          <w:tcPr>
            <w:tcW w:w="759"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84" w:type="dxa"/>
            <w:gridSpan w:val="2"/>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1434" w:type="dxa"/>
            <w:tcBorders>
              <w:top w:val="single" w:color="000000" w:sz="4" w:space="0"/>
              <w:left w:val="nil"/>
              <w:bottom w:val="nil"/>
              <w:right w:val="single" w:color="000000" w:sz="8" w:space="0"/>
            </w:tcBorders>
            <w:noWrap w:val="0"/>
            <w:vAlign w:val="top"/>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rPr>
              <w:t xml:space="preserve">       国有资本经营预算财政拨款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13</w:t>
            </w:r>
          </w:p>
        </w:tc>
        <w:tc>
          <w:tcPr>
            <w:tcW w:w="121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27</w:t>
            </w:r>
          </w:p>
        </w:tc>
        <w:tc>
          <w:tcPr>
            <w:tcW w:w="759"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84" w:type="dxa"/>
            <w:gridSpan w:val="2"/>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1434" w:type="dxa"/>
            <w:tcBorders>
              <w:top w:val="single" w:color="000000" w:sz="4" w:space="0"/>
              <w:left w:val="nil"/>
              <w:bottom w:val="nil"/>
              <w:right w:val="single" w:color="000000" w:sz="8" w:space="0"/>
            </w:tcBorders>
            <w:noWrap w:val="0"/>
            <w:vAlign w:val="top"/>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总计</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14</w:t>
            </w:r>
          </w:p>
        </w:tc>
        <w:tc>
          <w:tcPr>
            <w:tcW w:w="1210"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972.15</w:t>
            </w:r>
          </w:p>
        </w:tc>
        <w:tc>
          <w:tcPr>
            <w:tcW w:w="2596"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总计</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28</w:t>
            </w:r>
          </w:p>
        </w:tc>
        <w:tc>
          <w:tcPr>
            <w:tcW w:w="759"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972.15</w:t>
            </w:r>
          </w:p>
        </w:tc>
        <w:tc>
          <w:tcPr>
            <w:tcW w:w="1083"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972.15</w:t>
            </w:r>
          </w:p>
        </w:tc>
        <w:tc>
          <w:tcPr>
            <w:tcW w:w="1184" w:type="dxa"/>
            <w:gridSpan w:val="2"/>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rPr>
                <w:rFonts w:hint="eastAsia" w:ascii="宋体" w:hAnsi="宋体" w:cs="宋体"/>
                <w:b/>
                <w:color w:val="000000"/>
                <w:sz w:val="20"/>
                <w:szCs w:val="20"/>
                <w:highlight w:val="none"/>
              </w:rPr>
            </w:pPr>
          </w:p>
        </w:tc>
        <w:tc>
          <w:tcPr>
            <w:tcW w:w="1434" w:type="dxa"/>
            <w:tcBorders>
              <w:top w:val="single" w:color="000000" w:sz="4" w:space="0"/>
              <w:left w:val="nil"/>
              <w:bottom w:val="single" w:color="000000" w:sz="8" w:space="0"/>
              <w:right w:val="single" w:color="000000" w:sz="8" w:space="0"/>
            </w:tcBorders>
            <w:noWrap w:val="0"/>
            <w:vAlign w:val="top"/>
          </w:tcPr>
          <w:p>
            <w:pPr>
              <w:rPr>
                <w:rFonts w:hint="eastAsia" w:ascii="宋体" w:hAnsi="宋体" w:cs="宋体"/>
                <w:b/>
                <w:color w:val="000000"/>
                <w:sz w:val="20"/>
                <w:szCs w:val="20"/>
                <w:highlight w:val="none"/>
              </w:rPr>
            </w:pPr>
          </w:p>
        </w:tc>
      </w:tr>
      <w:tr>
        <w:tblPrEx>
          <w:tblCellMar>
            <w:top w:w="0" w:type="dxa"/>
            <w:left w:w="0" w:type="dxa"/>
            <w:bottom w:w="0" w:type="dxa"/>
            <w:right w:w="0" w:type="dxa"/>
          </w:tblCellMar>
        </w:tblPrEx>
        <w:trPr>
          <w:trHeight w:val="585" w:hRule="atLeast"/>
        </w:trPr>
        <w:tc>
          <w:tcPr>
            <w:tcW w:w="12539" w:type="dxa"/>
            <w:gridSpan w:val="9"/>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w:t>
            </w: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本年度一般公共预算财政拨款、政府性基金预算财政拨款和国有资本经营预算财政拨款的总收支和年末结转结余情况。本表金额转换为万元时，因四舍五入可能存在尾差。</w:t>
            </w:r>
          </w:p>
        </w:tc>
        <w:tc>
          <w:tcPr>
            <w:tcW w:w="1434" w:type="dxa"/>
            <w:tcBorders>
              <w:top w:val="single" w:color="000000" w:sz="8" w:space="0"/>
              <w:left w:val="nil"/>
              <w:bottom w:val="nil"/>
              <w:right w:val="nil"/>
            </w:tcBorders>
            <w:noWrap w:val="0"/>
            <w:vAlign w:val="top"/>
          </w:tcPr>
          <w:p>
            <w:pPr>
              <w:widowControl/>
              <w:jc w:val="left"/>
              <w:textAlignment w:val="center"/>
              <w:rPr>
                <w:rFonts w:hint="eastAsia" w:ascii="宋体" w:hAnsi="宋体" w:cs="宋体"/>
                <w:color w:val="000000"/>
                <w:kern w:val="0"/>
                <w:sz w:val="20"/>
                <w:szCs w:val="20"/>
                <w:highlight w:val="none"/>
                <w:lang w:bidi="ar"/>
              </w:rPr>
            </w:pP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988" w:type="dxa"/>
        <w:tblInd w:w="0" w:type="dxa"/>
        <w:tblLayout w:type="fixed"/>
        <w:tblCellMar>
          <w:top w:w="0" w:type="dxa"/>
          <w:left w:w="0" w:type="dxa"/>
          <w:bottom w:w="0" w:type="dxa"/>
          <w:right w:w="0" w:type="dxa"/>
        </w:tblCellMar>
      </w:tblPr>
      <w:tblGrid>
        <w:gridCol w:w="726"/>
        <w:gridCol w:w="688"/>
        <w:gridCol w:w="2225"/>
        <w:gridCol w:w="3449"/>
        <w:gridCol w:w="3449"/>
        <w:gridCol w:w="3451"/>
      </w:tblGrid>
      <w:tr>
        <w:tblPrEx>
          <w:tblCellMar>
            <w:top w:w="0" w:type="dxa"/>
            <w:left w:w="0" w:type="dxa"/>
            <w:bottom w:w="0" w:type="dxa"/>
            <w:right w:w="0" w:type="dxa"/>
          </w:tblCellMar>
        </w:tblPrEx>
        <w:trPr>
          <w:trHeight w:val="600" w:hRule="atLeast"/>
        </w:trPr>
        <w:tc>
          <w:tcPr>
            <w:tcW w:w="13988" w:type="dxa"/>
            <w:gridSpan w:val="6"/>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一般公共预算财政拨款支出决算表</w:t>
            </w:r>
          </w:p>
        </w:tc>
      </w:tr>
      <w:tr>
        <w:tblPrEx>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68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22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4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w:t>
            </w:r>
            <w:r>
              <w:rPr>
                <w:rStyle w:val="17"/>
                <w:rFonts w:hint="default"/>
                <w:highlight w:val="none"/>
                <w:lang w:bidi="ar"/>
              </w:rPr>
              <w:t>5表</w:t>
            </w:r>
          </w:p>
        </w:tc>
      </w:tr>
      <w:tr>
        <w:tblPrEx>
          <w:tblCellMar>
            <w:top w:w="0" w:type="dxa"/>
            <w:left w:w="0" w:type="dxa"/>
            <w:bottom w:w="0" w:type="dxa"/>
            <w:right w:w="0" w:type="dxa"/>
          </w:tblCellMar>
        </w:tblPrEx>
        <w:trPr>
          <w:trHeight w:val="300" w:hRule="atLeast"/>
        </w:trPr>
        <w:tc>
          <w:tcPr>
            <w:tcW w:w="3639" w:type="dxa"/>
            <w:gridSpan w:val="3"/>
            <w:tcBorders>
              <w:top w:val="nil"/>
              <w:left w:val="nil"/>
              <w:bottom w:val="nil"/>
              <w:right w:val="nil"/>
            </w:tcBorders>
            <w:shd w:val="clear" w:color="auto" w:fill="FFFFFF"/>
            <w:noWrap/>
            <w:tcMar>
              <w:top w:w="15" w:type="dxa"/>
              <w:left w:w="15" w:type="dxa"/>
              <w:right w:w="15" w:type="dxa"/>
            </w:tcMar>
            <w:vAlign w:val="center"/>
          </w:tcPr>
          <w:p>
            <w:pPr>
              <w:jc w:val="both"/>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w:t>
            </w:r>
            <w:r>
              <w:rPr>
                <w:rFonts w:hint="eastAsia" w:ascii="宋体" w:hAnsi="宋体" w:cs="宋体"/>
                <w:color w:val="000000"/>
                <w:kern w:val="0"/>
                <w:sz w:val="20"/>
                <w:szCs w:val="20"/>
                <w:highlight w:val="none"/>
                <w:lang w:eastAsia="zh-CN" w:bidi="ar"/>
              </w:rPr>
              <w:t>许昌市退役军人服务中心</w:t>
            </w: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4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lang w:bidi="ar"/>
              </w:rPr>
              <w:t>金额单位</w:t>
            </w:r>
            <w:r>
              <w:rPr>
                <w:rFonts w:hint="eastAsia" w:ascii="宋体" w:hAnsi="宋体" w:cs="宋体"/>
                <w:color w:val="000000"/>
                <w:kern w:val="0"/>
                <w:sz w:val="20"/>
                <w:szCs w:val="20"/>
                <w:highlight w:val="none"/>
                <w:lang w:bidi="ar"/>
              </w:rPr>
              <w:t>：万元</w:t>
            </w:r>
          </w:p>
        </w:tc>
      </w:tr>
      <w:tr>
        <w:tblPrEx>
          <w:tblCellMar>
            <w:top w:w="0" w:type="dxa"/>
            <w:left w:w="0" w:type="dxa"/>
            <w:bottom w:w="0" w:type="dxa"/>
            <w:right w:w="0" w:type="dxa"/>
          </w:tblCellMar>
        </w:tblPrEx>
        <w:trPr>
          <w:trHeight w:val="405" w:hRule="atLeast"/>
        </w:trPr>
        <w:tc>
          <w:tcPr>
            <w:tcW w:w="3639"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项 </w:t>
            </w:r>
            <w:r>
              <w:rPr>
                <w:rStyle w:val="14"/>
                <w:rFonts w:hint="default"/>
                <w:sz w:val="20"/>
                <w:szCs w:val="20"/>
                <w:highlight w:val="none"/>
                <w:lang w:bidi="ar"/>
              </w:rPr>
              <w:t xml:space="preserve">   </w:t>
            </w:r>
            <w:r>
              <w:rPr>
                <w:rStyle w:val="16"/>
                <w:rFonts w:hint="default"/>
                <w:sz w:val="20"/>
                <w:szCs w:val="20"/>
                <w:highlight w:val="none"/>
                <w:lang w:bidi="ar"/>
              </w:rPr>
              <w:t>目</w:t>
            </w:r>
          </w:p>
        </w:tc>
        <w:tc>
          <w:tcPr>
            <w:tcW w:w="10349" w:type="dxa"/>
            <w:gridSpan w:val="3"/>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本年支出</w:t>
            </w:r>
          </w:p>
        </w:tc>
      </w:tr>
      <w:tr>
        <w:tblPrEx>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科目编码</w:t>
            </w:r>
          </w:p>
        </w:tc>
        <w:tc>
          <w:tcPr>
            <w:tcW w:w="22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344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344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基本支出</w:t>
            </w:r>
          </w:p>
        </w:tc>
        <w:tc>
          <w:tcPr>
            <w:tcW w:w="3451" w:type="dxa"/>
            <w:vMerge w:val="restart"/>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项目支出</w:t>
            </w:r>
          </w:p>
        </w:tc>
      </w:tr>
      <w:tr>
        <w:tblPrEx>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2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45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2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45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r>
      <w:tr>
        <w:tblPrEx>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972.15</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581.2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390.95</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201</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一般公共服务支出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2.20</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2.20</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20129</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群众团体事务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2.20</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2.20</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2012906</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工会事务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2.20</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2.20</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208</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社会保障和就业支出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967.64</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576.69</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390.95</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20805</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行政事业单位养老支出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58.77</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58.77</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2080501</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行政单位离退休</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9.91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9.91</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2080502</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事业单位离退休</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47.53</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47.53</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2080505</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 xml:space="preserve"> 机关事业单位基本养老保险缴费支出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1.33</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1.33</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20809</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退役安置</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382.31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382.31</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2080905</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军队转业干部安置</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29.56</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29.56</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2080999</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其他退役安置支出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352.75</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352.75</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20828</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退役军人管理事务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526.56</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517.92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8.64</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2082850</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事业运行</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517.92</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517.92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2082899</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其他退役军人事务管理支出</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8.64</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8.64</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210</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卫生健康支出</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2.32</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2.32</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21011</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行政事业单位医疗</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2.32</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2.32</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2101102</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事业单位医疗</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1.20</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1.20</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2101103</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kern w:val="2"/>
                <w:sz w:val="20"/>
                <w:szCs w:val="20"/>
                <w:lang w:val="en-US" w:eastAsia="zh-CN" w:bidi="ar-SA"/>
              </w:rPr>
            </w:pPr>
            <w:r>
              <w:rPr>
                <w:rFonts w:hint="eastAsia" w:ascii="宋体" w:hAnsi="宋体" w:cs="宋体"/>
                <w:color w:val="000000"/>
                <w:sz w:val="20"/>
                <w:szCs w:val="20"/>
              </w:rPr>
              <w:t>公务员医疗补助</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1.12</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1.12</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bl>
    <w:p>
      <w:pPr>
        <w:keepNext w:val="0"/>
        <w:keepLines w:val="0"/>
        <w:widowControl w:val="0"/>
        <w:suppressLineNumbers w:val="0"/>
        <w:spacing w:before="0" w:beforeAutospacing="0" w:after="0" w:afterAutospacing="0"/>
        <w:ind w:left="0" w:right="0"/>
        <w:jc w:val="both"/>
      </w:pPr>
      <w:r>
        <w:rPr>
          <w:rFonts w:hint="eastAsia" w:ascii="宋体" w:hAnsi="宋体" w:eastAsia="宋体" w:cs="宋体"/>
          <w:i w:val="0"/>
          <w:color w:val="000000"/>
          <w:kern w:val="0"/>
          <w:sz w:val="22"/>
          <w:szCs w:val="22"/>
          <w:lang w:val="en-US" w:eastAsia="zh-CN" w:bidi="ar"/>
        </w:rPr>
        <w:t>注：本表反映</w:t>
      </w:r>
      <w:r>
        <w:rPr>
          <w:rFonts w:hint="eastAsia" w:ascii="宋体" w:hAnsi="宋体" w:cs="宋体"/>
          <w:i w:val="0"/>
          <w:color w:val="000000"/>
          <w:kern w:val="0"/>
          <w:sz w:val="22"/>
          <w:szCs w:val="22"/>
          <w:lang w:val="en-US" w:eastAsia="zh-CN" w:bidi="ar"/>
        </w:rPr>
        <w:t>单位</w:t>
      </w:r>
      <w:r>
        <w:rPr>
          <w:rFonts w:hint="eastAsia" w:ascii="宋体" w:hAnsi="宋体" w:eastAsia="宋体" w:cs="宋体"/>
          <w:i w:val="0"/>
          <w:color w:val="000000"/>
          <w:kern w:val="0"/>
          <w:sz w:val="22"/>
          <w:szCs w:val="22"/>
          <w:lang w:val="en-US" w:eastAsia="zh-CN" w:bidi="ar"/>
        </w:rPr>
        <w:t>本年度一般公共预算财政拨款支出情况。本表金额转换为万元时，因四舍五入可能存在尾差。</w:t>
      </w: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1008"/>
        <w:gridCol w:w="2785"/>
        <w:gridCol w:w="938"/>
        <w:gridCol w:w="870"/>
        <w:gridCol w:w="2066"/>
        <w:gridCol w:w="938"/>
        <w:gridCol w:w="870"/>
        <w:gridCol w:w="3154"/>
        <w:gridCol w:w="1359"/>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一般公共预算财政拨款基本支出决算明细表</w:t>
            </w:r>
          </w:p>
        </w:tc>
      </w:tr>
      <w:tr>
        <w:tblPrEx>
          <w:tblCellMar>
            <w:top w:w="0" w:type="dxa"/>
            <w:left w:w="0" w:type="dxa"/>
            <w:bottom w:w="0" w:type="dxa"/>
            <w:right w:w="0" w:type="dxa"/>
          </w:tblCellMar>
        </w:tblPrEx>
        <w:trPr>
          <w:trHeight w:val="405" w:hRule="atLeast"/>
        </w:trPr>
        <w:tc>
          <w:tcPr>
            <w:tcW w:w="100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78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06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154"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359"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公开06表</w:t>
            </w:r>
          </w:p>
        </w:tc>
      </w:tr>
      <w:tr>
        <w:tblPrEx>
          <w:tblCellMar>
            <w:top w:w="0" w:type="dxa"/>
            <w:left w:w="0" w:type="dxa"/>
            <w:bottom w:w="0" w:type="dxa"/>
            <w:right w:w="0" w:type="dxa"/>
          </w:tblCellMar>
        </w:tblPrEx>
        <w:trPr>
          <w:trHeight w:val="300" w:hRule="atLeast"/>
        </w:trPr>
        <w:tc>
          <w:tcPr>
            <w:tcW w:w="3793" w:type="dxa"/>
            <w:gridSpan w:val="2"/>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w:t>
            </w:r>
            <w:r>
              <w:rPr>
                <w:rFonts w:hint="eastAsia" w:ascii="宋体" w:hAnsi="宋体" w:cs="宋体"/>
                <w:color w:val="000000"/>
                <w:kern w:val="0"/>
                <w:sz w:val="20"/>
                <w:szCs w:val="20"/>
                <w:highlight w:val="none"/>
                <w:lang w:eastAsia="zh-CN" w:bidi="ar"/>
              </w:rPr>
              <w:t>许昌市退役军人服务中心</w:t>
            </w: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p>
        </w:tc>
        <w:tc>
          <w:tcPr>
            <w:tcW w:w="2066"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p>
        </w:tc>
        <w:tc>
          <w:tcPr>
            <w:tcW w:w="3154"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p>
        </w:tc>
        <w:tc>
          <w:tcPr>
            <w:tcW w:w="1359" w:type="dxa"/>
            <w:tcBorders>
              <w:top w:val="nil"/>
              <w:left w:val="nil"/>
              <w:bottom w:val="nil"/>
              <w:right w:val="nil"/>
            </w:tcBorders>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lang w:bidi="ar"/>
              </w:rPr>
              <w:t>金额单位</w:t>
            </w:r>
            <w:r>
              <w:rPr>
                <w:rFonts w:hint="eastAsia" w:ascii="宋体" w:hAnsi="宋体" w:cs="宋体"/>
                <w:color w:val="000000"/>
                <w:kern w:val="0"/>
                <w:sz w:val="20"/>
                <w:szCs w:val="20"/>
                <w:highlight w:val="none"/>
                <w:lang w:bidi="ar"/>
              </w:rPr>
              <w:t>：万元</w:t>
            </w:r>
          </w:p>
        </w:tc>
      </w:tr>
      <w:tr>
        <w:tblPrEx>
          <w:tblCellMar>
            <w:top w:w="0" w:type="dxa"/>
            <w:left w:w="0" w:type="dxa"/>
            <w:bottom w:w="0" w:type="dxa"/>
            <w:right w:w="0" w:type="dxa"/>
          </w:tblCellMar>
        </w:tblPrEx>
        <w:trPr>
          <w:trHeight w:val="615" w:hRule="atLeast"/>
        </w:trPr>
        <w:tc>
          <w:tcPr>
            <w:tcW w:w="1008"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经济分类科目编码</w:t>
            </w:r>
          </w:p>
        </w:tc>
        <w:tc>
          <w:tcPr>
            <w:tcW w:w="278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经济分类科目编码</w:t>
            </w:r>
          </w:p>
        </w:tc>
        <w:tc>
          <w:tcPr>
            <w:tcW w:w="206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经济分类科目编码</w:t>
            </w:r>
          </w:p>
        </w:tc>
        <w:tc>
          <w:tcPr>
            <w:tcW w:w="3154"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1359"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468.47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39.62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w:t>
            </w:r>
          </w:p>
        </w:tc>
        <w:tc>
          <w:tcPr>
            <w:tcW w:w="31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资本性支出</w:t>
            </w:r>
          </w:p>
        </w:tc>
        <w:tc>
          <w:tcPr>
            <w:tcW w:w="135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5.86</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基本工资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131.13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8.52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31001</w:t>
            </w:r>
          </w:p>
        </w:tc>
        <w:tc>
          <w:tcPr>
            <w:tcW w:w="31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房屋建筑物购建</w:t>
            </w:r>
          </w:p>
        </w:tc>
        <w:tc>
          <w:tcPr>
            <w:tcW w:w="135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津贴补贴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184.72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1.56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31002</w:t>
            </w:r>
          </w:p>
        </w:tc>
        <w:tc>
          <w:tcPr>
            <w:tcW w:w="31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办公设备购置</w:t>
            </w:r>
          </w:p>
        </w:tc>
        <w:tc>
          <w:tcPr>
            <w:tcW w:w="135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4.41</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奖金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58.82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31003</w:t>
            </w:r>
          </w:p>
        </w:tc>
        <w:tc>
          <w:tcPr>
            <w:tcW w:w="31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专用设备购置</w:t>
            </w:r>
          </w:p>
        </w:tc>
        <w:tc>
          <w:tcPr>
            <w:tcW w:w="135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30106</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31005</w:t>
            </w:r>
          </w:p>
        </w:tc>
        <w:tc>
          <w:tcPr>
            <w:tcW w:w="31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基础设施建设</w:t>
            </w:r>
          </w:p>
        </w:tc>
        <w:tc>
          <w:tcPr>
            <w:tcW w:w="135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30107</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绩效工资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0.18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31006</w:t>
            </w:r>
          </w:p>
        </w:tc>
        <w:tc>
          <w:tcPr>
            <w:tcW w:w="31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大型修缮</w:t>
            </w:r>
          </w:p>
        </w:tc>
        <w:tc>
          <w:tcPr>
            <w:tcW w:w="135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30108</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机关事业单位基本养老保险费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30.46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3.23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31007</w:t>
            </w:r>
          </w:p>
        </w:tc>
        <w:tc>
          <w:tcPr>
            <w:tcW w:w="31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信息网络及软件购置更新</w:t>
            </w:r>
          </w:p>
        </w:tc>
        <w:tc>
          <w:tcPr>
            <w:tcW w:w="135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0.34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31008</w:t>
            </w:r>
          </w:p>
        </w:tc>
        <w:tc>
          <w:tcPr>
            <w:tcW w:w="31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物资储备</w:t>
            </w:r>
          </w:p>
        </w:tc>
        <w:tc>
          <w:tcPr>
            <w:tcW w:w="135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30110</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14.29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7.68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31009</w:t>
            </w:r>
          </w:p>
        </w:tc>
        <w:tc>
          <w:tcPr>
            <w:tcW w:w="31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土地补偿</w:t>
            </w:r>
          </w:p>
        </w:tc>
        <w:tc>
          <w:tcPr>
            <w:tcW w:w="135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30111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13.99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31010</w:t>
            </w:r>
          </w:p>
        </w:tc>
        <w:tc>
          <w:tcPr>
            <w:tcW w:w="31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安置补助</w:t>
            </w:r>
          </w:p>
        </w:tc>
        <w:tc>
          <w:tcPr>
            <w:tcW w:w="135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30112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0.18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3.29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31011</w:t>
            </w:r>
          </w:p>
        </w:tc>
        <w:tc>
          <w:tcPr>
            <w:tcW w:w="31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地上附着物和青苗补偿</w:t>
            </w:r>
          </w:p>
        </w:tc>
        <w:tc>
          <w:tcPr>
            <w:tcW w:w="135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30113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28.44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31012</w:t>
            </w:r>
          </w:p>
        </w:tc>
        <w:tc>
          <w:tcPr>
            <w:tcW w:w="31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拆迁补偿</w:t>
            </w:r>
          </w:p>
        </w:tc>
        <w:tc>
          <w:tcPr>
            <w:tcW w:w="135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30114</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医疗费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3.77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31013</w:t>
            </w:r>
          </w:p>
        </w:tc>
        <w:tc>
          <w:tcPr>
            <w:tcW w:w="31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公务用车购置</w:t>
            </w:r>
          </w:p>
        </w:tc>
        <w:tc>
          <w:tcPr>
            <w:tcW w:w="135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30199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6.45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31019</w:t>
            </w:r>
          </w:p>
        </w:tc>
        <w:tc>
          <w:tcPr>
            <w:tcW w:w="31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其他交通工具购置</w:t>
            </w:r>
          </w:p>
        </w:tc>
        <w:tc>
          <w:tcPr>
            <w:tcW w:w="135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67.26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0.86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31021</w:t>
            </w:r>
          </w:p>
        </w:tc>
        <w:tc>
          <w:tcPr>
            <w:tcW w:w="31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文物和陈列品购置</w:t>
            </w:r>
          </w:p>
        </w:tc>
        <w:tc>
          <w:tcPr>
            <w:tcW w:w="135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离休费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0.03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31022</w:t>
            </w:r>
          </w:p>
        </w:tc>
        <w:tc>
          <w:tcPr>
            <w:tcW w:w="31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无形资产购置</w:t>
            </w:r>
          </w:p>
        </w:tc>
        <w:tc>
          <w:tcPr>
            <w:tcW w:w="135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退休费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67.26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0.32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31099</w:t>
            </w:r>
          </w:p>
        </w:tc>
        <w:tc>
          <w:tcPr>
            <w:tcW w:w="31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其他资本性支出</w:t>
            </w:r>
          </w:p>
        </w:tc>
        <w:tc>
          <w:tcPr>
            <w:tcW w:w="135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1.45</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退职（役）费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312</w:t>
            </w:r>
          </w:p>
        </w:tc>
        <w:tc>
          <w:tcPr>
            <w:tcW w:w="31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对企业补助</w:t>
            </w:r>
          </w:p>
        </w:tc>
        <w:tc>
          <w:tcPr>
            <w:tcW w:w="135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30304</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抚恤金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30224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31201</w:t>
            </w:r>
          </w:p>
        </w:tc>
        <w:tc>
          <w:tcPr>
            <w:tcW w:w="31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资本金注入</w:t>
            </w:r>
          </w:p>
        </w:tc>
        <w:tc>
          <w:tcPr>
            <w:tcW w:w="135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30305</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生活补助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30225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31203</w:t>
            </w:r>
          </w:p>
        </w:tc>
        <w:tc>
          <w:tcPr>
            <w:tcW w:w="31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政府投资基金股权投资</w:t>
            </w:r>
          </w:p>
        </w:tc>
        <w:tc>
          <w:tcPr>
            <w:tcW w:w="135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30306</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救济费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30226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31204</w:t>
            </w:r>
          </w:p>
        </w:tc>
        <w:tc>
          <w:tcPr>
            <w:tcW w:w="31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费用补贴</w:t>
            </w:r>
          </w:p>
        </w:tc>
        <w:tc>
          <w:tcPr>
            <w:tcW w:w="135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30307</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30227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0.40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31205</w:t>
            </w:r>
          </w:p>
        </w:tc>
        <w:tc>
          <w:tcPr>
            <w:tcW w:w="31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利息补贴</w:t>
            </w:r>
          </w:p>
        </w:tc>
        <w:tc>
          <w:tcPr>
            <w:tcW w:w="135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30308</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助学金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30228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2.20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31299</w:t>
            </w:r>
          </w:p>
        </w:tc>
        <w:tc>
          <w:tcPr>
            <w:tcW w:w="31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其他对企业补助</w:t>
            </w:r>
          </w:p>
        </w:tc>
        <w:tc>
          <w:tcPr>
            <w:tcW w:w="135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奖励金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30229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4.47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313</w:t>
            </w:r>
          </w:p>
        </w:tc>
        <w:tc>
          <w:tcPr>
            <w:tcW w:w="31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对社会保障基金补助</w:t>
            </w:r>
          </w:p>
        </w:tc>
        <w:tc>
          <w:tcPr>
            <w:tcW w:w="135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30310</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30231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2.53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31302</w:t>
            </w:r>
          </w:p>
        </w:tc>
        <w:tc>
          <w:tcPr>
            <w:tcW w:w="31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对社会保险基金补助</w:t>
            </w:r>
          </w:p>
        </w:tc>
        <w:tc>
          <w:tcPr>
            <w:tcW w:w="135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30399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30239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31303</w:t>
            </w:r>
          </w:p>
        </w:tc>
        <w:tc>
          <w:tcPr>
            <w:tcW w:w="31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补充全国社会保障基金</w:t>
            </w:r>
          </w:p>
        </w:tc>
        <w:tc>
          <w:tcPr>
            <w:tcW w:w="135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30240</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399</w:t>
            </w:r>
          </w:p>
        </w:tc>
        <w:tc>
          <w:tcPr>
            <w:tcW w:w="31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其他支出</w:t>
            </w:r>
          </w:p>
        </w:tc>
        <w:tc>
          <w:tcPr>
            <w:tcW w:w="135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30299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0.24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39906</w:t>
            </w:r>
          </w:p>
        </w:tc>
        <w:tc>
          <w:tcPr>
            <w:tcW w:w="31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赠与</w:t>
            </w:r>
          </w:p>
        </w:tc>
        <w:tc>
          <w:tcPr>
            <w:tcW w:w="135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债务利息及费用支出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39907</w:t>
            </w:r>
          </w:p>
        </w:tc>
        <w:tc>
          <w:tcPr>
            <w:tcW w:w="31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国家赔偿费用支出</w:t>
            </w:r>
          </w:p>
        </w:tc>
        <w:tc>
          <w:tcPr>
            <w:tcW w:w="135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30701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39908</w:t>
            </w:r>
          </w:p>
        </w:tc>
        <w:tc>
          <w:tcPr>
            <w:tcW w:w="31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对民间非营利组织和群众性自治组织补贴</w:t>
            </w:r>
          </w:p>
        </w:tc>
        <w:tc>
          <w:tcPr>
            <w:tcW w:w="135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30702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39999</w:t>
            </w:r>
          </w:p>
        </w:tc>
        <w:tc>
          <w:tcPr>
            <w:tcW w:w="31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其他支出</w:t>
            </w:r>
          </w:p>
        </w:tc>
        <w:tc>
          <w:tcPr>
            <w:tcW w:w="135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30703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31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135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30704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18"/>
                <w:szCs w:val="18"/>
                <w:highlight w:val="none"/>
              </w:rPr>
            </w:pPr>
          </w:p>
        </w:tc>
        <w:tc>
          <w:tcPr>
            <w:tcW w:w="31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18"/>
                <w:szCs w:val="18"/>
                <w:highlight w:val="none"/>
              </w:rPr>
            </w:pPr>
          </w:p>
        </w:tc>
        <w:tc>
          <w:tcPr>
            <w:tcW w:w="135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人员经费合计</w:t>
            </w:r>
          </w:p>
        </w:tc>
        <w:tc>
          <w:tcPr>
            <w:tcW w:w="938"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535.72</w:t>
            </w:r>
          </w:p>
        </w:tc>
        <w:tc>
          <w:tcPr>
            <w:tcW w:w="7898"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公用经费合计</w:t>
            </w:r>
          </w:p>
        </w:tc>
        <w:tc>
          <w:tcPr>
            <w:tcW w:w="135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45.48</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w:t>
            </w: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907"/>
        <w:gridCol w:w="1395"/>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907"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395"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公开07表</w:t>
            </w:r>
          </w:p>
        </w:tc>
      </w:tr>
      <w:tr>
        <w:tblPrEx>
          <w:tblCellMar>
            <w:top w:w="0" w:type="dxa"/>
            <w:left w:w="0" w:type="dxa"/>
            <w:bottom w:w="0" w:type="dxa"/>
            <w:right w:w="0" w:type="dxa"/>
          </w:tblCellMar>
        </w:tblPrEx>
        <w:trPr>
          <w:trHeight w:val="300" w:hRule="atLeast"/>
        </w:trPr>
        <w:tc>
          <w:tcPr>
            <w:tcW w:w="3450" w:type="dxa"/>
            <w:gridSpan w:val="3"/>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w:t>
            </w:r>
            <w:r>
              <w:rPr>
                <w:rFonts w:hint="eastAsia" w:ascii="宋体" w:hAnsi="宋体" w:cs="宋体"/>
                <w:color w:val="000000"/>
                <w:kern w:val="0"/>
                <w:sz w:val="20"/>
                <w:szCs w:val="20"/>
                <w:highlight w:val="none"/>
                <w:lang w:eastAsia="zh-CN" w:bidi="ar"/>
              </w:rPr>
              <w:t>许昌市退役军人服务中心</w:t>
            </w: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907"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395"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lang w:bidi="ar"/>
              </w:rPr>
              <w:t>金额单位</w:t>
            </w:r>
            <w:r>
              <w:rPr>
                <w:rFonts w:hint="eastAsia" w:ascii="宋体" w:hAnsi="宋体" w:cs="宋体"/>
                <w:color w:val="000000"/>
                <w:kern w:val="0"/>
                <w:sz w:val="20"/>
                <w:szCs w:val="20"/>
                <w:highlight w:val="none"/>
                <w:lang w:bidi="ar"/>
              </w:rPr>
              <w:t>：万元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因公出国（境）费</w:t>
            </w:r>
          </w:p>
        </w:tc>
        <w:tc>
          <w:tcPr>
            <w:tcW w:w="320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公务用车购置及运行费</w:t>
            </w:r>
          </w:p>
        </w:tc>
        <w:tc>
          <w:tcPr>
            <w:tcW w:w="1395"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购置费</w:t>
            </w:r>
          </w:p>
        </w:tc>
        <w:tc>
          <w:tcPr>
            <w:tcW w:w="90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运行费</w:t>
            </w:r>
          </w:p>
        </w:tc>
        <w:tc>
          <w:tcPr>
            <w:tcW w:w="1395"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10</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11</w:t>
            </w:r>
          </w:p>
        </w:tc>
        <w:tc>
          <w:tcPr>
            <w:tcW w:w="139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2.85</w:t>
            </w: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2.53</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2.53</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0.32</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2.85</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2.53</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w:t>
            </w:r>
          </w:p>
        </w:tc>
        <w:tc>
          <w:tcPr>
            <w:tcW w:w="907"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2.53</w:t>
            </w:r>
          </w:p>
        </w:tc>
        <w:tc>
          <w:tcPr>
            <w:tcW w:w="1395"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0.32</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注：本表反映</w:t>
            </w: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6"/>
        <w:tblW w:w="14018" w:type="dxa"/>
        <w:tblInd w:w="0" w:type="dxa"/>
        <w:tblLayout w:type="fixed"/>
        <w:tblCellMar>
          <w:top w:w="0" w:type="dxa"/>
          <w:left w:w="0" w:type="dxa"/>
          <w:bottom w:w="0" w:type="dxa"/>
          <w:right w:w="0" w:type="dxa"/>
        </w:tblCellMar>
      </w:tblPr>
      <w:tblGrid>
        <w:gridCol w:w="612"/>
        <w:gridCol w:w="536"/>
        <w:gridCol w:w="1276"/>
        <w:gridCol w:w="1926"/>
        <w:gridCol w:w="30"/>
        <w:gridCol w:w="1896"/>
        <w:gridCol w:w="30"/>
        <w:gridCol w:w="1896"/>
        <w:gridCol w:w="30"/>
        <w:gridCol w:w="1897"/>
        <w:gridCol w:w="30"/>
        <w:gridCol w:w="1896"/>
        <w:gridCol w:w="30"/>
        <w:gridCol w:w="1903"/>
        <w:gridCol w:w="30"/>
      </w:tblGrid>
      <w:tr>
        <w:tblPrEx>
          <w:tblCellMar>
            <w:top w:w="0" w:type="dxa"/>
            <w:left w:w="0" w:type="dxa"/>
            <w:bottom w:w="0" w:type="dxa"/>
            <w:right w:w="0" w:type="dxa"/>
          </w:tblCellMar>
        </w:tblPrEx>
        <w:trPr>
          <w:gridAfter w:val="1"/>
          <w:wAfter w:w="30" w:type="dxa"/>
          <w:trHeight w:val="600" w:hRule="atLeast"/>
        </w:trPr>
        <w:tc>
          <w:tcPr>
            <w:tcW w:w="13988" w:type="dxa"/>
            <w:gridSpan w:val="14"/>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政府性基金预算财政拨款收入支出决算表</w:t>
            </w:r>
          </w:p>
        </w:tc>
      </w:tr>
      <w:tr>
        <w:tblPrEx>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公开08表</w:t>
            </w:r>
          </w:p>
        </w:tc>
      </w:tr>
      <w:tr>
        <w:tblPrEx>
          <w:tblCellMar>
            <w:top w:w="0" w:type="dxa"/>
            <w:left w:w="0" w:type="dxa"/>
            <w:bottom w:w="0" w:type="dxa"/>
            <w:right w:w="0" w:type="dxa"/>
          </w:tblCellMar>
        </w:tblPrEx>
        <w:trPr>
          <w:trHeight w:val="300" w:hRule="atLeast"/>
        </w:trPr>
        <w:tc>
          <w:tcPr>
            <w:tcW w:w="4380" w:type="dxa"/>
            <w:gridSpan w:val="5"/>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w:t>
            </w:r>
            <w:r>
              <w:rPr>
                <w:rFonts w:hint="eastAsia" w:ascii="宋体" w:hAnsi="宋体" w:cs="宋体"/>
                <w:color w:val="000000"/>
                <w:kern w:val="0"/>
                <w:sz w:val="20"/>
                <w:szCs w:val="20"/>
                <w:highlight w:val="none"/>
                <w:lang w:eastAsia="zh-CN" w:bidi="ar"/>
              </w:rPr>
              <w:t>许昌市退役军人服务中心</w:t>
            </w: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lang w:bidi="ar"/>
              </w:rPr>
              <w:t>金额单位</w:t>
            </w:r>
            <w:r>
              <w:rPr>
                <w:rFonts w:hint="eastAsia" w:ascii="宋体" w:hAnsi="宋体" w:cs="宋体"/>
                <w:color w:val="000000"/>
                <w:kern w:val="0"/>
                <w:sz w:val="20"/>
                <w:szCs w:val="20"/>
                <w:highlight w:val="none"/>
                <w:lang w:bidi="ar"/>
              </w:rPr>
              <w:t>：万元</w:t>
            </w:r>
          </w:p>
        </w:tc>
      </w:tr>
      <w:tr>
        <w:tblPrEx>
          <w:tblCellMar>
            <w:top w:w="0" w:type="dxa"/>
            <w:left w:w="0" w:type="dxa"/>
            <w:bottom w:w="0" w:type="dxa"/>
            <w:right w:w="0" w:type="dxa"/>
          </w:tblCellMar>
        </w:tblPrEx>
        <w:trPr>
          <w:gridAfter w:val="1"/>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1926"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年初</w:t>
            </w:r>
            <w:r>
              <w:rPr>
                <w:rFonts w:hint="eastAsia" w:ascii="宋体" w:hAnsi="宋体" w:cs="宋体"/>
                <w:color w:val="000000"/>
                <w:kern w:val="0"/>
                <w:sz w:val="20"/>
                <w:szCs w:val="20"/>
                <w:highlight w:val="none"/>
                <w:lang w:bidi="ar"/>
              </w:rPr>
              <w:t>结转和结余</w:t>
            </w:r>
          </w:p>
        </w:tc>
        <w:tc>
          <w:tcPr>
            <w:tcW w:w="1926"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本年收入</w:t>
            </w:r>
          </w:p>
        </w:tc>
        <w:tc>
          <w:tcPr>
            <w:tcW w:w="5779" w:type="dxa"/>
            <w:gridSpan w:val="6"/>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年末结转和结余</w:t>
            </w:r>
          </w:p>
        </w:tc>
      </w:tr>
      <w:tr>
        <w:tblPrEx>
          <w:tblCellMar>
            <w:top w:w="0" w:type="dxa"/>
            <w:left w:w="0" w:type="dxa"/>
            <w:bottom w:w="0" w:type="dxa"/>
            <w:right w:w="0" w:type="dxa"/>
          </w:tblCellMar>
        </w:tblPrEx>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1927"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基本支出</w:t>
            </w:r>
          </w:p>
        </w:tc>
        <w:tc>
          <w:tcPr>
            <w:tcW w:w="1926" w:type="dxa"/>
            <w:gridSpan w:val="2"/>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bl>
    <w:p>
      <w:pPr>
        <w:widowControl/>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本年度政府性基金预算财政拨款收入、支出及结转和结余情况。本表金额转换为万元时，因四舍五入可能存在尾差。</w:t>
      </w:r>
    </w:p>
    <w:p>
      <w:pPr>
        <w:widowControl/>
        <w:jc w:val="left"/>
        <w:textAlignment w:val="center"/>
        <w:rPr>
          <w:rFonts w:ascii="宋体" w:hAnsi="宋体" w:cs="宋体"/>
          <w:color w:val="000000"/>
          <w:sz w:val="24"/>
          <w:szCs w:val="24"/>
          <w:highlight w:val="none"/>
        </w:rPr>
      </w:pPr>
      <w:r>
        <w:rPr>
          <w:rFonts w:hint="eastAsia" w:ascii="宋体" w:hAnsi="宋体" w:cs="宋体"/>
          <w:color w:val="000000"/>
          <w:sz w:val="24"/>
          <w:szCs w:val="24"/>
          <w:highlight w:val="none"/>
        </w:rPr>
        <w:t>说明：我</w:t>
      </w:r>
      <w:r>
        <w:rPr>
          <w:rFonts w:hint="eastAsia" w:ascii="宋体" w:hAnsi="宋体" w:cs="宋体"/>
          <w:color w:val="000000"/>
          <w:sz w:val="24"/>
          <w:szCs w:val="24"/>
          <w:highlight w:val="none"/>
          <w:lang w:eastAsia="zh-CN"/>
        </w:rPr>
        <w:t>单位</w:t>
      </w:r>
      <w:r>
        <w:rPr>
          <w:rFonts w:hint="eastAsia" w:ascii="宋体" w:hAnsi="宋体" w:cs="宋体"/>
          <w:color w:val="000000"/>
          <w:sz w:val="24"/>
          <w:szCs w:val="24"/>
          <w:highlight w:val="none"/>
        </w:rPr>
        <w:t>没有政府性基金收入，也没有使用政府性基金安排的支出，故本表无数据。</w:t>
      </w:r>
    </w:p>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default" w:ascii="黑体" w:hAnsi="黑体" w:eastAsia="黑体" w:cs="黑体"/>
          <w:sz w:val="32"/>
          <w:szCs w:val="32"/>
          <w:highlight w:val="none"/>
          <w:lang w:val="en-US"/>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972.15</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cs="仿宋_GB2312"/>
          <w:sz w:val="32"/>
          <w:szCs w:val="32"/>
          <w:highlight w:val="none"/>
          <w:lang w:val="en-US" w:eastAsia="zh-CN"/>
        </w:rPr>
        <w:t>67.65</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6.50</w:t>
      </w:r>
      <w:r>
        <w:rPr>
          <w:rFonts w:hint="eastAsia" w:ascii="仿宋_GB2312" w:hAnsi="仿宋_GB2312" w:eastAsia="仿宋_GB2312" w:cs="仿宋_GB2312"/>
          <w:sz w:val="32"/>
          <w:szCs w:val="32"/>
          <w:highlight w:val="none"/>
        </w:rPr>
        <w:t>%。主要原因是</w:t>
      </w:r>
      <w:r>
        <w:rPr>
          <w:rFonts w:hint="default" w:ascii="仿宋_GB2312" w:hAnsi="仿宋_GB2312" w:eastAsia="仿宋_GB2312" w:cs="仿宋_GB2312"/>
          <w:sz w:val="32"/>
          <w:szCs w:val="32"/>
          <w:highlight w:val="none"/>
          <w:lang w:val="en-US" w:eastAsia="zh-CN"/>
        </w:rPr>
        <w:t>2020</w:t>
      </w:r>
      <w:r>
        <w:rPr>
          <w:rFonts w:hint="eastAsia" w:ascii="仿宋_GB2312" w:hAnsi="仿宋_GB2312" w:eastAsia="仿宋_GB2312" w:cs="仿宋_GB2312"/>
          <w:sz w:val="32"/>
          <w:szCs w:val="32"/>
          <w:highlight w:val="none"/>
          <w:lang w:val="en-US" w:eastAsia="zh-CN"/>
        </w:rPr>
        <w:t>年度单位改制合并搬迁，房屋维修改造款及设备费多，2021年无此预算。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805.16</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805.16</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972.15</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581.20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59.79</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390.95</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40.21</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972.15</w:t>
      </w:r>
      <w:r>
        <w:rPr>
          <w:rFonts w:hint="eastAsia" w:ascii="仿宋_GB2312" w:hAnsi="仿宋_GB2312" w:eastAsia="仿宋_GB2312" w:cs="仿宋_GB2312"/>
          <w:sz w:val="32"/>
          <w:szCs w:val="32"/>
          <w:highlight w:val="none"/>
        </w:rPr>
        <w:t>万元。与上年度相比，财政拨款收、支总计各</w:t>
      </w:r>
      <w:r>
        <w:rPr>
          <w:rFonts w:hint="eastAsia" w:ascii="仿宋_GB2312" w:hAnsi="仿宋_GB2312" w:eastAsia="仿宋_GB2312" w:cs="仿宋_GB2312"/>
          <w:sz w:val="32"/>
          <w:szCs w:val="32"/>
          <w:highlight w:val="none"/>
          <w:lang w:eastAsia="zh-CN"/>
        </w:rPr>
        <w:t>增加</w:t>
      </w:r>
      <w:r>
        <w:rPr>
          <w:rFonts w:hint="eastAsia" w:ascii="仿宋_GB2312" w:hAnsi="仿宋_GB2312" w:eastAsia="仿宋_GB2312" w:cs="仿宋_GB2312"/>
          <w:sz w:val="32"/>
          <w:szCs w:val="32"/>
          <w:highlight w:val="none"/>
          <w:lang w:val="en-US" w:eastAsia="zh-CN"/>
        </w:rPr>
        <w:t>48.28</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5.23%</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新增</w:t>
      </w:r>
      <w:r>
        <w:rPr>
          <w:rFonts w:hint="eastAsia" w:ascii="仿宋_GB2312" w:hAnsi="仿宋_GB2312" w:eastAsia="仿宋_GB2312" w:cs="仿宋_GB2312"/>
          <w:sz w:val="32"/>
          <w:szCs w:val="32"/>
          <w:highlight w:val="none"/>
          <w:lang w:val="en-US" w:eastAsia="zh-CN"/>
        </w:rPr>
        <w:t>3位工作人员，人员经费增加</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972.15</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48.28</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5.23</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新增</w:t>
      </w:r>
      <w:r>
        <w:rPr>
          <w:rFonts w:hint="eastAsia" w:ascii="仿宋_GB2312" w:hAnsi="仿宋_GB2312" w:eastAsia="仿宋_GB2312" w:cs="仿宋_GB2312"/>
          <w:sz w:val="32"/>
          <w:szCs w:val="32"/>
          <w:highlight w:val="none"/>
          <w:lang w:val="en-US" w:eastAsia="zh-CN"/>
        </w:rPr>
        <w:t>3位工作人员，人员经费增加</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lang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972.15</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2.20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0.22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社会保障和就业（类）支出</w:t>
      </w:r>
      <w:r>
        <w:rPr>
          <w:rFonts w:hint="eastAsia" w:ascii="仿宋_GB2312" w:hAnsi="仿宋_GB2312" w:eastAsia="仿宋_GB2312" w:cs="仿宋_GB2312"/>
          <w:sz w:val="32"/>
          <w:szCs w:val="32"/>
          <w:lang w:val="en-US" w:eastAsia="zh-CN"/>
        </w:rPr>
        <w:t>967.64</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99.54</w:t>
      </w:r>
      <w:r>
        <w:rPr>
          <w:rFonts w:hint="eastAsia" w:ascii="仿宋_GB2312" w:hAnsi="仿宋_GB2312" w:eastAsia="仿宋_GB2312" w:cs="仿宋_GB2312"/>
          <w:sz w:val="32"/>
          <w:szCs w:val="32"/>
        </w:rPr>
        <w:t>%；卫生和健康（类）支出</w:t>
      </w:r>
      <w:r>
        <w:rPr>
          <w:rFonts w:hint="eastAsia" w:ascii="仿宋_GB2312" w:hAnsi="仿宋_GB2312" w:eastAsia="仿宋_GB2312" w:cs="仿宋_GB2312"/>
          <w:sz w:val="32"/>
          <w:szCs w:val="32"/>
          <w:lang w:val="en-US" w:eastAsia="zh-CN"/>
        </w:rPr>
        <w:t>2.32</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0.24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912.40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972.15</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106.55</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1．一般公共服务支出（类）群众团体事务（款）工会事务（项）。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2.20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2.20</w:t>
      </w:r>
      <w:r>
        <w:rPr>
          <w:rFonts w:hint="eastAsia" w:ascii="仿宋_GB2312" w:hAnsi="仿宋_GB2312" w:eastAsia="仿宋_GB2312" w:cs="仿宋_GB2312"/>
          <w:sz w:val="32"/>
          <w:szCs w:val="32"/>
        </w:rPr>
        <w:t>万元，完成年初预算的100%。决算数与年初预算数不存在差异。</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．社会保障和就业支出（类）行政事业单位</w:t>
      </w:r>
      <w:r>
        <w:rPr>
          <w:rFonts w:hint="eastAsia" w:ascii="仿宋_GB2312" w:hAnsi="仿宋_GB2312" w:eastAsia="仿宋_GB2312" w:cs="仿宋_GB2312"/>
          <w:b/>
          <w:bCs/>
          <w:sz w:val="32"/>
          <w:szCs w:val="32"/>
          <w:lang w:eastAsia="zh-CN"/>
        </w:rPr>
        <w:t>养老支出</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行政单位</w:t>
      </w:r>
      <w:r>
        <w:rPr>
          <w:rFonts w:hint="eastAsia" w:ascii="仿宋_GB2312" w:hAnsi="仿宋_GB2312" w:eastAsia="仿宋_GB2312" w:cs="仿宋_GB2312"/>
          <w:b/>
          <w:bCs/>
          <w:sz w:val="32"/>
          <w:szCs w:val="32"/>
        </w:rPr>
        <w:t>离退休（项）。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11.54</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9.91</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85.88</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退休人员平时健康休养费有结余。</w:t>
      </w:r>
    </w:p>
    <w:p>
      <w:pPr>
        <w:widowControl/>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b/>
          <w:bCs/>
          <w:sz w:val="32"/>
          <w:szCs w:val="32"/>
        </w:rPr>
        <w:t>．社会保障和就业支出（类）行政事业单位</w:t>
      </w:r>
      <w:r>
        <w:rPr>
          <w:rFonts w:hint="eastAsia" w:ascii="仿宋_GB2312" w:hAnsi="仿宋_GB2312" w:eastAsia="仿宋_GB2312" w:cs="仿宋_GB2312"/>
          <w:b/>
          <w:bCs/>
          <w:sz w:val="32"/>
          <w:szCs w:val="32"/>
          <w:lang w:eastAsia="zh-CN"/>
        </w:rPr>
        <w:t>养老支出</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事业单位</w:t>
      </w:r>
      <w:r>
        <w:rPr>
          <w:rFonts w:hint="eastAsia" w:ascii="仿宋_GB2312" w:hAnsi="仿宋_GB2312" w:eastAsia="仿宋_GB2312" w:cs="仿宋_GB2312"/>
          <w:b/>
          <w:bCs/>
          <w:sz w:val="32"/>
          <w:szCs w:val="32"/>
        </w:rPr>
        <w:t>离退休（项）。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43.72</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47.53</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108.71</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文明奖及休养费增加</w:t>
      </w:r>
      <w:r>
        <w:rPr>
          <w:rFonts w:hint="eastAsia" w:ascii="仿宋_GB2312" w:hAnsi="仿宋_GB2312" w:eastAsia="仿宋_GB2312" w:cs="仿宋_GB2312"/>
          <w:sz w:val="32"/>
          <w:szCs w:val="32"/>
        </w:rPr>
        <w:t>。</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4．社会保障和就业支出（类）行政事业单位</w:t>
      </w:r>
      <w:r>
        <w:rPr>
          <w:rFonts w:hint="eastAsia" w:ascii="仿宋_GB2312" w:hAnsi="仿宋_GB2312" w:eastAsia="仿宋_GB2312" w:cs="仿宋_GB2312"/>
          <w:b/>
          <w:bCs/>
          <w:sz w:val="32"/>
          <w:szCs w:val="32"/>
          <w:lang w:eastAsia="zh-CN"/>
        </w:rPr>
        <w:t>养老支出</w:t>
      </w:r>
      <w:r>
        <w:rPr>
          <w:rFonts w:hint="eastAsia" w:ascii="仿宋_GB2312" w:hAnsi="仿宋_GB2312" w:eastAsia="仿宋_GB2312" w:cs="仿宋_GB2312"/>
          <w:b/>
          <w:bCs/>
          <w:sz w:val="32"/>
          <w:szCs w:val="32"/>
        </w:rPr>
        <w:t>（款）机关事业单位基本养老保险缴费支出（项）。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1.33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使用年初结余资金，</w:t>
      </w:r>
      <w:r>
        <w:rPr>
          <w:rFonts w:hint="eastAsia" w:ascii="仿宋_GB2312" w:hAnsi="仿宋_GB2312" w:eastAsia="仿宋_GB2312" w:cs="仿宋_GB2312"/>
          <w:sz w:val="32"/>
          <w:szCs w:val="32"/>
          <w:lang w:val="en-US" w:eastAsia="zh-CN"/>
        </w:rPr>
        <w:t>2021年社会保险支出从事业运行费支出</w:t>
      </w:r>
      <w:r>
        <w:rPr>
          <w:rFonts w:hint="eastAsia" w:ascii="仿宋_GB2312" w:hAnsi="仿宋_GB2312" w:eastAsia="仿宋_GB2312" w:cs="仿宋_GB2312"/>
          <w:sz w:val="32"/>
          <w:szCs w:val="32"/>
        </w:rPr>
        <w:t>。</w:t>
      </w:r>
    </w:p>
    <w:p>
      <w:pPr>
        <w:widowControl/>
        <w:spacing w:line="590" w:lineRule="exact"/>
        <w:ind w:firstLine="643" w:firstLineChars="200"/>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．社会保障和就业支出（类）退役安置（款）军队转业干部安置（项）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29.55</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123.13</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val="en-US" w:eastAsia="zh-CN"/>
        </w:rPr>
        <w:t>2020年</w:t>
      </w:r>
      <w:r>
        <w:rPr>
          <w:rFonts w:hint="eastAsia" w:ascii="仿宋_GB2312" w:hAnsi="仿宋_GB2312" w:eastAsia="仿宋_GB2312" w:cs="仿宋_GB2312"/>
          <w:sz w:val="32"/>
          <w:szCs w:val="32"/>
        </w:rPr>
        <w:t>公益性岗位军转干部</w:t>
      </w:r>
      <w:r>
        <w:rPr>
          <w:rFonts w:hint="eastAsia" w:ascii="仿宋_GB2312" w:hAnsi="仿宋_GB2312" w:eastAsia="仿宋_GB2312" w:cs="仿宋_GB2312"/>
          <w:sz w:val="32"/>
          <w:szCs w:val="32"/>
          <w:lang w:eastAsia="zh-CN"/>
        </w:rPr>
        <w:t>部分费用</w:t>
      </w:r>
      <w:r>
        <w:rPr>
          <w:rFonts w:hint="eastAsia" w:ascii="仿宋_GB2312" w:hAnsi="仿宋_GB2312" w:eastAsia="仿宋_GB2312" w:cs="仿宋_GB2312"/>
          <w:sz w:val="32"/>
          <w:szCs w:val="32"/>
          <w:lang w:val="en-US" w:eastAsia="zh-CN"/>
        </w:rPr>
        <w:t>2021年支付</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．社会保障和就业支出（类）退役安置（款）其他退役安置支出（项）。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365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352.75</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96.64</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决算数与年初预算数存在差异的主要原因是自主择业军转干部</w:t>
      </w:r>
      <w:r>
        <w:rPr>
          <w:rFonts w:hint="eastAsia" w:ascii="仿宋_GB2312" w:hAnsi="仿宋_GB2312" w:eastAsia="仿宋_GB2312" w:cs="仿宋_GB2312"/>
          <w:color w:val="000000"/>
          <w:sz w:val="32"/>
          <w:szCs w:val="32"/>
          <w:lang w:eastAsia="zh-CN"/>
        </w:rPr>
        <w:t>部分费用在</w:t>
      </w:r>
      <w:r>
        <w:rPr>
          <w:rFonts w:hint="eastAsia" w:ascii="仿宋_GB2312" w:hAnsi="仿宋_GB2312" w:eastAsia="仿宋_GB2312" w:cs="仿宋_GB2312"/>
          <w:color w:val="000000"/>
          <w:sz w:val="32"/>
          <w:szCs w:val="32"/>
        </w:rPr>
        <w:t>次年元月份发放。</w:t>
      </w:r>
    </w:p>
    <w:p>
      <w:pPr>
        <w:widowControl/>
        <w:spacing w:line="59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．社会保障和就业支出（类）退役军人管理事务（款）事业运行（项）。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471.54</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517.92</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109.84</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决算数与年初预算数存在差异的主要原因是</w:t>
      </w:r>
      <w:r>
        <w:rPr>
          <w:rFonts w:hint="eastAsia" w:ascii="仿宋_GB2312" w:hAnsi="仿宋_GB2312" w:eastAsia="仿宋_GB2312" w:cs="仿宋_GB2312"/>
          <w:color w:val="000000"/>
          <w:sz w:val="32"/>
          <w:szCs w:val="32"/>
          <w:lang w:val="en-US" w:eastAsia="zh-CN"/>
        </w:rPr>
        <w:t>2021年新增3名工作人员，人员经费增加</w:t>
      </w:r>
      <w:r>
        <w:rPr>
          <w:rFonts w:hint="eastAsia" w:ascii="仿宋_GB2312" w:hAnsi="仿宋_GB2312" w:eastAsia="仿宋_GB2312" w:cs="仿宋_GB2312"/>
          <w:color w:val="000000"/>
          <w:sz w:val="32"/>
          <w:szCs w:val="32"/>
        </w:rPr>
        <w:t>。</w:t>
      </w:r>
    </w:p>
    <w:p>
      <w:pPr>
        <w:widowControl/>
        <w:spacing w:line="59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社会保障和就业支出（类）退役军人管理事务（款）</w:t>
      </w:r>
      <w:r>
        <w:rPr>
          <w:rFonts w:hint="eastAsia" w:ascii="仿宋_GB2312" w:hAnsi="仿宋_GB2312" w:eastAsia="仿宋_GB2312" w:cs="仿宋_GB2312"/>
          <w:b/>
          <w:bCs/>
          <w:sz w:val="32"/>
          <w:szCs w:val="32"/>
          <w:lang w:eastAsia="zh-CN"/>
        </w:rPr>
        <w:t>其他退役军人事务管理支出</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8.64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000000"/>
          <w:sz w:val="32"/>
          <w:szCs w:val="32"/>
        </w:rPr>
        <w:t>决算数与年初预算数存在差异的主要原因是</w:t>
      </w:r>
      <w:r>
        <w:rPr>
          <w:rFonts w:hint="eastAsia" w:ascii="仿宋_GB2312" w:hAnsi="仿宋_GB2312" w:eastAsia="仿宋_GB2312" w:cs="仿宋_GB2312"/>
          <w:color w:val="000000"/>
          <w:sz w:val="32"/>
          <w:szCs w:val="32"/>
          <w:lang w:val="en-US" w:eastAsia="zh-CN"/>
        </w:rPr>
        <w:t>2020年房屋维修改造款2021年支付</w:t>
      </w:r>
      <w:r>
        <w:rPr>
          <w:rFonts w:hint="eastAsia" w:ascii="仿宋_GB2312" w:hAnsi="仿宋_GB2312" w:eastAsia="仿宋_GB2312" w:cs="仿宋_GB2312"/>
          <w:color w:val="000000"/>
          <w:sz w:val="32"/>
          <w:szCs w:val="32"/>
        </w:rPr>
        <w:t>。</w:t>
      </w:r>
    </w:p>
    <w:p>
      <w:pPr>
        <w:widowControl/>
        <w:spacing w:line="59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．卫生健康支出（类）行政事业单位医疗（款）事业单位医疗（项）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000000"/>
          <w:sz w:val="32"/>
          <w:szCs w:val="32"/>
        </w:rPr>
        <w:t>决算数与年初预算数存在差异的主要原因是</w:t>
      </w:r>
      <w:r>
        <w:rPr>
          <w:rFonts w:hint="eastAsia" w:ascii="仿宋_GB2312" w:hAnsi="仿宋_GB2312" w:eastAsia="仿宋_GB2312" w:cs="仿宋_GB2312"/>
          <w:color w:val="000000"/>
          <w:sz w:val="32"/>
          <w:szCs w:val="32"/>
          <w:lang w:eastAsia="zh-CN"/>
        </w:rPr>
        <w:t>职工部分医疗保险使用</w:t>
      </w:r>
      <w:r>
        <w:rPr>
          <w:rFonts w:hint="eastAsia" w:ascii="仿宋_GB2312" w:hAnsi="仿宋_GB2312" w:eastAsia="仿宋_GB2312" w:cs="仿宋_GB2312"/>
          <w:color w:val="000000"/>
          <w:sz w:val="32"/>
          <w:szCs w:val="32"/>
          <w:lang w:val="en-US" w:eastAsia="zh-CN"/>
        </w:rPr>
        <w:t>2020年结余资金，2021年医疗保险通过事业运行费支出</w:t>
      </w:r>
      <w:r>
        <w:rPr>
          <w:rFonts w:hint="eastAsia" w:ascii="仿宋_GB2312" w:hAnsi="仿宋_GB2312" w:eastAsia="仿宋_GB2312" w:cs="仿宋_GB2312"/>
          <w:color w:val="000000"/>
          <w:sz w:val="32"/>
          <w:szCs w:val="32"/>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0</w:t>
      </w:r>
      <w:r>
        <w:rPr>
          <w:rFonts w:hint="eastAsia" w:ascii="仿宋_GB2312" w:hAnsi="仿宋_GB2312" w:eastAsia="仿宋_GB2312" w:cs="仿宋_GB2312"/>
          <w:b/>
          <w:bCs/>
          <w:sz w:val="32"/>
          <w:szCs w:val="32"/>
        </w:rPr>
        <w:t>．卫生健康支出（类）行政事业单位医疗（款）公务员医疗补助（项）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1.12</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000000"/>
          <w:sz w:val="32"/>
          <w:szCs w:val="32"/>
        </w:rPr>
        <w:t>决算数与年初预算数存在差异的主要原因是</w:t>
      </w:r>
      <w:r>
        <w:rPr>
          <w:rFonts w:hint="eastAsia" w:ascii="仿宋_GB2312" w:hAnsi="仿宋_GB2312" w:eastAsia="仿宋_GB2312" w:cs="仿宋_GB2312"/>
          <w:color w:val="000000"/>
          <w:sz w:val="32"/>
          <w:szCs w:val="32"/>
          <w:lang w:eastAsia="zh-CN"/>
        </w:rPr>
        <w:t>职工部分公务员医疗补助使用</w:t>
      </w:r>
      <w:r>
        <w:rPr>
          <w:rFonts w:hint="eastAsia" w:ascii="仿宋_GB2312" w:hAnsi="仿宋_GB2312" w:eastAsia="仿宋_GB2312" w:cs="仿宋_GB2312"/>
          <w:color w:val="000000"/>
          <w:sz w:val="32"/>
          <w:szCs w:val="32"/>
          <w:lang w:val="en-US" w:eastAsia="zh-CN"/>
        </w:rPr>
        <w:t>2020年结余资金，2021年公务员医疗补助通过事业运行费支出</w:t>
      </w:r>
      <w:r>
        <w:rPr>
          <w:rFonts w:hint="eastAsia" w:ascii="仿宋_GB2312" w:hAnsi="仿宋_GB2312" w:eastAsia="仿宋_GB2312" w:cs="仿宋_GB2312"/>
          <w:color w:val="000000"/>
          <w:sz w:val="32"/>
          <w:szCs w:val="32"/>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581.20</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535.72</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val="en-US" w:eastAsia="zh-CN"/>
        </w:rPr>
        <w:t>奖金、</w:t>
      </w:r>
      <w:r>
        <w:rPr>
          <w:rFonts w:hint="eastAsia" w:ascii="仿宋_GB2312" w:hAnsi="仿宋_GB2312" w:eastAsia="仿宋_GB2312" w:cs="仿宋_GB2312"/>
          <w:sz w:val="32"/>
          <w:szCs w:val="32"/>
          <w:highlight w:val="none"/>
        </w:rPr>
        <w:t>机关事业单位基本养老保险缴费、</w:t>
      </w:r>
      <w:r>
        <w:rPr>
          <w:rFonts w:hint="eastAsia" w:ascii="仿宋_GB2312" w:hAnsi="仿宋_GB2312" w:eastAsia="仿宋_GB2312" w:cs="仿宋_GB2312"/>
          <w:sz w:val="32"/>
          <w:szCs w:val="32"/>
          <w:highlight w:val="none"/>
          <w:lang w:val="en-US" w:eastAsia="zh-CN"/>
        </w:rPr>
        <w:t>职工基本医疗保险缴费、公务员医疗补助缴费、</w:t>
      </w:r>
      <w:r>
        <w:rPr>
          <w:rFonts w:hint="eastAsia" w:ascii="仿宋_GB2312" w:hAnsi="仿宋_GB2312" w:eastAsia="仿宋_GB2312" w:cs="仿宋_GB2312"/>
          <w:sz w:val="32"/>
          <w:szCs w:val="32"/>
          <w:highlight w:val="none"/>
        </w:rPr>
        <w:t>其他社会保障缴费、其他工资福利支出、退休费、住房公积金；公用经费</w:t>
      </w:r>
      <w:r>
        <w:rPr>
          <w:rFonts w:hint="eastAsia" w:ascii="仿宋_GB2312" w:hAnsi="仿宋_GB2312" w:eastAsia="仿宋_GB2312" w:cs="仿宋_GB2312"/>
          <w:sz w:val="32"/>
          <w:szCs w:val="32"/>
          <w:highlight w:val="none"/>
          <w:lang w:val="en-US" w:eastAsia="zh-CN"/>
        </w:rPr>
        <w:t>45.48</w:t>
      </w:r>
      <w:r>
        <w:rPr>
          <w:rFonts w:hint="eastAsia" w:ascii="仿宋_GB2312" w:hAnsi="仿宋_GB2312" w:eastAsia="仿宋_GB2312" w:cs="仿宋_GB2312"/>
          <w:sz w:val="32"/>
          <w:szCs w:val="32"/>
          <w:highlight w:val="none"/>
        </w:rPr>
        <w:t>万元，主要包括：办公费、印刷费、水费、电费、邮电费、取暖费、差旅费、维修（护）费、会议费、培训费、公务</w:t>
      </w:r>
      <w:r>
        <w:rPr>
          <w:rFonts w:hint="eastAsia" w:ascii="仿宋_GB2312" w:hAnsi="仿宋_GB2312" w:eastAsia="仿宋_GB2312" w:cs="仿宋_GB2312"/>
          <w:sz w:val="32"/>
          <w:szCs w:val="32"/>
          <w:highlight w:val="none"/>
          <w:lang w:val="en-US" w:eastAsia="zh-CN"/>
        </w:rPr>
        <w:t>招</w:t>
      </w:r>
      <w:r>
        <w:rPr>
          <w:rFonts w:hint="eastAsia" w:ascii="仿宋_GB2312" w:hAnsi="仿宋_GB2312" w:eastAsia="仿宋_GB2312" w:cs="仿宋_GB2312"/>
          <w:sz w:val="32"/>
          <w:szCs w:val="32"/>
          <w:highlight w:val="none"/>
        </w:rPr>
        <w:t>待费、委托业务费、工会经费、福利费、公务用车运行维护费、其他商品和服务支出、办公设备购置、其他资本性支出。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2.85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2.85</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w:t>
      </w:r>
      <w:r>
        <w:rPr>
          <w:rFonts w:hint="eastAsia" w:ascii="仿宋_GB2312" w:hAnsi="仿宋_GB2312" w:eastAsia="仿宋_GB2312" w:cs="仿宋_GB2312"/>
          <w:sz w:val="32"/>
          <w:szCs w:val="32"/>
          <w:highlight w:val="none"/>
          <w:lang w:eastAsia="zh-CN"/>
        </w:rPr>
        <w:t>无差异</w:t>
      </w:r>
      <w:r>
        <w:rPr>
          <w:rFonts w:hint="eastAsia" w:ascii="仿宋_GB2312" w:hAnsi="仿宋_GB2312" w:eastAsia="仿宋_GB2312" w:cs="仿宋_GB2312"/>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2.53</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88.77</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0.32</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11.23</w:t>
      </w:r>
      <w:r>
        <w:rPr>
          <w:rFonts w:hint="eastAsia" w:ascii="仿宋_GB2312" w:hAnsi="仿宋_GB2312" w:eastAsia="仿宋_GB2312" w:cs="仿宋_GB2312"/>
          <w:sz w:val="32"/>
          <w:szCs w:val="32"/>
          <w:highlight w:val="none"/>
        </w:rPr>
        <w:t>%。具体情况如下：</w:t>
      </w:r>
    </w:p>
    <w:p>
      <w:pPr>
        <w:widowControl/>
        <w:spacing w:line="590" w:lineRule="exact"/>
        <w:ind w:firstLine="643"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万元。决算数与预算数不存在差异。因公出国（境）团组数0个，因公出国（境）人次数0人。</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2.53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2.53</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lang w:eastAsia="zh-CN"/>
        </w:rPr>
        <w:t>辆。</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2.53</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eastAsia="zh-CN"/>
        </w:rPr>
        <w:t>车辆维修及运行费用</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2辆</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0.32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0.32</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0.32</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eastAsia="zh-CN"/>
        </w:rPr>
        <w:t>外地市参观学习</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24</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lang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不存在项目年末结转和结余资金数额较大。</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情况说明：我单位2021年度没有政府性基金收入，也没有使用政府性基金安排的支出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决算数与年初预算数不存在差异</w:t>
      </w:r>
      <w:r>
        <w:rPr>
          <w:rFonts w:hint="eastAsia" w:ascii="仿宋_GB2312" w:hAnsi="仿宋_GB2312" w:eastAsia="仿宋_GB2312" w:cs="仿宋_GB2312"/>
          <w:sz w:val="32"/>
          <w:szCs w:val="32"/>
          <w:highlight w:val="none"/>
        </w:rPr>
        <w:t>。</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情况说明：</w:t>
      </w:r>
      <w:r>
        <w:rPr>
          <w:rFonts w:hint="eastAsia" w:ascii="仿宋_GB2312" w:hAnsi="仿宋_GB2312" w:eastAsia="仿宋_GB2312" w:cs="仿宋_GB2312"/>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 xml:space="preserve">   （一）绩效管理工作开展情况。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成立绩效管理领导小组，指定专人负责我单位财政预算绩效管理的组织和协调工作，积极参加财政局组织的学习培训活动系统的学习绩效管理工作的相关政策和文件精神。2021年我单位纳入预算绩效管理的支出总额为972.15万元，其中：基本支出581.2万元；支出项目3个，支出金额390.95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良好。二是项目绩效自评情况。我单位共有3个项目批复了绩效目标。其中：</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1.自主择业军转干部探访慰问金，项目金额352.75万元；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highlight w:val="none"/>
        </w:rPr>
      </w:pPr>
      <w:r>
        <w:rPr>
          <w:rFonts w:hint="eastAsia" w:ascii="仿宋_GB2312" w:hAnsi="仿宋_GB2312" w:eastAsia="仿宋_GB2312" w:cs="仿宋_GB2312"/>
          <w:color w:val="auto"/>
          <w:sz w:val="32"/>
          <w:szCs w:val="32"/>
          <w:highlight w:val="none"/>
          <w:lang w:val="en-US" w:eastAsia="zh-CN"/>
        </w:rPr>
        <w:t>2.公益性岗位企业下岗失业军转干部再就业补助金，项目金额29.56万元；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3.其他退役安置管理支出-房屋维修资金（2020年结转）8.64万元。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95分。其中：3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 xml:space="preserve">    （三）重点绩效评价结果。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2021年度我单位没有开展重点绩效评价的项目。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numPr>
          <w:ilvl w:val="0"/>
          <w:numId w:val="2"/>
        </w:num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 xml:space="preserve"> 名词解释</w:t>
      </w:r>
    </w:p>
    <w:p>
      <w:pPr>
        <w:widowControl w:val="0"/>
        <w:numPr>
          <w:ilvl w:val="0"/>
          <w:numId w:val="0"/>
        </w:numPr>
        <w:jc w:val="center"/>
        <w:outlineLvl w:val="0"/>
        <w:rPr>
          <w:rFonts w:hint="eastAsia" w:ascii="黑体" w:hAnsi="黑体" w:eastAsia="黑体" w:cs="黑体"/>
          <w:sz w:val="48"/>
          <w:szCs w:val="48"/>
          <w:highlight w:val="none"/>
        </w:rPr>
      </w:pPr>
    </w:p>
    <w:p>
      <w:pPr>
        <w:widowControl w:val="0"/>
        <w:numPr>
          <w:ilvl w:val="0"/>
          <w:numId w:val="0"/>
        </w:numPr>
        <w:jc w:val="both"/>
        <w:outlineLvl w:val="0"/>
        <w:rPr>
          <w:rFonts w:hint="eastAsia" w:ascii="黑体" w:hAnsi="黑体" w:eastAsia="黑体" w:cs="黑体"/>
          <w:sz w:val="48"/>
          <w:szCs w:val="48"/>
          <w:highlight w:val="none"/>
        </w:rPr>
      </w:pPr>
    </w:p>
    <w:p>
      <w:pPr>
        <w:widowControl w:val="0"/>
        <w:numPr>
          <w:ilvl w:val="0"/>
          <w:numId w:val="0"/>
        </w:numPr>
        <w:jc w:val="center"/>
        <w:outlineLvl w:val="0"/>
        <w:rPr>
          <w:rFonts w:hint="eastAsia" w:ascii="黑体" w:hAnsi="黑体" w:eastAsia="黑体" w:cs="黑体"/>
          <w:sz w:val="48"/>
          <w:szCs w:val="48"/>
          <w:highlight w:val="none"/>
        </w:rPr>
      </w:pPr>
    </w:p>
    <w:p>
      <w:pPr>
        <w:widowControl w:val="0"/>
        <w:numPr>
          <w:ilvl w:val="0"/>
          <w:numId w:val="0"/>
        </w:numPr>
        <w:jc w:val="center"/>
        <w:outlineLvl w:val="0"/>
        <w:rPr>
          <w:rFonts w:hint="eastAsia" w:ascii="黑体" w:hAnsi="黑体" w:eastAsia="黑体" w:cs="黑体"/>
          <w:sz w:val="48"/>
          <w:szCs w:val="48"/>
          <w:highlight w:val="none"/>
        </w:rPr>
      </w:pPr>
    </w:p>
    <w:p>
      <w:pPr>
        <w:widowControl w:val="0"/>
        <w:numPr>
          <w:ilvl w:val="0"/>
          <w:numId w:val="0"/>
        </w:numPr>
        <w:jc w:val="center"/>
        <w:outlineLvl w:val="0"/>
        <w:rPr>
          <w:rFonts w:hint="eastAsia" w:ascii="黑体" w:hAnsi="黑体" w:eastAsia="黑体" w:cs="黑体"/>
          <w:sz w:val="48"/>
          <w:szCs w:val="48"/>
          <w:highlight w:val="none"/>
        </w:rPr>
      </w:pPr>
    </w:p>
    <w:p>
      <w:pPr>
        <w:widowControl w:val="0"/>
        <w:numPr>
          <w:ilvl w:val="0"/>
          <w:numId w:val="0"/>
        </w:numPr>
        <w:jc w:val="center"/>
        <w:outlineLvl w:val="0"/>
        <w:rPr>
          <w:rFonts w:hint="eastAsia" w:ascii="黑体" w:hAnsi="黑体" w:eastAsia="黑体" w:cs="黑体"/>
          <w:sz w:val="48"/>
          <w:szCs w:val="48"/>
          <w:highlight w:val="none"/>
        </w:rPr>
      </w:pPr>
    </w:p>
    <w:p>
      <w:pPr>
        <w:widowControl w:val="0"/>
        <w:numPr>
          <w:ilvl w:val="0"/>
          <w:numId w:val="0"/>
        </w:numPr>
        <w:jc w:val="center"/>
        <w:outlineLvl w:val="0"/>
        <w:rPr>
          <w:rFonts w:hint="eastAsia" w:ascii="黑体" w:hAnsi="黑体" w:eastAsia="黑体" w:cs="黑体"/>
          <w:sz w:val="48"/>
          <w:szCs w:val="48"/>
          <w:highlight w:val="none"/>
        </w:rPr>
      </w:pPr>
    </w:p>
    <w:p>
      <w:pPr>
        <w:widowControl w:val="0"/>
        <w:numPr>
          <w:ilvl w:val="0"/>
          <w:numId w:val="0"/>
        </w:numPr>
        <w:jc w:val="center"/>
        <w:outlineLvl w:val="0"/>
        <w:rPr>
          <w:rFonts w:hint="eastAsia" w:ascii="黑体" w:hAnsi="黑体" w:eastAsia="黑体" w:cs="黑体"/>
          <w:sz w:val="48"/>
          <w:szCs w:val="48"/>
          <w:highlight w:val="none"/>
        </w:rPr>
      </w:pPr>
    </w:p>
    <w:p>
      <w:pPr>
        <w:widowControl w:val="0"/>
        <w:numPr>
          <w:ilvl w:val="0"/>
          <w:numId w:val="0"/>
        </w:numPr>
        <w:jc w:val="center"/>
        <w:outlineLvl w:val="0"/>
        <w:rPr>
          <w:rFonts w:hint="eastAsia" w:ascii="黑体" w:hAnsi="黑体" w:eastAsia="黑体" w:cs="黑体"/>
          <w:sz w:val="48"/>
          <w:szCs w:val="48"/>
          <w:highlight w:val="none"/>
        </w:rPr>
      </w:pPr>
    </w:p>
    <w:p>
      <w:pPr>
        <w:widowControl w:val="0"/>
        <w:numPr>
          <w:ilvl w:val="0"/>
          <w:numId w:val="0"/>
        </w:numPr>
        <w:jc w:val="both"/>
        <w:outlineLvl w:val="0"/>
        <w:rPr>
          <w:rFonts w:hint="eastAsia" w:ascii="黑体" w:hAnsi="黑体" w:eastAsia="黑体" w:cs="黑体"/>
          <w:sz w:val="48"/>
          <w:szCs w:val="48"/>
          <w:highlight w:val="none"/>
        </w:rPr>
      </w:pPr>
    </w:p>
    <w:p>
      <w:pPr>
        <w:widowControl/>
        <w:spacing w:line="590" w:lineRule="exact"/>
        <w:ind w:firstLine="640" w:firstLineChars="200"/>
        <w:jc w:val="left"/>
        <w:rPr>
          <w:rFonts w:hint="eastAsia" w:ascii="仿宋_GB2312" w:hAnsi="仿宋_GB2312" w:eastAsia="仿宋_GB2312" w:cs="仿宋_GB2312"/>
          <w:sz w:val="32"/>
          <w:szCs w:val="32"/>
          <w:highlight w:val="none"/>
        </w:rPr>
      </w:pPr>
    </w:p>
    <w:p>
      <w:pPr>
        <w:widowControl/>
        <w:spacing w:line="590" w:lineRule="exact"/>
        <w:jc w:val="left"/>
        <w:rPr>
          <w:rFonts w:hint="eastAsia" w:ascii="仿宋_GB2312" w:hAnsi="仿宋_GB2312" w:eastAsia="仿宋_GB2312" w:cs="仿宋_GB2312"/>
          <w:sz w:val="32"/>
          <w:szCs w:val="32"/>
          <w:highlight w:val="none"/>
        </w:rPr>
      </w:pPr>
    </w:p>
    <w:p>
      <w:pPr>
        <w:widowControl/>
        <w:spacing w:line="590" w:lineRule="exact"/>
        <w:jc w:val="left"/>
        <w:rPr>
          <w:rFonts w:hint="eastAsia" w:ascii="仿宋_GB2312" w:hAnsi="仿宋_GB2312" w:eastAsia="仿宋_GB2312" w:cs="仿宋_GB2312"/>
          <w:sz w:val="32"/>
          <w:szCs w:val="32"/>
          <w:highlight w:val="none"/>
        </w:rPr>
      </w:pPr>
    </w:p>
    <w:p>
      <w:pPr>
        <w:widowControl/>
        <w:spacing w:line="590" w:lineRule="exact"/>
        <w:jc w:val="left"/>
        <w:rPr>
          <w:rFonts w:hint="eastAsia" w:ascii="仿宋_GB2312" w:hAnsi="仿宋_GB2312" w:eastAsia="仿宋_GB2312" w:cs="仿宋_GB2312"/>
          <w:sz w:val="32"/>
          <w:szCs w:val="32"/>
          <w:highlight w:val="none"/>
        </w:rPr>
      </w:pPr>
      <w:bookmarkStart w:id="0" w:name="_GoBack"/>
      <w:bookmarkEnd w:id="0"/>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460DB5"/>
    <w:multiLevelType w:val="singleLevel"/>
    <w:tmpl w:val="28460DB5"/>
    <w:lvl w:ilvl="0" w:tentative="0">
      <w:start w:val="4"/>
      <w:numFmt w:val="chineseCounting"/>
      <w:suff w:val="space"/>
      <w:lvlText w:val="第%1部分"/>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wNjdlZTA0ZWNiMzE3ODI3YWQ0ZTAzMTQzOGRkYmMifQ=="/>
    <w:docVar w:name="KSO_WPS_MARK_KEY" w:val="406948a5-2b9d-45f2-a718-cec1caa75b3e"/>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C12551"/>
    <w:rsid w:val="03C75F80"/>
    <w:rsid w:val="0478364D"/>
    <w:rsid w:val="053D4C0D"/>
    <w:rsid w:val="0557532E"/>
    <w:rsid w:val="05A3E50B"/>
    <w:rsid w:val="0799329C"/>
    <w:rsid w:val="08397436"/>
    <w:rsid w:val="0861630D"/>
    <w:rsid w:val="086F16A7"/>
    <w:rsid w:val="0A0F7225"/>
    <w:rsid w:val="0A2B7D82"/>
    <w:rsid w:val="0ADC40E9"/>
    <w:rsid w:val="0AE607F4"/>
    <w:rsid w:val="0B386127"/>
    <w:rsid w:val="0B451598"/>
    <w:rsid w:val="0BEC73F4"/>
    <w:rsid w:val="0C392698"/>
    <w:rsid w:val="10BD36F6"/>
    <w:rsid w:val="11BF0649"/>
    <w:rsid w:val="123E3E08"/>
    <w:rsid w:val="13031039"/>
    <w:rsid w:val="133212F4"/>
    <w:rsid w:val="13D22E22"/>
    <w:rsid w:val="161C2DFF"/>
    <w:rsid w:val="16373578"/>
    <w:rsid w:val="16D3336B"/>
    <w:rsid w:val="17200028"/>
    <w:rsid w:val="17806C36"/>
    <w:rsid w:val="17A74F62"/>
    <w:rsid w:val="18A47774"/>
    <w:rsid w:val="1A8D28EB"/>
    <w:rsid w:val="1A9F2D78"/>
    <w:rsid w:val="1B2E6FD8"/>
    <w:rsid w:val="1B877D21"/>
    <w:rsid w:val="1C4319A9"/>
    <w:rsid w:val="1E443B4B"/>
    <w:rsid w:val="1E8F5EB5"/>
    <w:rsid w:val="1E994F4A"/>
    <w:rsid w:val="1EAF0224"/>
    <w:rsid w:val="1F2230A4"/>
    <w:rsid w:val="20210932"/>
    <w:rsid w:val="202448E0"/>
    <w:rsid w:val="20F614FE"/>
    <w:rsid w:val="21302EEA"/>
    <w:rsid w:val="21690C01"/>
    <w:rsid w:val="22376FB5"/>
    <w:rsid w:val="23E152D7"/>
    <w:rsid w:val="23EE2489"/>
    <w:rsid w:val="255D43C8"/>
    <w:rsid w:val="26714EF8"/>
    <w:rsid w:val="26876BDD"/>
    <w:rsid w:val="2714632A"/>
    <w:rsid w:val="27541E73"/>
    <w:rsid w:val="27B0539E"/>
    <w:rsid w:val="29365CF8"/>
    <w:rsid w:val="299469B3"/>
    <w:rsid w:val="2A805789"/>
    <w:rsid w:val="2ADC0D75"/>
    <w:rsid w:val="2B4A0E52"/>
    <w:rsid w:val="2C975890"/>
    <w:rsid w:val="2DEF21BB"/>
    <w:rsid w:val="2E4A2F05"/>
    <w:rsid w:val="2ECC1061"/>
    <w:rsid w:val="2FA476AD"/>
    <w:rsid w:val="303F7540"/>
    <w:rsid w:val="31DD00BF"/>
    <w:rsid w:val="3293174C"/>
    <w:rsid w:val="32BB38D4"/>
    <w:rsid w:val="32C9376D"/>
    <w:rsid w:val="335214F5"/>
    <w:rsid w:val="33780472"/>
    <w:rsid w:val="33AF0905"/>
    <w:rsid w:val="355932F4"/>
    <w:rsid w:val="35611882"/>
    <w:rsid w:val="36746FC3"/>
    <w:rsid w:val="368763AE"/>
    <w:rsid w:val="395D59E7"/>
    <w:rsid w:val="39A93932"/>
    <w:rsid w:val="3A915562"/>
    <w:rsid w:val="3B7DC647"/>
    <w:rsid w:val="3B8D4765"/>
    <w:rsid w:val="3C000DBA"/>
    <w:rsid w:val="3DC045D3"/>
    <w:rsid w:val="3E504FFB"/>
    <w:rsid w:val="3E615CD0"/>
    <w:rsid w:val="3E9C47F6"/>
    <w:rsid w:val="3F116709"/>
    <w:rsid w:val="3F8B0112"/>
    <w:rsid w:val="3FAB3095"/>
    <w:rsid w:val="3FE45947"/>
    <w:rsid w:val="41242965"/>
    <w:rsid w:val="435671EA"/>
    <w:rsid w:val="440809E9"/>
    <w:rsid w:val="442407A6"/>
    <w:rsid w:val="44805EA1"/>
    <w:rsid w:val="45710696"/>
    <w:rsid w:val="45FFA74C"/>
    <w:rsid w:val="46142B1B"/>
    <w:rsid w:val="479130D7"/>
    <w:rsid w:val="47E60DD0"/>
    <w:rsid w:val="48735039"/>
    <w:rsid w:val="492C684B"/>
    <w:rsid w:val="49500594"/>
    <w:rsid w:val="49E7604E"/>
    <w:rsid w:val="4B6A568C"/>
    <w:rsid w:val="4BF67CDD"/>
    <w:rsid w:val="4D173441"/>
    <w:rsid w:val="4D603DD6"/>
    <w:rsid w:val="4EBF010F"/>
    <w:rsid w:val="4F471EB0"/>
    <w:rsid w:val="4FFF896B"/>
    <w:rsid w:val="51331326"/>
    <w:rsid w:val="51740A7F"/>
    <w:rsid w:val="51A5541E"/>
    <w:rsid w:val="51C96242"/>
    <w:rsid w:val="53357498"/>
    <w:rsid w:val="53906AE1"/>
    <w:rsid w:val="54F46F60"/>
    <w:rsid w:val="55A37BEA"/>
    <w:rsid w:val="55FC716F"/>
    <w:rsid w:val="56362CD2"/>
    <w:rsid w:val="5784687B"/>
    <w:rsid w:val="57846959"/>
    <w:rsid w:val="578E6A87"/>
    <w:rsid w:val="59636140"/>
    <w:rsid w:val="5AC2203A"/>
    <w:rsid w:val="5CBB3334"/>
    <w:rsid w:val="5D115FAF"/>
    <w:rsid w:val="62041A8A"/>
    <w:rsid w:val="62811722"/>
    <w:rsid w:val="62E75A72"/>
    <w:rsid w:val="63C83FC4"/>
    <w:rsid w:val="64571880"/>
    <w:rsid w:val="649125B6"/>
    <w:rsid w:val="652F4C1A"/>
    <w:rsid w:val="663F2EBC"/>
    <w:rsid w:val="666D37F1"/>
    <w:rsid w:val="67087D8F"/>
    <w:rsid w:val="671F687E"/>
    <w:rsid w:val="67F415F8"/>
    <w:rsid w:val="682640D1"/>
    <w:rsid w:val="684B73E5"/>
    <w:rsid w:val="6A047A2A"/>
    <w:rsid w:val="6A0960AB"/>
    <w:rsid w:val="6C9F265D"/>
    <w:rsid w:val="6D3D1F84"/>
    <w:rsid w:val="6DEB8F49"/>
    <w:rsid w:val="6EFB7548"/>
    <w:rsid w:val="6F3831C3"/>
    <w:rsid w:val="6F8B71C1"/>
    <w:rsid w:val="6FBFAC8F"/>
    <w:rsid w:val="70753482"/>
    <w:rsid w:val="707B522A"/>
    <w:rsid w:val="72610F76"/>
    <w:rsid w:val="72DF0B3D"/>
    <w:rsid w:val="73194D05"/>
    <w:rsid w:val="73A83B0E"/>
    <w:rsid w:val="744D3EF9"/>
    <w:rsid w:val="74794411"/>
    <w:rsid w:val="75867C40"/>
    <w:rsid w:val="75B10B26"/>
    <w:rsid w:val="76432199"/>
    <w:rsid w:val="76F44829"/>
    <w:rsid w:val="77A267C0"/>
    <w:rsid w:val="78882278"/>
    <w:rsid w:val="78B118A6"/>
    <w:rsid w:val="790E0FE8"/>
    <w:rsid w:val="79135044"/>
    <w:rsid w:val="7A7D0F99"/>
    <w:rsid w:val="7BED254D"/>
    <w:rsid w:val="7BF31A99"/>
    <w:rsid w:val="7D8E0A1C"/>
    <w:rsid w:val="7DDDB46C"/>
    <w:rsid w:val="7DFB561A"/>
    <w:rsid w:val="7E4A0E7C"/>
    <w:rsid w:val="7EFBC805"/>
    <w:rsid w:val="7EFD449D"/>
    <w:rsid w:val="7F5576BA"/>
    <w:rsid w:val="8E7F4E5F"/>
    <w:rsid w:val="9F572632"/>
    <w:rsid w:val="AFFF28CB"/>
    <w:rsid w:val="BDED9860"/>
    <w:rsid w:val="C56FB99D"/>
    <w:rsid w:val="DAEDACFF"/>
    <w:rsid w:val="EFF046D5"/>
    <w:rsid w:val="F66F326B"/>
    <w:rsid w:val="F6BEC57D"/>
    <w:rsid w:val="FAFD6F23"/>
    <w:rsid w:val="FBA9A282"/>
    <w:rsid w:val="FBBFC1D0"/>
    <w:rsid w:val="FEFBAA8A"/>
    <w:rsid w:val="FFE7E32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1"/>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unhideWhenUsed/>
    <w:qFormat/>
    <w:uiPriority w:val="99"/>
    <w:rPr>
      <w:color w:val="800080"/>
      <w:u w:val="single"/>
    </w:rPr>
  </w:style>
  <w:style w:type="character" w:styleId="10">
    <w:name w:val="Hyperlink"/>
    <w:unhideWhenUsed/>
    <w:qFormat/>
    <w:uiPriority w:val="99"/>
    <w:rPr>
      <w:color w:val="0000FF"/>
      <w:u w:val="single"/>
    </w:rPr>
  </w:style>
  <w:style w:type="character" w:customStyle="1" w:styleId="11">
    <w:name w:val="批注框文本 Char"/>
    <w:link w:val="3"/>
    <w:semiHidden/>
    <w:qFormat/>
    <w:uiPriority w:val="99"/>
    <w:rPr>
      <w:kern w:val="2"/>
      <w:sz w:val="18"/>
      <w:szCs w:val="18"/>
    </w:rPr>
  </w:style>
  <w:style w:type="character" w:customStyle="1" w:styleId="12">
    <w:name w:val="页脚 Char"/>
    <w:link w:val="4"/>
    <w:qFormat/>
    <w:uiPriority w:val="99"/>
    <w:rPr>
      <w:kern w:val="2"/>
      <w:sz w:val="18"/>
      <w:szCs w:val="18"/>
    </w:rPr>
  </w:style>
  <w:style w:type="character" w:customStyle="1" w:styleId="13">
    <w:name w:val="页眉 Char"/>
    <w:link w:val="5"/>
    <w:qFormat/>
    <w:uiPriority w:val="99"/>
    <w:rPr>
      <w:kern w:val="2"/>
      <w:sz w:val="18"/>
      <w:szCs w:val="18"/>
    </w:rPr>
  </w:style>
  <w:style w:type="character" w:customStyle="1" w:styleId="14">
    <w:name w:val="font01"/>
    <w:qFormat/>
    <w:uiPriority w:val="0"/>
    <w:rPr>
      <w:rFonts w:hint="eastAsia" w:ascii="宋体" w:hAnsi="宋体" w:eastAsia="宋体" w:cs="宋体"/>
      <w:color w:val="000000"/>
      <w:sz w:val="22"/>
      <w:szCs w:val="22"/>
      <w:u w:val="none"/>
    </w:rPr>
  </w:style>
  <w:style w:type="character" w:customStyle="1" w:styleId="15">
    <w:name w:val="font21"/>
    <w:qFormat/>
    <w:uiPriority w:val="0"/>
    <w:rPr>
      <w:rFonts w:hint="eastAsia" w:ascii="宋体" w:hAnsi="宋体" w:eastAsia="宋体" w:cs="宋体"/>
      <w:color w:val="000000"/>
      <w:sz w:val="22"/>
      <w:szCs w:val="22"/>
      <w:u w:val="none"/>
    </w:rPr>
  </w:style>
  <w:style w:type="character" w:customStyle="1" w:styleId="16">
    <w:name w:val="font51"/>
    <w:qFormat/>
    <w:uiPriority w:val="0"/>
    <w:rPr>
      <w:rFonts w:hint="eastAsia" w:ascii="宋体" w:hAnsi="宋体" w:eastAsia="宋体" w:cs="宋体"/>
      <w:color w:val="000000"/>
      <w:sz w:val="24"/>
      <w:szCs w:val="24"/>
      <w:u w:val="none"/>
    </w:rPr>
  </w:style>
  <w:style w:type="character" w:customStyle="1" w:styleId="17">
    <w:name w:val="font11"/>
    <w:qFormat/>
    <w:uiPriority w:val="0"/>
    <w:rPr>
      <w:rFonts w:hint="eastAsia" w:ascii="宋体" w:hAnsi="宋体" w:eastAsia="宋体" w:cs="宋体"/>
      <w:color w:val="000000"/>
      <w:sz w:val="20"/>
      <w:szCs w:val="20"/>
      <w:u w:val="none"/>
    </w:rPr>
  </w:style>
  <w:style w:type="character" w:customStyle="1" w:styleId="18">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32</Pages>
  <Words>8162</Words>
  <Characters>9920</Characters>
  <Lines>60</Lines>
  <Paragraphs>16</Paragraphs>
  <TotalTime>30</TotalTime>
  <ScaleCrop>false</ScaleCrop>
  <LinksUpToDate>false</LinksUpToDate>
  <CharactersWithSpaces>10173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2007-12-03T19:41:00Z</dcterms:created>
  <dc:creator>管理者</dc:creator>
  <cp:lastModifiedBy>高琳</cp:lastModifiedBy>
  <cp:lastPrinted>2018-07-29T02:50:00Z</cp:lastPrinted>
  <dcterms:modified xsi:type="dcterms:W3CDTF">2023-05-10T03:03:49Z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E4E0062269884A00B7B054057397ADE0_13</vt:lpwstr>
  </property>
</Properties>
</file>