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bookmarkStart w:id="0" w:name="_GoBack"/>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许昌市自然资源确权登记局单位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许昌市自然资源确权登记</w:t>
      </w:r>
      <w:r>
        <w:rPr>
          <w:rFonts w:hint="eastAsia" w:ascii="黑体" w:hAnsi="黑体" w:eastAsia="黑体" w:cs="黑体"/>
          <w:color w:val="auto"/>
          <w:sz w:val="32"/>
          <w:szCs w:val="32"/>
          <w:highlight w:val="none"/>
        </w:rPr>
        <w:t>局概况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w:t>
      </w:r>
      <w:r>
        <w:rPr>
          <w:rFonts w:hint="eastAsia" w:ascii="宋体" w:hAnsi="宋体" w:cs="宋体"/>
          <w:color w:val="auto"/>
          <w:sz w:val="32"/>
          <w:szCs w:val="32"/>
          <w:highlight w:val="none"/>
          <w:lang w:eastAsia="zh-CN"/>
        </w:rPr>
        <w:t>明细</w:t>
      </w:r>
      <w:r>
        <w:rPr>
          <w:rFonts w:hint="eastAsia" w:ascii="宋体" w:hAnsi="宋体" w:eastAsia="宋体" w:cs="宋体"/>
          <w:color w:val="auto"/>
          <w:sz w:val="32"/>
          <w:szCs w:val="32"/>
          <w:highlight w:val="none"/>
        </w:rPr>
        <w:t>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八、政府性基金预算财政拨款支出决算情况说明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十一、国有资产占用情况说明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ind w:firstLine="640" w:firstLineChars="200"/>
        <w:jc w:val="left"/>
        <w:rPr>
          <w:rFonts w:hint="eastAsia" w:ascii="宋体" w:hAnsi="宋体" w:eastAsia="宋体" w:cs="宋体"/>
          <w:color w:val="auto"/>
          <w:sz w:val="32"/>
          <w:szCs w:val="32"/>
          <w:highlight w:val="none"/>
          <w:lang w:eastAsia="zh-CN"/>
        </w:rPr>
      </w:pP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许昌市自然资源确权登记</w:t>
      </w:r>
      <w:r>
        <w:rPr>
          <w:rFonts w:hint="eastAsia" w:ascii="黑体" w:hAnsi="黑体" w:eastAsia="黑体" w:cs="黑体"/>
          <w:color w:val="auto"/>
          <w:sz w:val="48"/>
          <w:szCs w:val="48"/>
          <w:highlight w:val="none"/>
        </w:rPr>
        <w:t>局概况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rPr>
        <w:t>拟定市级不动产登记及相关工作办法；组织开展不动产登记工作；指导监督全市不动产登记工作 ；牵头建立全市不动产登记信息管理基础平台；负责全市不动产权利证书的监管；承办不动产登记人员上岗资格初审；规范、监管不动产登记中介组织和行为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拟定不动产确权、权属争议调处的地方规范性文件；负责组织指导全市不动产确权、不动产权属调查和权属争议调处工作；承办跨县（市、区）的权属争议调处；指导全市不动产登记资料社会查询服务；指导全市不动产登记档案和信息管理工作；负责全市不动产登记信息统计和分析；承担各类土地登记资料的整理、共享、和汇交管理；负责各级不动产权属数据库建设、更新、管理和维护工作。</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许昌市自然资源确权登记局</w:t>
      </w:r>
      <w:r>
        <w:rPr>
          <w:rFonts w:hint="eastAsia" w:ascii="仿宋_GB2312" w:hAnsi="仿宋_GB2312" w:eastAsia="仿宋_GB2312" w:cs="仿宋_GB2312"/>
          <w:color w:val="auto"/>
          <w:kern w:val="0"/>
          <w:sz w:val="32"/>
          <w:szCs w:val="32"/>
          <w:highlight w:val="none"/>
          <w:lang w:val="en-US" w:eastAsia="zh-CN"/>
        </w:rPr>
        <w:t>内设2个科室，包括：</w:t>
      </w:r>
      <w:r>
        <w:rPr>
          <w:rFonts w:hint="eastAsia" w:ascii="仿宋_GB2312" w:hAnsi="仿宋_GB2312" w:eastAsia="仿宋_GB2312" w:cs="仿宋_GB2312"/>
          <w:color w:val="auto"/>
          <w:sz w:val="32"/>
          <w:szCs w:val="32"/>
          <w:highlight w:val="none"/>
        </w:rPr>
        <w:t>不动产登记科、不动产权属信息科。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sz w:val="32"/>
          <w:szCs w:val="32"/>
          <w:highlight w:val="none"/>
        </w:rPr>
        <w:t>许昌市自然资源确权登记局</w:t>
      </w:r>
      <w:r>
        <w:rPr>
          <w:rFonts w:hint="eastAsia" w:ascii="仿宋_GB2312" w:hAnsi="仿宋_GB2312" w:eastAsia="仿宋_GB2312" w:cs="仿宋_GB2312"/>
          <w:color w:val="auto"/>
          <w:kern w:val="0"/>
          <w:sz w:val="32"/>
          <w:szCs w:val="32"/>
          <w:highlight w:val="none"/>
          <w:lang w:val="en-US" w:eastAsia="zh-CN"/>
        </w:rPr>
        <w:t>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许昌市自然资源确权登记局</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8"/>
        <w:tblpPr w:leftFromText="180" w:rightFromText="180" w:vertAnchor="text" w:horzAnchor="page" w:tblpX="1453" w:tblpY="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60"/>
        <w:gridCol w:w="488"/>
        <w:gridCol w:w="3287"/>
        <w:gridCol w:w="3260"/>
        <w:gridCol w:w="488"/>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70" w:type="dxa"/>
            <w:gridSpan w:val="6"/>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3260" w:type="dxa"/>
            <w:noWrap w:val="0"/>
            <w:vAlign w:val="bottom"/>
          </w:tcPr>
          <w:p>
            <w:pPr>
              <w:rPr>
                <w:rFonts w:hint="default" w:ascii="Arial" w:hAnsi="Arial" w:cs="Arial"/>
                <w:i w:val="0"/>
                <w:color w:val="auto"/>
                <w:sz w:val="20"/>
                <w:szCs w:val="20"/>
                <w:highlight w:val="none"/>
                <w:u w:val="none"/>
              </w:rPr>
            </w:pPr>
          </w:p>
        </w:tc>
        <w:tc>
          <w:tcPr>
            <w:tcW w:w="488" w:type="dxa"/>
            <w:noWrap w:val="0"/>
            <w:vAlign w:val="bottom"/>
          </w:tcPr>
          <w:p>
            <w:pPr>
              <w:rPr>
                <w:rFonts w:hint="default" w:ascii="Arial" w:hAnsi="Arial" w:cs="Arial"/>
                <w:i w:val="0"/>
                <w:color w:val="auto"/>
                <w:sz w:val="20"/>
                <w:szCs w:val="20"/>
                <w:highlight w:val="none"/>
                <w:u w:val="none"/>
              </w:rPr>
            </w:pPr>
          </w:p>
        </w:tc>
        <w:tc>
          <w:tcPr>
            <w:tcW w:w="3287" w:type="dxa"/>
            <w:noWrap w:val="0"/>
            <w:vAlign w:val="bottom"/>
          </w:tcPr>
          <w:p>
            <w:pPr>
              <w:rPr>
                <w:rFonts w:hint="default" w:ascii="Arial" w:hAnsi="Arial" w:cs="Arial"/>
                <w:i w:val="0"/>
                <w:color w:val="auto"/>
                <w:sz w:val="20"/>
                <w:szCs w:val="20"/>
                <w:highlight w:val="none"/>
                <w:u w:val="none"/>
              </w:rPr>
            </w:pPr>
          </w:p>
        </w:tc>
        <w:tc>
          <w:tcPr>
            <w:tcW w:w="3260" w:type="dxa"/>
            <w:noWrap w:val="0"/>
            <w:vAlign w:val="bottom"/>
          </w:tcPr>
          <w:p>
            <w:pPr>
              <w:rPr>
                <w:rFonts w:hint="default" w:ascii="Arial" w:hAnsi="Arial" w:cs="Arial"/>
                <w:i w:val="0"/>
                <w:color w:val="auto"/>
                <w:sz w:val="20"/>
                <w:szCs w:val="20"/>
                <w:highlight w:val="none"/>
                <w:u w:val="none"/>
              </w:rPr>
            </w:pPr>
          </w:p>
        </w:tc>
        <w:tc>
          <w:tcPr>
            <w:tcW w:w="488" w:type="dxa"/>
            <w:noWrap w:val="0"/>
            <w:vAlign w:val="bottom"/>
          </w:tcPr>
          <w:p>
            <w:pPr>
              <w:rPr>
                <w:rFonts w:hint="default" w:ascii="Arial" w:hAnsi="Arial" w:cs="Arial"/>
                <w:i w:val="0"/>
                <w:color w:val="auto"/>
                <w:sz w:val="20"/>
                <w:szCs w:val="20"/>
                <w:highlight w:val="none"/>
                <w:u w:val="none"/>
              </w:rPr>
            </w:pPr>
          </w:p>
        </w:tc>
        <w:tc>
          <w:tcPr>
            <w:tcW w:w="3287"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3260" w:type="dxa"/>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p>
        </w:tc>
        <w:tc>
          <w:tcPr>
            <w:tcW w:w="488" w:type="dxa"/>
            <w:noWrap w:val="0"/>
            <w:vAlign w:val="bottom"/>
          </w:tcPr>
          <w:p>
            <w:pPr>
              <w:rPr>
                <w:rFonts w:hint="default" w:ascii="Arial" w:hAnsi="Arial" w:cs="Arial"/>
                <w:i w:val="0"/>
                <w:color w:val="auto"/>
                <w:sz w:val="20"/>
                <w:szCs w:val="20"/>
                <w:highlight w:val="none"/>
                <w:u w:val="none"/>
              </w:rPr>
            </w:pPr>
          </w:p>
        </w:tc>
        <w:tc>
          <w:tcPr>
            <w:tcW w:w="3287" w:type="dxa"/>
            <w:noWrap w:val="0"/>
            <w:vAlign w:val="bottom"/>
          </w:tcPr>
          <w:p>
            <w:pPr>
              <w:rPr>
                <w:rFonts w:hint="default" w:ascii="Arial" w:hAnsi="Arial" w:cs="Arial"/>
                <w:i w:val="0"/>
                <w:color w:val="auto"/>
                <w:sz w:val="20"/>
                <w:szCs w:val="20"/>
                <w:highlight w:val="none"/>
                <w:u w:val="none"/>
              </w:rPr>
            </w:pPr>
          </w:p>
        </w:tc>
        <w:tc>
          <w:tcPr>
            <w:tcW w:w="3260" w:type="dxa"/>
            <w:noWrap w:val="0"/>
            <w:vAlign w:val="bottom"/>
          </w:tcPr>
          <w:p>
            <w:pPr>
              <w:rPr>
                <w:rFonts w:hint="default" w:ascii="Arial" w:hAnsi="Arial" w:cs="Arial"/>
                <w:i w:val="0"/>
                <w:color w:val="auto"/>
                <w:sz w:val="20"/>
                <w:szCs w:val="20"/>
                <w:highlight w:val="none"/>
                <w:u w:val="none"/>
              </w:rPr>
            </w:pPr>
          </w:p>
        </w:tc>
        <w:tc>
          <w:tcPr>
            <w:tcW w:w="488" w:type="dxa"/>
            <w:noWrap w:val="0"/>
            <w:vAlign w:val="bottom"/>
          </w:tcPr>
          <w:p>
            <w:pPr>
              <w:rPr>
                <w:rFonts w:hint="default" w:ascii="Arial" w:hAnsi="Arial" w:cs="Arial"/>
                <w:i w:val="0"/>
                <w:color w:val="auto"/>
                <w:sz w:val="20"/>
                <w:szCs w:val="20"/>
                <w:highlight w:val="none"/>
                <w:u w:val="none"/>
              </w:rPr>
            </w:pPr>
          </w:p>
        </w:tc>
        <w:tc>
          <w:tcPr>
            <w:tcW w:w="3287"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0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收入</w:t>
            </w:r>
          </w:p>
        </w:tc>
        <w:tc>
          <w:tcPr>
            <w:tcW w:w="7035"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行次</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金额</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行次</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488"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488"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一、一般公共预算财政拨款收入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62.01</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一、一般公共服务支出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32</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二、政府性基金预算财政拨款收入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二、外交支出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33</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三、国有资本经营预算财政拨款收入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三、国防支出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34</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四、上级补助收入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四、公共安全支出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五、事业收入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五、教育支出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六、经营收入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六、科学技术支出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七、附属单位上缴收入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七、文化旅游体育与传媒支出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38</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八、其他收入</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八、社会保障和就业支出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九、卫生健康支出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40</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十、节能环保支出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十一、城乡社区支出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42</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59.76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十二、农林水支出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十三、交通运输支出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44</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十四、资源勘探工业信息等支出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十五、商业服务业等支出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十六、金融支出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47</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十七、援助其他地区支出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48</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十八、自然资源海洋气象等支出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49</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19</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十九、住房保障支出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50</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二十、粮油物资储备支出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51</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二十一、国有资本经营预算支出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二十二、灾害防治及应急管理支出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53</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23</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二十三、其他支出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二十四、债务还本支出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55</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二十五、债务付息支出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56</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26</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二十六、抗疫特别国债安排的支出</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57</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本年收入合计</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62.01</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本年支出合计</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58</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使用非财政拨款结余</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28</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结余分配</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59</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年初结转和结余</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29</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4.92</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年末结转和结余</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w:t>
            </w:r>
          </w:p>
        </w:tc>
        <w:tc>
          <w:tcPr>
            <w:tcW w:w="328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260"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61</w:t>
            </w:r>
          </w:p>
        </w:tc>
        <w:tc>
          <w:tcPr>
            <w:tcW w:w="3287"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6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总计</w:t>
            </w:r>
          </w:p>
        </w:tc>
        <w:tc>
          <w:tcPr>
            <w:tcW w:w="488" w:type="dxa"/>
            <w:tcBorders>
              <w:bottom w:val="single" w:color="000000" w:sz="12"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66.93</w:t>
            </w:r>
          </w:p>
        </w:tc>
        <w:tc>
          <w:tcPr>
            <w:tcW w:w="32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总计</w:t>
            </w:r>
          </w:p>
        </w:tc>
        <w:tc>
          <w:tcPr>
            <w:tcW w:w="48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w:t>
            </w:r>
          </w:p>
        </w:tc>
        <w:tc>
          <w:tcPr>
            <w:tcW w:w="32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070" w:type="dxa"/>
            <w:gridSpan w:val="6"/>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pPr w:leftFromText="180" w:rightFromText="180" w:vertAnchor="text" w:horzAnchor="page" w:tblpX="1422"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1"/>
        <w:gridCol w:w="3820"/>
        <w:gridCol w:w="1858"/>
        <w:gridCol w:w="956"/>
        <w:gridCol w:w="955"/>
        <w:gridCol w:w="955"/>
        <w:gridCol w:w="955"/>
        <w:gridCol w:w="955"/>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13740" w:type="dxa"/>
            <w:gridSpan w:val="9"/>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13740" w:type="dxa"/>
            <w:gridSpan w:val="9"/>
            <w:noWrap w:val="0"/>
            <w:vAlign w:val="bottom"/>
          </w:tcPr>
          <w:p>
            <w:pPr>
              <w:keepNext w:val="0"/>
              <w:keepLines w:val="0"/>
              <w:widowControl/>
              <w:suppressLineNumbers w:val="0"/>
              <w:jc w:val="right"/>
              <w:textAlignment w:val="bottom"/>
              <w:rPr>
                <w:rFonts w:hint="default" w:ascii="Arial" w:hAnsi="Arial" w:cs="Arial"/>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公开02表</w:t>
            </w:r>
          </w:p>
          <w:p>
            <w:pP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1858"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本年收入合计</w:t>
            </w:r>
          </w:p>
        </w:tc>
        <w:tc>
          <w:tcPr>
            <w:tcW w:w="956"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财政拨款收入</w:t>
            </w:r>
          </w:p>
        </w:tc>
        <w:tc>
          <w:tcPr>
            <w:tcW w:w="955"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上级补助收入</w:t>
            </w:r>
          </w:p>
        </w:tc>
        <w:tc>
          <w:tcPr>
            <w:tcW w:w="955"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事业收入</w:t>
            </w:r>
          </w:p>
        </w:tc>
        <w:tc>
          <w:tcPr>
            <w:tcW w:w="955"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经营收入</w:t>
            </w:r>
          </w:p>
        </w:tc>
        <w:tc>
          <w:tcPr>
            <w:tcW w:w="955"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附属单位上缴收入</w:t>
            </w:r>
          </w:p>
        </w:tc>
        <w:tc>
          <w:tcPr>
            <w:tcW w:w="955" w:type="dxa"/>
            <w:vMerge w:val="restart"/>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功能分类科目编码</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1858"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51"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51"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62.01</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62.01</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一般公共服务支出</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20129</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群众团体事务</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2012906</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工会事务</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社会保障和就业支出</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20805</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行政事业单位养老支出</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2080505</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机关事业单位基本养老保险缴费支出</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卫生健康支出</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行政事业单位医疗</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2101101</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行政单位医疗</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2101103</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公务员医疗补助</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城乡社区支出</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54.84</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w:t>
            </w:r>
          </w:p>
        </w:tc>
        <w:tc>
          <w:tcPr>
            <w:tcW w:w="382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城乡社区管理事务</w:t>
            </w:r>
          </w:p>
        </w:tc>
        <w:tc>
          <w:tcPr>
            <w:tcW w:w="1858"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54.84</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2120101</w:t>
            </w:r>
          </w:p>
        </w:tc>
        <w:tc>
          <w:tcPr>
            <w:tcW w:w="3820" w:type="dxa"/>
            <w:tcBorders>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行政运行</w:t>
            </w:r>
          </w:p>
        </w:tc>
        <w:tc>
          <w:tcPr>
            <w:tcW w:w="1858"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54.84</w:t>
            </w:r>
          </w:p>
        </w:tc>
        <w:tc>
          <w:tcPr>
            <w:tcW w:w="956"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54.84</w:t>
            </w:r>
          </w:p>
        </w:tc>
        <w:tc>
          <w:tcPr>
            <w:tcW w:w="955"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2120199</w:t>
            </w:r>
          </w:p>
        </w:tc>
        <w:tc>
          <w:tcPr>
            <w:tcW w:w="3820"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其他城乡社区管理事务支出</w:t>
            </w:r>
          </w:p>
        </w:tc>
        <w:tc>
          <w:tcPr>
            <w:tcW w:w="1858"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956"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top w:val="single" w:color="auto"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5"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740" w:type="dxa"/>
            <w:gridSpan w:val="9"/>
            <w:tcBorders>
              <w:top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2"/>
        <w:gridCol w:w="3888"/>
        <w:gridCol w:w="1787"/>
        <w:gridCol w:w="956"/>
        <w:gridCol w:w="954"/>
        <w:gridCol w:w="954"/>
        <w:gridCol w:w="1651"/>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22" w:type="dxa"/>
            <w:gridSpan w:val="8"/>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022" w:type="dxa"/>
            <w:gridSpan w:val="8"/>
            <w:noWrap w:val="0"/>
            <w:vAlign w:val="bottom"/>
          </w:tcPr>
          <w:p>
            <w:pP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公开03表</w:t>
            </w:r>
            <w:r>
              <w:rPr>
                <w:rFonts w:hint="eastAsia" w:ascii="宋体" w:hAnsi="宋体" w:cs="宋体"/>
                <w:i w:val="0"/>
                <w:color w:val="auto"/>
                <w:kern w:val="0"/>
                <w:sz w:val="18"/>
                <w:szCs w:val="18"/>
                <w:highlight w:val="none"/>
                <w:u w:val="none"/>
                <w:lang w:val="en-US" w:eastAsia="zh-CN" w:bidi="ar"/>
              </w:rPr>
              <w:t xml:space="preserve">                          </w:t>
            </w:r>
          </w:p>
          <w:p>
            <w:pP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1787"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本年支出合计</w:t>
            </w:r>
          </w:p>
        </w:tc>
        <w:tc>
          <w:tcPr>
            <w:tcW w:w="95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基本支出</w:t>
            </w:r>
          </w:p>
        </w:tc>
        <w:tc>
          <w:tcPr>
            <w:tcW w:w="954"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项目支出</w:t>
            </w:r>
          </w:p>
        </w:tc>
        <w:tc>
          <w:tcPr>
            <w:tcW w:w="954"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上缴上级支出</w:t>
            </w:r>
          </w:p>
        </w:tc>
        <w:tc>
          <w:tcPr>
            <w:tcW w:w="1651"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经营支出</w:t>
            </w:r>
          </w:p>
        </w:tc>
        <w:tc>
          <w:tcPr>
            <w:tcW w:w="1500"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2"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功能分类科目编码</w:t>
            </w:r>
          </w:p>
        </w:tc>
        <w:tc>
          <w:tcPr>
            <w:tcW w:w="3888"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1787"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6"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65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50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888"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787"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6"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65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50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888"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787"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6"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65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50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20"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20"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66.93</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66.93</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auto"/>
                <w:sz w:val="21"/>
                <w:szCs w:val="21"/>
                <w:highlight w:val="none"/>
                <w:u w:val="none"/>
                <w:lang w:val="en-US"/>
              </w:rPr>
            </w:pPr>
            <w:r>
              <w:rPr>
                <w:rFonts w:hint="eastAsia" w:ascii="宋体" w:hAnsi="宋体" w:eastAsia="宋体" w:cs="宋体"/>
                <w:b/>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一般公共服务支出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20129</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群众团体事务</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2012906</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工会事务</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20199</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其他一般公共服务支出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2019999</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其他一般公共服务支出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社会保障和就业支出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20805</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行政事业单位养老支出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2080505</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机关事业单位基本养老保险缴费支出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卫生健康支出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行政事业单位医疗</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2101101</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行政单位医疗</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2101103</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公务员医疗补助</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城乡社区支出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城乡社区管理事务</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2120101</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行政运行</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2120102</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一般行政管理事务</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2120199</w:t>
            </w:r>
          </w:p>
        </w:tc>
        <w:tc>
          <w:tcPr>
            <w:tcW w:w="3888"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其他城乡社区管理事务支出</w:t>
            </w:r>
          </w:p>
        </w:tc>
        <w:tc>
          <w:tcPr>
            <w:tcW w:w="1787"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65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5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022" w:type="dxa"/>
            <w:gridSpan w:val="8"/>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76"/>
        <w:gridCol w:w="468"/>
        <w:gridCol w:w="1943"/>
        <w:gridCol w:w="555"/>
        <w:gridCol w:w="2758"/>
        <w:gridCol w:w="469"/>
        <w:gridCol w:w="1349"/>
        <w:gridCol w:w="826"/>
        <w:gridCol w:w="1322"/>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022" w:type="dxa"/>
            <w:gridSpan w:val="10"/>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2476" w:type="dxa"/>
            <w:noWrap w:val="0"/>
            <w:vAlign w:val="bottom"/>
          </w:tcPr>
          <w:p>
            <w:pPr>
              <w:rPr>
                <w:rFonts w:hint="default" w:ascii="Arial" w:hAnsi="Arial" w:cs="Arial"/>
                <w:i w:val="0"/>
                <w:color w:val="auto"/>
                <w:sz w:val="18"/>
                <w:szCs w:val="18"/>
                <w:highlight w:val="none"/>
                <w:u w:val="none"/>
              </w:rPr>
            </w:pPr>
          </w:p>
        </w:tc>
        <w:tc>
          <w:tcPr>
            <w:tcW w:w="468" w:type="dxa"/>
            <w:noWrap w:val="0"/>
            <w:vAlign w:val="bottom"/>
          </w:tcPr>
          <w:p>
            <w:pPr>
              <w:rPr>
                <w:rFonts w:hint="default" w:ascii="Arial" w:hAnsi="Arial" w:cs="Arial"/>
                <w:i w:val="0"/>
                <w:color w:val="auto"/>
                <w:sz w:val="18"/>
                <w:szCs w:val="18"/>
                <w:highlight w:val="none"/>
                <w:u w:val="none"/>
              </w:rPr>
            </w:pPr>
          </w:p>
        </w:tc>
        <w:tc>
          <w:tcPr>
            <w:tcW w:w="2498" w:type="dxa"/>
            <w:gridSpan w:val="2"/>
            <w:noWrap w:val="0"/>
            <w:vAlign w:val="bottom"/>
          </w:tcPr>
          <w:p>
            <w:pPr>
              <w:rPr>
                <w:rFonts w:hint="default" w:ascii="Arial" w:hAnsi="Arial" w:cs="Arial"/>
                <w:i w:val="0"/>
                <w:color w:val="auto"/>
                <w:sz w:val="18"/>
                <w:szCs w:val="18"/>
                <w:highlight w:val="none"/>
                <w:u w:val="none"/>
              </w:rPr>
            </w:pPr>
          </w:p>
        </w:tc>
        <w:tc>
          <w:tcPr>
            <w:tcW w:w="2758" w:type="dxa"/>
            <w:noWrap w:val="0"/>
            <w:vAlign w:val="bottom"/>
          </w:tcPr>
          <w:p>
            <w:pPr>
              <w:rPr>
                <w:rFonts w:hint="default" w:ascii="Arial" w:hAnsi="Arial" w:cs="Arial"/>
                <w:i w:val="0"/>
                <w:color w:val="auto"/>
                <w:sz w:val="18"/>
                <w:szCs w:val="18"/>
                <w:highlight w:val="none"/>
                <w:u w:val="none"/>
              </w:rPr>
            </w:pPr>
          </w:p>
        </w:tc>
        <w:tc>
          <w:tcPr>
            <w:tcW w:w="469" w:type="dxa"/>
            <w:noWrap w:val="0"/>
            <w:vAlign w:val="bottom"/>
          </w:tcPr>
          <w:p>
            <w:pPr>
              <w:rPr>
                <w:rFonts w:hint="default" w:ascii="Arial" w:hAnsi="Arial" w:cs="Arial"/>
                <w:i w:val="0"/>
                <w:color w:val="auto"/>
                <w:sz w:val="18"/>
                <w:szCs w:val="18"/>
                <w:highlight w:val="none"/>
                <w:u w:val="none"/>
              </w:rPr>
            </w:pPr>
          </w:p>
        </w:tc>
        <w:tc>
          <w:tcPr>
            <w:tcW w:w="1349" w:type="dxa"/>
            <w:noWrap w:val="0"/>
            <w:vAlign w:val="bottom"/>
          </w:tcPr>
          <w:p>
            <w:pPr>
              <w:rPr>
                <w:rFonts w:hint="default" w:ascii="Arial" w:hAnsi="Arial" w:cs="Arial"/>
                <w:i w:val="0"/>
                <w:color w:val="auto"/>
                <w:sz w:val="18"/>
                <w:szCs w:val="18"/>
                <w:highlight w:val="none"/>
                <w:u w:val="none"/>
              </w:rPr>
            </w:pPr>
          </w:p>
        </w:tc>
        <w:tc>
          <w:tcPr>
            <w:tcW w:w="826" w:type="dxa"/>
            <w:noWrap w:val="0"/>
            <w:vAlign w:val="bottom"/>
          </w:tcPr>
          <w:p>
            <w:pPr>
              <w:rPr>
                <w:rFonts w:hint="default" w:ascii="Arial" w:hAnsi="Arial" w:cs="Arial"/>
                <w:i w:val="0"/>
                <w:color w:val="auto"/>
                <w:sz w:val="18"/>
                <w:szCs w:val="18"/>
                <w:highlight w:val="none"/>
                <w:u w:val="none"/>
              </w:rPr>
            </w:pPr>
          </w:p>
        </w:tc>
        <w:tc>
          <w:tcPr>
            <w:tcW w:w="1322" w:type="dxa"/>
            <w:noWrap w:val="0"/>
            <w:vAlign w:val="bottom"/>
          </w:tcPr>
          <w:p>
            <w:pPr>
              <w:rPr>
                <w:rFonts w:hint="default" w:ascii="Arial" w:hAnsi="Arial" w:cs="Arial"/>
                <w:i w:val="0"/>
                <w:color w:val="auto"/>
                <w:sz w:val="18"/>
                <w:szCs w:val="18"/>
                <w:highlight w:val="none"/>
                <w:u w:val="none"/>
              </w:rPr>
            </w:pPr>
          </w:p>
        </w:tc>
        <w:tc>
          <w:tcPr>
            <w:tcW w:w="1856"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 w:hRule="atLeast"/>
        </w:trPr>
        <w:tc>
          <w:tcPr>
            <w:tcW w:w="5442" w:type="dxa"/>
            <w:gridSpan w:val="4"/>
            <w:noWrap w:val="0"/>
            <w:vAlign w:val="bottom"/>
          </w:tcPr>
          <w:p>
            <w:pPr>
              <w:rPr>
                <w:rFonts w:hint="default" w:ascii="Arial" w:hAnsi="Arial" w:cs="Arial"/>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p>
        </w:tc>
        <w:tc>
          <w:tcPr>
            <w:tcW w:w="2758" w:type="dxa"/>
            <w:noWrap w:val="0"/>
            <w:vAlign w:val="bottom"/>
          </w:tcPr>
          <w:p>
            <w:pPr>
              <w:rPr>
                <w:rFonts w:hint="default" w:ascii="Arial" w:hAnsi="Arial" w:cs="Arial"/>
                <w:i w:val="0"/>
                <w:color w:val="auto"/>
                <w:sz w:val="18"/>
                <w:szCs w:val="18"/>
                <w:highlight w:val="none"/>
                <w:u w:val="none"/>
              </w:rPr>
            </w:pPr>
          </w:p>
        </w:tc>
        <w:tc>
          <w:tcPr>
            <w:tcW w:w="469" w:type="dxa"/>
            <w:noWrap w:val="0"/>
            <w:vAlign w:val="bottom"/>
          </w:tcPr>
          <w:p>
            <w:pPr>
              <w:rPr>
                <w:rFonts w:hint="default" w:ascii="Arial" w:hAnsi="Arial" w:cs="Arial"/>
                <w:i w:val="0"/>
                <w:color w:val="auto"/>
                <w:sz w:val="18"/>
                <w:szCs w:val="18"/>
                <w:highlight w:val="none"/>
                <w:u w:val="none"/>
              </w:rPr>
            </w:pPr>
          </w:p>
        </w:tc>
        <w:tc>
          <w:tcPr>
            <w:tcW w:w="1349" w:type="dxa"/>
            <w:noWrap w:val="0"/>
            <w:vAlign w:val="bottom"/>
          </w:tcPr>
          <w:p>
            <w:pPr>
              <w:rPr>
                <w:rFonts w:hint="default" w:ascii="Arial" w:hAnsi="Arial" w:cs="Arial"/>
                <w:i w:val="0"/>
                <w:color w:val="auto"/>
                <w:sz w:val="18"/>
                <w:szCs w:val="18"/>
                <w:highlight w:val="none"/>
                <w:u w:val="none"/>
              </w:rPr>
            </w:pPr>
          </w:p>
        </w:tc>
        <w:tc>
          <w:tcPr>
            <w:tcW w:w="826" w:type="dxa"/>
            <w:noWrap w:val="0"/>
            <w:vAlign w:val="bottom"/>
          </w:tcPr>
          <w:p>
            <w:pPr>
              <w:rPr>
                <w:rFonts w:hint="default" w:ascii="Arial" w:hAnsi="Arial" w:cs="Arial"/>
                <w:i w:val="0"/>
                <w:color w:val="auto"/>
                <w:sz w:val="18"/>
                <w:szCs w:val="18"/>
                <w:highlight w:val="none"/>
                <w:u w:val="none"/>
              </w:rPr>
            </w:pPr>
          </w:p>
        </w:tc>
        <w:tc>
          <w:tcPr>
            <w:tcW w:w="1322" w:type="dxa"/>
            <w:noWrap w:val="0"/>
            <w:vAlign w:val="bottom"/>
          </w:tcPr>
          <w:p>
            <w:pPr>
              <w:rPr>
                <w:rFonts w:hint="default" w:ascii="Arial" w:hAnsi="Arial" w:cs="Arial"/>
                <w:i w:val="0"/>
                <w:color w:val="auto"/>
                <w:sz w:val="18"/>
                <w:szCs w:val="18"/>
                <w:highlight w:val="none"/>
                <w:u w:val="none"/>
              </w:rPr>
            </w:pPr>
          </w:p>
        </w:tc>
        <w:tc>
          <w:tcPr>
            <w:tcW w:w="1856"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48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收     入</w:t>
            </w:r>
          </w:p>
        </w:tc>
        <w:tc>
          <w:tcPr>
            <w:tcW w:w="9135" w:type="dxa"/>
            <w:gridSpan w:val="7"/>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76"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468"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行次</w:t>
            </w:r>
          </w:p>
        </w:tc>
        <w:tc>
          <w:tcPr>
            <w:tcW w:w="194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金额</w:t>
            </w:r>
          </w:p>
        </w:tc>
        <w:tc>
          <w:tcPr>
            <w:tcW w:w="3313" w:type="dxa"/>
            <w:gridSpan w:val="2"/>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469"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行次</w:t>
            </w:r>
          </w:p>
        </w:tc>
        <w:tc>
          <w:tcPr>
            <w:tcW w:w="1349"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826"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一般公共预算财政拨款</w:t>
            </w:r>
          </w:p>
        </w:tc>
        <w:tc>
          <w:tcPr>
            <w:tcW w:w="1322"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政府性基金预算财政拨款</w:t>
            </w:r>
          </w:p>
        </w:tc>
        <w:tc>
          <w:tcPr>
            <w:tcW w:w="1856"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1" w:hRule="atLeast"/>
        </w:trPr>
        <w:tc>
          <w:tcPr>
            <w:tcW w:w="247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468"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94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313" w:type="dxa"/>
            <w:gridSpan w:val="2"/>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469"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349"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82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322"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85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468"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469"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一、一般公共预算财政拨款</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62.01</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一、一般公共服务支出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33</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0.29</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0.29</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二、政府性基金预算财政拨款</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二、外交支出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34</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三、国有资本经营财政拨款</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三、国防支出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四、公共安全支出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五、教育支出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六、科学技术支出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38</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七、文化旅游体育与传媒支出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八、社会保障和就业支出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40</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3.35</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3.35</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九、卫生健康支出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3.54</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3.54</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十、节能环保支出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42</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十一、城乡社区支出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59.76</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59.76</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十二、农林水支出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44</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十三、交通运输支出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十四、资源勘探工业信息等支出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十五、商业服务业等支出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47</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十六、金融支出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48</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十七、援助其他地区支出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49</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十八、自然资源海洋气象等支出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50</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19</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十九、住房保障支出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51</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二十、粮油物资储备支出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二十一、国有资本经营预算支出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53</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二十二、灾害防治及应急管理支出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23</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二十三、其他支出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55</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二十四、债务还本支出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56</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二十五、债务付息支出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57</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26</w:t>
            </w:r>
          </w:p>
        </w:tc>
        <w:tc>
          <w:tcPr>
            <w:tcW w:w="194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二十六、抗疫特别国债安排的支出</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58</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本年收入合计</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62.01</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本年支出合计</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59</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66.93</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66.93</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年初财政拨款结转和结余</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28</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4.92</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年末财政拨款结转和结余</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一般公共预算财政拨款</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29</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4.92</w:t>
            </w:r>
          </w:p>
        </w:tc>
        <w:tc>
          <w:tcPr>
            <w:tcW w:w="3313" w:type="dxa"/>
            <w:gridSpan w:val="2"/>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61</w:t>
            </w:r>
          </w:p>
        </w:tc>
        <w:tc>
          <w:tcPr>
            <w:tcW w:w="134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82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132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185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政府性基金预算财政拨款</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313" w:type="dxa"/>
            <w:gridSpan w:val="2"/>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w:t>
            </w:r>
          </w:p>
        </w:tc>
        <w:tc>
          <w:tcPr>
            <w:tcW w:w="134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82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132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185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国有资本经营预算财政拨款</w:t>
            </w:r>
          </w:p>
        </w:tc>
        <w:tc>
          <w:tcPr>
            <w:tcW w:w="468"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3313" w:type="dxa"/>
            <w:gridSpan w:val="2"/>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63</w:t>
            </w:r>
          </w:p>
        </w:tc>
        <w:tc>
          <w:tcPr>
            <w:tcW w:w="134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82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132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1856"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4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总计</w:t>
            </w:r>
          </w:p>
        </w:tc>
        <w:tc>
          <w:tcPr>
            <w:tcW w:w="468" w:type="dxa"/>
            <w:tcBorders>
              <w:bottom w:val="single" w:color="000000" w:sz="12"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32</w:t>
            </w:r>
          </w:p>
        </w:tc>
        <w:tc>
          <w:tcPr>
            <w:tcW w:w="194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66.93</w:t>
            </w:r>
          </w:p>
        </w:tc>
        <w:tc>
          <w:tcPr>
            <w:tcW w:w="3313"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总计</w:t>
            </w:r>
          </w:p>
        </w:tc>
        <w:tc>
          <w:tcPr>
            <w:tcW w:w="469"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64</w:t>
            </w:r>
          </w:p>
        </w:tc>
        <w:tc>
          <w:tcPr>
            <w:tcW w:w="134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66.93</w:t>
            </w:r>
          </w:p>
        </w:tc>
        <w:tc>
          <w:tcPr>
            <w:tcW w:w="82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66.93</w:t>
            </w:r>
          </w:p>
        </w:tc>
        <w:tc>
          <w:tcPr>
            <w:tcW w:w="1322"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185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trPr>
        <w:tc>
          <w:tcPr>
            <w:tcW w:w="12166" w:type="dxa"/>
            <w:gridSpan w:val="9"/>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本年度一般公共预算财政拨款和政府性基金预算财政拨款的总收支和年末结转结余情况。本表金额转换为万元时，因四舍五入可能存在尾差。</w:t>
            </w:r>
          </w:p>
        </w:tc>
        <w:tc>
          <w:tcPr>
            <w:tcW w:w="1856" w:type="dxa"/>
            <w:noWrap w:val="0"/>
            <w:vAlign w:val="center"/>
          </w:tcPr>
          <w:p>
            <w:pPr>
              <w:jc w:val="left"/>
              <w:rPr>
                <w:rFonts w:hint="eastAsia" w:ascii="宋体" w:hAnsi="宋体" w:eastAsia="宋体" w:cs="宋体"/>
                <w:i w:val="0"/>
                <w:color w:val="auto"/>
                <w:sz w:val="21"/>
                <w:szCs w:val="21"/>
                <w:highlight w:val="none"/>
                <w:u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02"/>
        <w:gridCol w:w="3986"/>
        <w:gridCol w:w="2363"/>
        <w:gridCol w:w="2231"/>
        <w:gridCol w:w="2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13977" w:type="dxa"/>
            <w:gridSpan w:val="5"/>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6488" w:type="dxa"/>
            <w:gridSpan w:val="2"/>
            <w:vMerge w:val="restart"/>
            <w:noWrap w:val="0"/>
            <w:vAlign w:val="bottom"/>
          </w:tcPr>
          <w:p>
            <w:pPr>
              <w:rPr>
                <w:rFonts w:hint="default" w:ascii="Arial" w:hAnsi="Arial" w:cs="Arial"/>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p>
        </w:tc>
        <w:tc>
          <w:tcPr>
            <w:tcW w:w="2363" w:type="dxa"/>
            <w:noWrap w:val="0"/>
            <w:vAlign w:val="bottom"/>
          </w:tcPr>
          <w:p>
            <w:pPr>
              <w:rPr>
                <w:rFonts w:hint="default" w:ascii="Arial" w:hAnsi="Arial" w:cs="Arial"/>
                <w:i w:val="0"/>
                <w:color w:val="auto"/>
                <w:sz w:val="20"/>
                <w:szCs w:val="20"/>
                <w:highlight w:val="none"/>
                <w:u w:val="none"/>
              </w:rPr>
            </w:pPr>
          </w:p>
        </w:tc>
        <w:tc>
          <w:tcPr>
            <w:tcW w:w="2231" w:type="dxa"/>
            <w:noWrap w:val="0"/>
            <w:vAlign w:val="bottom"/>
          </w:tcPr>
          <w:p>
            <w:pPr>
              <w:rPr>
                <w:rFonts w:hint="default" w:ascii="Arial" w:hAnsi="Arial" w:cs="Arial"/>
                <w:i w:val="0"/>
                <w:color w:val="auto"/>
                <w:sz w:val="20"/>
                <w:szCs w:val="20"/>
                <w:highlight w:val="none"/>
                <w:u w:val="none"/>
              </w:rPr>
            </w:pPr>
          </w:p>
        </w:tc>
        <w:tc>
          <w:tcPr>
            <w:tcW w:w="2895"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488" w:type="dxa"/>
            <w:gridSpan w:val="2"/>
            <w:vMerge w:val="continue"/>
            <w:noWrap w:val="0"/>
            <w:vAlign w:val="bottom"/>
          </w:tcPr>
          <w:p>
            <w:pPr>
              <w:rPr>
                <w:rFonts w:hint="default" w:ascii="Arial" w:hAnsi="Arial" w:cs="Arial"/>
                <w:i w:val="0"/>
                <w:color w:val="auto"/>
                <w:sz w:val="20"/>
                <w:szCs w:val="20"/>
                <w:highlight w:val="none"/>
                <w:u w:val="none"/>
              </w:rPr>
            </w:pPr>
          </w:p>
        </w:tc>
        <w:tc>
          <w:tcPr>
            <w:tcW w:w="2363" w:type="dxa"/>
            <w:noWrap w:val="0"/>
            <w:vAlign w:val="bottom"/>
          </w:tcPr>
          <w:p>
            <w:pPr>
              <w:rPr>
                <w:rFonts w:hint="default" w:ascii="Arial" w:hAnsi="Arial" w:cs="Arial"/>
                <w:i w:val="0"/>
                <w:color w:val="auto"/>
                <w:sz w:val="20"/>
                <w:szCs w:val="20"/>
                <w:highlight w:val="none"/>
                <w:u w:val="none"/>
              </w:rPr>
            </w:pPr>
          </w:p>
        </w:tc>
        <w:tc>
          <w:tcPr>
            <w:tcW w:w="2231" w:type="dxa"/>
            <w:noWrap w:val="0"/>
            <w:vAlign w:val="bottom"/>
          </w:tcPr>
          <w:p>
            <w:pPr>
              <w:rPr>
                <w:rFonts w:hint="default" w:ascii="Arial" w:hAnsi="Arial" w:cs="Arial"/>
                <w:i w:val="0"/>
                <w:color w:val="auto"/>
                <w:sz w:val="20"/>
                <w:szCs w:val="20"/>
                <w:highlight w:val="none"/>
                <w:u w:val="none"/>
              </w:rPr>
            </w:pPr>
          </w:p>
        </w:tc>
        <w:tc>
          <w:tcPr>
            <w:tcW w:w="2895"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64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7489"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功能分类科目编码</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小计</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基本支出</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6488"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6488"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66.93</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66.93</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i w:val="0"/>
                <w:color w:val="auto"/>
                <w:sz w:val="21"/>
                <w:szCs w:val="21"/>
                <w:highlight w:val="none"/>
                <w:u w:val="none"/>
                <w:lang w:val="en-US"/>
              </w:rPr>
            </w:pPr>
            <w:r>
              <w:rPr>
                <w:rFonts w:hint="eastAsia" w:ascii="宋体" w:hAnsi="宋体" w:eastAsia="宋体" w:cs="宋体"/>
                <w:b/>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一般公共服务支出</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20129</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群众团体事务</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2012906</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工会事务</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社会保障和就业支出</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20805</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行政事业单位养老支出</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2080505</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机关事业单位基本养老保险缴费支出</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卫生健康支出</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行政事业单位医疗</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2101101</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行政单位医疗</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2101103</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公务员医疗补助</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城乡社区支出</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城乡社区管理事务</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250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2120101</w:t>
            </w:r>
          </w:p>
        </w:tc>
        <w:tc>
          <w:tcPr>
            <w:tcW w:w="3986"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行政运行</w:t>
            </w:r>
          </w:p>
        </w:tc>
        <w:tc>
          <w:tcPr>
            <w:tcW w:w="23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2231"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59.76</w:t>
            </w:r>
          </w:p>
        </w:tc>
        <w:tc>
          <w:tcPr>
            <w:tcW w:w="28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0" w:hRule="atLeast"/>
        </w:trPr>
        <w:tc>
          <w:tcPr>
            <w:tcW w:w="13977" w:type="dxa"/>
            <w:gridSpan w:val="5"/>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本年度一般公共预算财政拨款支出情况。本表金额转换为万元时，因四舍五入可能存在尾差。</w:t>
            </w:r>
          </w:p>
        </w:tc>
      </w:tr>
    </w:tbl>
    <w:p>
      <w:pPr>
        <w:rPr>
          <w:rFonts w:hint="eastAsia" w:ascii="宋体" w:hAnsi="宋体" w:eastAsia="宋体" w:cs="宋体"/>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2700"/>
        <w:gridCol w:w="1140"/>
        <w:gridCol w:w="735"/>
        <w:gridCol w:w="2775"/>
        <w:gridCol w:w="1155"/>
        <w:gridCol w:w="735"/>
        <w:gridCol w:w="354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730" w:type="dxa"/>
            <w:gridSpan w:val="9"/>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w:t>
            </w:r>
            <w:r>
              <w:rPr>
                <w:rFonts w:hint="eastAsia" w:ascii="宋体" w:hAnsi="宋体" w:cs="宋体"/>
                <w:i w:val="0"/>
                <w:color w:val="auto"/>
                <w:kern w:val="0"/>
                <w:sz w:val="30"/>
                <w:szCs w:val="30"/>
                <w:highlight w:val="none"/>
                <w:u w:val="none"/>
                <w:lang w:val="en-US" w:eastAsia="zh-CN" w:bidi="ar"/>
              </w:rPr>
              <w:t>明细</w:t>
            </w:r>
            <w:r>
              <w:rPr>
                <w:rFonts w:hint="eastAsia" w:ascii="宋体" w:hAnsi="宋体" w:eastAsia="宋体" w:cs="宋体"/>
                <w:i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310" w:type="dxa"/>
            <w:gridSpan w:val="4"/>
            <w:vMerge w:val="restart"/>
            <w:noWrap w:val="0"/>
            <w:vAlign w:val="bottom"/>
          </w:tcPr>
          <w:p>
            <w:pP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p>
        </w:tc>
        <w:tc>
          <w:tcPr>
            <w:tcW w:w="2775" w:type="dxa"/>
            <w:noWrap w:val="0"/>
            <w:vAlign w:val="bottom"/>
          </w:tcPr>
          <w:p>
            <w:pPr>
              <w:rPr>
                <w:rFonts w:hint="eastAsia" w:ascii="宋体" w:hAnsi="宋体" w:eastAsia="宋体" w:cs="宋体"/>
                <w:i w:val="0"/>
                <w:color w:val="auto"/>
                <w:sz w:val="20"/>
                <w:szCs w:val="20"/>
                <w:highlight w:val="none"/>
                <w:u w:val="none"/>
              </w:rPr>
            </w:pPr>
          </w:p>
        </w:tc>
        <w:tc>
          <w:tcPr>
            <w:tcW w:w="1155" w:type="dxa"/>
            <w:noWrap w:val="0"/>
            <w:vAlign w:val="bottom"/>
          </w:tcPr>
          <w:p>
            <w:pPr>
              <w:rPr>
                <w:rFonts w:hint="eastAsia" w:ascii="宋体" w:hAnsi="宋体" w:eastAsia="宋体" w:cs="宋体"/>
                <w:i w:val="0"/>
                <w:color w:val="auto"/>
                <w:sz w:val="20"/>
                <w:szCs w:val="20"/>
                <w:highlight w:val="none"/>
                <w:u w:val="none"/>
              </w:rPr>
            </w:pPr>
          </w:p>
        </w:tc>
        <w:tc>
          <w:tcPr>
            <w:tcW w:w="735" w:type="dxa"/>
            <w:noWrap w:val="0"/>
            <w:vAlign w:val="bottom"/>
          </w:tcPr>
          <w:p>
            <w:pPr>
              <w:rPr>
                <w:rFonts w:hint="eastAsia" w:ascii="宋体" w:hAnsi="宋体" w:eastAsia="宋体" w:cs="宋体"/>
                <w:i w:val="0"/>
                <w:color w:val="auto"/>
                <w:sz w:val="20"/>
                <w:szCs w:val="20"/>
                <w:highlight w:val="none"/>
                <w:u w:val="none"/>
              </w:rPr>
            </w:pPr>
          </w:p>
        </w:tc>
        <w:tc>
          <w:tcPr>
            <w:tcW w:w="3540" w:type="dxa"/>
            <w:noWrap w:val="0"/>
            <w:vAlign w:val="bottom"/>
          </w:tcPr>
          <w:p>
            <w:pPr>
              <w:rPr>
                <w:rFonts w:hint="eastAsia" w:ascii="宋体" w:hAnsi="宋体" w:eastAsia="宋体" w:cs="宋体"/>
                <w:i w:val="0"/>
                <w:color w:val="auto"/>
                <w:sz w:val="20"/>
                <w:szCs w:val="20"/>
                <w:highlight w:val="none"/>
                <w:u w:val="none"/>
              </w:rPr>
            </w:pPr>
          </w:p>
        </w:tc>
        <w:tc>
          <w:tcPr>
            <w:tcW w:w="1215"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310" w:type="dxa"/>
            <w:gridSpan w:val="4"/>
            <w:vMerge w:val="continue"/>
            <w:noWrap w:val="0"/>
            <w:vAlign w:val="bottom"/>
          </w:tcPr>
          <w:p>
            <w:pPr>
              <w:rPr>
                <w:rFonts w:hint="eastAsia" w:ascii="宋体" w:hAnsi="宋体" w:eastAsia="宋体" w:cs="宋体"/>
                <w:i w:val="0"/>
                <w:color w:val="auto"/>
                <w:sz w:val="20"/>
                <w:szCs w:val="20"/>
                <w:highlight w:val="none"/>
                <w:u w:val="none"/>
              </w:rPr>
            </w:pPr>
          </w:p>
        </w:tc>
        <w:tc>
          <w:tcPr>
            <w:tcW w:w="2775" w:type="dxa"/>
            <w:noWrap w:val="0"/>
            <w:vAlign w:val="bottom"/>
          </w:tcPr>
          <w:p>
            <w:pPr>
              <w:rPr>
                <w:rFonts w:hint="eastAsia" w:ascii="宋体" w:hAnsi="宋体" w:eastAsia="宋体" w:cs="宋体"/>
                <w:i w:val="0"/>
                <w:color w:val="auto"/>
                <w:sz w:val="20"/>
                <w:szCs w:val="20"/>
                <w:highlight w:val="none"/>
                <w:u w:val="none"/>
              </w:rPr>
            </w:pPr>
          </w:p>
        </w:tc>
        <w:tc>
          <w:tcPr>
            <w:tcW w:w="1155" w:type="dxa"/>
            <w:noWrap w:val="0"/>
            <w:vAlign w:val="bottom"/>
          </w:tcPr>
          <w:p>
            <w:pPr>
              <w:rPr>
                <w:rFonts w:hint="eastAsia" w:ascii="宋体" w:hAnsi="宋体" w:eastAsia="宋体" w:cs="宋体"/>
                <w:i w:val="0"/>
                <w:color w:val="auto"/>
                <w:sz w:val="20"/>
                <w:szCs w:val="20"/>
                <w:highlight w:val="none"/>
                <w:u w:val="none"/>
              </w:rPr>
            </w:pPr>
          </w:p>
        </w:tc>
        <w:tc>
          <w:tcPr>
            <w:tcW w:w="735" w:type="dxa"/>
            <w:noWrap w:val="0"/>
            <w:vAlign w:val="bottom"/>
          </w:tcPr>
          <w:p>
            <w:pPr>
              <w:rPr>
                <w:rFonts w:hint="eastAsia" w:ascii="宋体" w:hAnsi="宋体" w:eastAsia="宋体" w:cs="宋体"/>
                <w:i w:val="0"/>
                <w:color w:val="auto"/>
                <w:sz w:val="20"/>
                <w:szCs w:val="20"/>
                <w:highlight w:val="none"/>
                <w:u w:val="none"/>
              </w:rPr>
            </w:pPr>
          </w:p>
        </w:tc>
        <w:tc>
          <w:tcPr>
            <w:tcW w:w="3540" w:type="dxa"/>
            <w:noWrap w:val="0"/>
            <w:vAlign w:val="bottom"/>
          </w:tcPr>
          <w:p>
            <w:pPr>
              <w:rPr>
                <w:rFonts w:hint="eastAsia" w:ascii="宋体" w:hAnsi="宋体" w:eastAsia="宋体" w:cs="宋体"/>
                <w:i w:val="0"/>
                <w:color w:val="auto"/>
                <w:sz w:val="20"/>
                <w:szCs w:val="20"/>
                <w:highlight w:val="none"/>
                <w:u w:val="none"/>
              </w:rPr>
            </w:pPr>
          </w:p>
        </w:tc>
        <w:tc>
          <w:tcPr>
            <w:tcW w:w="1215"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45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人员经费</w:t>
            </w:r>
          </w:p>
        </w:tc>
        <w:tc>
          <w:tcPr>
            <w:tcW w:w="10155" w:type="dxa"/>
            <w:gridSpan w:val="6"/>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35"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科目编码</w:t>
            </w:r>
          </w:p>
        </w:tc>
        <w:tc>
          <w:tcPr>
            <w:tcW w:w="270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114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决算数</w:t>
            </w:r>
          </w:p>
        </w:tc>
        <w:tc>
          <w:tcPr>
            <w:tcW w:w="73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科目编码</w:t>
            </w:r>
          </w:p>
        </w:tc>
        <w:tc>
          <w:tcPr>
            <w:tcW w:w="27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115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决算数</w:t>
            </w:r>
          </w:p>
        </w:tc>
        <w:tc>
          <w:tcPr>
            <w:tcW w:w="73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科目编码</w:t>
            </w:r>
          </w:p>
        </w:tc>
        <w:tc>
          <w:tcPr>
            <w:tcW w:w="354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121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3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270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14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73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27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15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73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54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21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工资福利支出</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62.78</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商品和服务支出</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307</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债务利息及费用支出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30101</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基本工资</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30201</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办公费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30701</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国内债务付息</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30102</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津贴补贴</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14.63</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30202</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印刷费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30702</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国外债务付息</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30103</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奖金</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22.91</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30203</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咨询费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资本性支出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30106</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伙食补助费</w:t>
            </w:r>
          </w:p>
        </w:tc>
        <w:tc>
          <w:tcPr>
            <w:tcW w:w="114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30204</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手续费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31001</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房屋建筑物购建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30107</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绩效工资</w:t>
            </w:r>
          </w:p>
        </w:tc>
        <w:tc>
          <w:tcPr>
            <w:tcW w:w="114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30205</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水费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31002</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办公设备购置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30108</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机关事业单位基本养老保险缴费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3.63</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30206</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电费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31003</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专用设备购置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30109</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职业年金缴费</w:t>
            </w:r>
          </w:p>
        </w:tc>
        <w:tc>
          <w:tcPr>
            <w:tcW w:w="114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30207</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邮电费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31005</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基础设施建设</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30110</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职工基本医疗保险缴费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30208</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取暖费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31006</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大型修缮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30111</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公务员医疗补助缴费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30209</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物业管理费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31007</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信息网络及软件购置更新</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30112</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其他社会保障缴费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30211</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差旅费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0.45</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31008</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物资储备</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30113</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住房公积金</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30212</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因公出国（境）费用</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31009</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土地补偿</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30114</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医疗费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30213</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维修（护）费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31010</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安置补助</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30199</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其他工资福利支出</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30214</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租赁费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31011</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地上附着物和青苗补偿</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对个人和家庭的补助</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0.57</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30215</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会议费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val="en-US" w:eastAsia="zh-CN"/>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31012</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拆迁补偿</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30301</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离休费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30216</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培训费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0.32</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31013</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公务用车购置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30302</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退休费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30217</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公务接待费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31019</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其他交通工具购置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30303</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退职（役）费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30218</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专用材料费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31021</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文物和陈列品购置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30304</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抚恤金</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30224</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被装购置费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31022</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无形资产购置</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30305</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生活补助</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0.57</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30225</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专用燃料费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31099</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其他资本性支出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30306</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救济费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30226</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劳务费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399</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其他支出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30307</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医疗费补助</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30227</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委托业务费</w:t>
            </w:r>
          </w:p>
        </w:tc>
        <w:tc>
          <w:tcPr>
            <w:tcW w:w="115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39906</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赠与</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30308</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助学金</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30228</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工会经费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0.29</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39907</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国家赔偿费用支出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30309</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奖励金</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30229</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福利费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0.06</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39908</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对民间非营利组织和群众性自治组织补贴</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30310</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个人农业生产补贴</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30231</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公务用车运行维护费</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39999</w:t>
            </w:r>
          </w:p>
        </w:tc>
        <w:tc>
          <w:tcPr>
            <w:tcW w:w="354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其他支出</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30311</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代缴社会保险费</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30239</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其他交通费用</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540"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30399</w:t>
            </w:r>
          </w:p>
        </w:tc>
        <w:tc>
          <w:tcPr>
            <w:tcW w:w="270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其他对个人和家庭的补助</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30240</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税金及附加费用</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540"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2700"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14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73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30299</w:t>
            </w:r>
          </w:p>
        </w:tc>
        <w:tc>
          <w:tcPr>
            <w:tcW w:w="27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其他商品和服务支出</w:t>
            </w:r>
          </w:p>
        </w:tc>
        <w:tc>
          <w:tcPr>
            <w:tcW w:w="115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0.00</w:t>
            </w:r>
          </w:p>
        </w:tc>
        <w:tc>
          <w:tcPr>
            <w:tcW w:w="73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540"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21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435"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人员经费合计</w:t>
            </w:r>
          </w:p>
        </w:tc>
        <w:tc>
          <w:tcPr>
            <w:tcW w:w="114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62.78</w:t>
            </w:r>
          </w:p>
        </w:tc>
        <w:tc>
          <w:tcPr>
            <w:tcW w:w="8940" w:type="dxa"/>
            <w:gridSpan w:val="5"/>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公用经费合计</w:t>
            </w:r>
          </w:p>
        </w:tc>
        <w:tc>
          <w:tcPr>
            <w:tcW w:w="121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730" w:type="dxa"/>
            <w:gridSpan w:val="9"/>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68"/>
        <w:gridCol w:w="1094"/>
        <w:gridCol w:w="1063"/>
        <w:gridCol w:w="1064"/>
        <w:gridCol w:w="1064"/>
        <w:gridCol w:w="1600"/>
        <w:gridCol w:w="1063"/>
        <w:gridCol w:w="1"/>
        <w:gridCol w:w="1093"/>
        <w:gridCol w:w="1"/>
        <w:gridCol w:w="1063"/>
        <w:gridCol w:w="1063"/>
        <w:gridCol w:w="1066"/>
        <w:gridCol w:w="1"/>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trPr>
        <w:tc>
          <w:tcPr>
            <w:tcW w:w="13880" w:type="dxa"/>
            <w:gridSpan w:val="15"/>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4789" w:type="dxa"/>
            <w:gridSpan w:val="4"/>
            <w:vMerge w:val="restart"/>
            <w:noWrap w:val="0"/>
            <w:vAlign w:val="bottom"/>
          </w:tcPr>
          <w:p>
            <w:pPr>
              <w:rPr>
                <w:rFonts w:hint="default" w:ascii="Arial" w:hAnsi="Arial" w:cs="Arial"/>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p>
        </w:tc>
        <w:tc>
          <w:tcPr>
            <w:tcW w:w="1064" w:type="dxa"/>
            <w:noWrap w:val="0"/>
            <w:vAlign w:val="bottom"/>
          </w:tcPr>
          <w:p>
            <w:pPr>
              <w:rPr>
                <w:rFonts w:hint="default" w:ascii="Arial" w:hAnsi="Arial" w:cs="Arial"/>
                <w:i w:val="0"/>
                <w:color w:val="auto"/>
                <w:sz w:val="20"/>
                <w:szCs w:val="20"/>
                <w:highlight w:val="none"/>
                <w:u w:val="none"/>
              </w:rPr>
            </w:pPr>
          </w:p>
        </w:tc>
        <w:tc>
          <w:tcPr>
            <w:tcW w:w="1600" w:type="dxa"/>
            <w:noWrap w:val="0"/>
            <w:vAlign w:val="bottom"/>
          </w:tcPr>
          <w:p>
            <w:pPr>
              <w:rPr>
                <w:rFonts w:hint="default" w:ascii="Arial" w:hAnsi="Arial" w:cs="Arial"/>
                <w:i w:val="0"/>
                <w:color w:val="auto"/>
                <w:sz w:val="20"/>
                <w:szCs w:val="20"/>
                <w:highlight w:val="none"/>
                <w:u w:val="none"/>
              </w:rPr>
            </w:pPr>
          </w:p>
        </w:tc>
        <w:tc>
          <w:tcPr>
            <w:tcW w:w="1063" w:type="dxa"/>
            <w:noWrap w:val="0"/>
            <w:vAlign w:val="bottom"/>
          </w:tcPr>
          <w:p>
            <w:pPr>
              <w:rPr>
                <w:rFonts w:hint="default" w:ascii="Arial" w:hAnsi="Arial" w:cs="Arial"/>
                <w:i w:val="0"/>
                <w:color w:val="auto"/>
                <w:sz w:val="20"/>
                <w:szCs w:val="20"/>
                <w:highlight w:val="none"/>
                <w:u w:val="none"/>
              </w:rPr>
            </w:pPr>
          </w:p>
        </w:tc>
        <w:tc>
          <w:tcPr>
            <w:tcW w:w="1094" w:type="dxa"/>
            <w:gridSpan w:val="2"/>
            <w:noWrap w:val="0"/>
            <w:vAlign w:val="bottom"/>
          </w:tcPr>
          <w:p>
            <w:pPr>
              <w:rPr>
                <w:rFonts w:hint="default" w:ascii="Arial" w:hAnsi="Arial" w:cs="Arial"/>
                <w:i w:val="0"/>
                <w:color w:val="auto"/>
                <w:sz w:val="20"/>
                <w:szCs w:val="20"/>
                <w:highlight w:val="none"/>
                <w:u w:val="none"/>
              </w:rPr>
            </w:pPr>
          </w:p>
        </w:tc>
        <w:tc>
          <w:tcPr>
            <w:tcW w:w="1064" w:type="dxa"/>
            <w:gridSpan w:val="2"/>
            <w:noWrap w:val="0"/>
            <w:vAlign w:val="bottom"/>
          </w:tcPr>
          <w:p>
            <w:pPr>
              <w:rPr>
                <w:rFonts w:hint="default" w:ascii="Arial" w:hAnsi="Arial" w:cs="Arial"/>
                <w:i w:val="0"/>
                <w:color w:val="auto"/>
                <w:sz w:val="20"/>
                <w:szCs w:val="20"/>
                <w:highlight w:val="none"/>
                <w:u w:val="none"/>
              </w:rPr>
            </w:pPr>
          </w:p>
        </w:tc>
        <w:tc>
          <w:tcPr>
            <w:tcW w:w="1063" w:type="dxa"/>
            <w:noWrap w:val="0"/>
            <w:vAlign w:val="bottom"/>
          </w:tcPr>
          <w:p>
            <w:pPr>
              <w:rPr>
                <w:rFonts w:hint="default" w:ascii="Arial" w:hAnsi="Arial" w:cs="Arial"/>
                <w:i w:val="0"/>
                <w:color w:val="auto"/>
                <w:sz w:val="18"/>
                <w:szCs w:val="18"/>
                <w:highlight w:val="none"/>
                <w:u w:val="none"/>
              </w:rPr>
            </w:pPr>
          </w:p>
        </w:tc>
        <w:tc>
          <w:tcPr>
            <w:tcW w:w="1066" w:type="dxa"/>
            <w:noWrap w:val="0"/>
            <w:vAlign w:val="bottom"/>
          </w:tcPr>
          <w:p>
            <w:pPr>
              <w:rPr>
                <w:rFonts w:hint="default" w:ascii="Arial" w:hAnsi="Arial" w:cs="Arial"/>
                <w:i w:val="0"/>
                <w:color w:val="auto"/>
                <w:sz w:val="18"/>
                <w:szCs w:val="18"/>
                <w:highlight w:val="none"/>
                <w:u w:val="none"/>
              </w:rPr>
            </w:pPr>
          </w:p>
        </w:tc>
        <w:tc>
          <w:tcPr>
            <w:tcW w:w="1077"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4789" w:type="dxa"/>
            <w:gridSpan w:val="4"/>
            <w:vMerge w:val="continue"/>
            <w:noWrap w:val="0"/>
            <w:vAlign w:val="bottom"/>
          </w:tcPr>
          <w:p>
            <w:pPr>
              <w:rPr>
                <w:rFonts w:hint="default" w:ascii="Arial" w:hAnsi="Arial" w:cs="Arial"/>
                <w:i w:val="0"/>
                <w:color w:val="auto"/>
                <w:sz w:val="20"/>
                <w:szCs w:val="20"/>
                <w:highlight w:val="none"/>
                <w:u w:val="none"/>
              </w:rPr>
            </w:pPr>
          </w:p>
        </w:tc>
        <w:tc>
          <w:tcPr>
            <w:tcW w:w="1064" w:type="dxa"/>
            <w:noWrap w:val="0"/>
            <w:vAlign w:val="bottom"/>
          </w:tcPr>
          <w:p>
            <w:pPr>
              <w:rPr>
                <w:rFonts w:hint="default" w:ascii="Arial" w:hAnsi="Arial" w:cs="Arial"/>
                <w:i w:val="0"/>
                <w:color w:val="auto"/>
                <w:sz w:val="20"/>
                <w:szCs w:val="20"/>
                <w:highlight w:val="none"/>
                <w:u w:val="none"/>
              </w:rPr>
            </w:pPr>
          </w:p>
        </w:tc>
        <w:tc>
          <w:tcPr>
            <w:tcW w:w="1600" w:type="dxa"/>
            <w:noWrap w:val="0"/>
            <w:vAlign w:val="bottom"/>
          </w:tcPr>
          <w:p>
            <w:pPr>
              <w:rPr>
                <w:rFonts w:hint="default" w:ascii="Arial" w:hAnsi="Arial" w:cs="Arial"/>
                <w:i w:val="0"/>
                <w:color w:val="auto"/>
                <w:sz w:val="20"/>
                <w:szCs w:val="20"/>
                <w:highlight w:val="none"/>
                <w:u w:val="none"/>
              </w:rPr>
            </w:pPr>
          </w:p>
        </w:tc>
        <w:tc>
          <w:tcPr>
            <w:tcW w:w="1063" w:type="dxa"/>
            <w:noWrap w:val="0"/>
            <w:vAlign w:val="bottom"/>
          </w:tcPr>
          <w:p>
            <w:pPr>
              <w:rPr>
                <w:rFonts w:hint="default" w:ascii="Arial" w:hAnsi="Arial" w:cs="Arial"/>
                <w:i w:val="0"/>
                <w:color w:val="auto"/>
                <w:sz w:val="20"/>
                <w:szCs w:val="20"/>
                <w:highlight w:val="none"/>
                <w:u w:val="none"/>
              </w:rPr>
            </w:pPr>
          </w:p>
        </w:tc>
        <w:tc>
          <w:tcPr>
            <w:tcW w:w="1094" w:type="dxa"/>
            <w:gridSpan w:val="2"/>
            <w:noWrap w:val="0"/>
            <w:vAlign w:val="bottom"/>
          </w:tcPr>
          <w:p>
            <w:pPr>
              <w:rPr>
                <w:rFonts w:hint="default" w:ascii="Arial" w:hAnsi="Arial" w:cs="Arial"/>
                <w:i w:val="0"/>
                <w:color w:val="auto"/>
                <w:sz w:val="20"/>
                <w:szCs w:val="20"/>
                <w:highlight w:val="none"/>
                <w:u w:val="none"/>
              </w:rPr>
            </w:pPr>
          </w:p>
        </w:tc>
        <w:tc>
          <w:tcPr>
            <w:tcW w:w="1064" w:type="dxa"/>
            <w:gridSpan w:val="2"/>
            <w:noWrap w:val="0"/>
            <w:vAlign w:val="bottom"/>
          </w:tcPr>
          <w:p>
            <w:pPr>
              <w:rPr>
                <w:rFonts w:hint="default" w:ascii="Arial" w:hAnsi="Arial" w:cs="Arial"/>
                <w:i w:val="0"/>
                <w:color w:val="auto"/>
                <w:sz w:val="20"/>
                <w:szCs w:val="20"/>
                <w:highlight w:val="none"/>
                <w:u w:val="none"/>
              </w:rPr>
            </w:pPr>
          </w:p>
        </w:tc>
        <w:tc>
          <w:tcPr>
            <w:tcW w:w="3206" w:type="dxa"/>
            <w:gridSpan w:val="4"/>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45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预算数</w:t>
            </w:r>
          </w:p>
        </w:tc>
        <w:tc>
          <w:tcPr>
            <w:tcW w:w="6427" w:type="dxa"/>
            <w:gridSpan w:val="9"/>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568"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109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因公出国（境）费</w:t>
            </w:r>
          </w:p>
        </w:tc>
        <w:tc>
          <w:tcPr>
            <w:tcW w:w="3191"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公务用车购置及运行费</w:t>
            </w:r>
          </w:p>
        </w:tc>
        <w:tc>
          <w:tcPr>
            <w:tcW w:w="1600"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公务接待费</w:t>
            </w:r>
          </w:p>
        </w:tc>
        <w:tc>
          <w:tcPr>
            <w:tcW w:w="1064" w:type="dxa"/>
            <w:gridSpan w:val="2"/>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1094" w:type="dxa"/>
            <w:gridSpan w:val="2"/>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因公出国（境）费</w:t>
            </w:r>
          </w:p>
        </w:tc>
        <w:tc>
          <w:tcPr>
            <w:tcW w:w="3193" w:type="dxa"/>
            <w:gridSpan w:val="4"/>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公务用车购置及运行费</w:t>
            </w:r>
          </w:p>
        </w:tc>
        <w:tc>
          <w:tcPr>
            <w:tcW w:w="1076"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156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09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小计</w:t>
            </w:r>
          </w:p>
        </w:tc>
        <w:tc>
          <w:tcPr>
            <w:tcW w:w="106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公务用车购置费</w:t>
            </w:r>
          </w:p>
        </w:tc>
        <w:tc>
          <w:tcPr>
            <w:tcW w:w="106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公务用车运行费</w:t>
            </w:r>
          </w:p>
        </w:tc>
        <w:tc>
          <w:tcPr>
            <w:tcW w:w="1600"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064" w:type="dxa"/>
            <w:gridSpan w:val="2"/>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094" w:type="dxa"/>
            <w:gridSpan w:val="2"/>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小计</w:t>
            </w: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公务用车购置费</w:t>
            </w:r>
          </w:p>
        </w:tc>
        <w:tc>
          <w:tcPr>
            <w:tcW w:w="1067"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公务用车运行费</w:t>
            </w:r>
          </w:p>
        </w:tc>
        <w:tc>
          <w:tcPr>
            <w:tcW w:w="1076"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56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09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06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06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60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064"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094"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067"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076"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56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lang w:val="en-US"/>
              </w:rPr>
            </w:pPr>
          </w:p>
        </w:tc>
        <w:tc>
          <w:tcPr>
            <w:tcW w:w="109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6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4" w:type="dxa"/>
            <w:gridSpan w:val="2"/>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94" w:type="dxa"/>
            <w:gridSpan w:val="2"/>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3"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67" w:type="dxa"/>
            <w:gridSpan w:val="2"/>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c>
          <w:tcPr>
            <w:tcW w:w="1076"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8" w:hRule="atLeast"/>
        </w:trPr>
        <w:tc>
          <w:tcPr>
            <w:tcW w:w="13880" w:type="dxa"/>
            <w:gridSpan w:val="15"/>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color w:val="auto"/>
          <w:sz w:val="32"/>
          <w:szCs w:val="32"/>
          <w:highlight w:val="none"/>
          <w:lang w:val="en-US" w:eastAsia="zh-CN"/>
        </w:rPr>
      </w:pPr>
    </w:p>
    <w:tbl>
      <w:tblPr>
        <w:tblStyle w:val="8"/>
        <w:tblpPr w:leftFromText="180" w:rightFromText="180" w:vertAnchor="text" w:horzAnchor="page" w:tblpX="1453" w:tblpY="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0"/>
        <w:gridCol w:w="3894"/>
        <w:gridCol w:w="1667"/>
        <w:gridCol w:w="954"/>
        <w:gridCol w:w="953"/>
        <w:gridCol w:w="953"/>
        <w:gridCol w:w="954"/>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47" w:type="dxa"/>
            <w:gridSpan w:val="8"/>
            <w:noWrap w:val="0"/>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224" w:type="dxa"/>
            <w:gridSpan w:val="2"/>
            <w:vMerge w:val="restart"/>
            <w:noWrap w:val="0"/>
            <w:vAlign w:val="bottom"/>
          </w:tcPr>
          <w:p>
            <w:pPr>
              <w:rPr>
                <w:rFonts w:hint="default" w:ascii="Arial" w:hAnsi="Arial" w:cs="Arial"/>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：许昌市自然资源确权登记局</w:t>
            </w:r>
          </w:p>
        </w:tc>
        <w:tc>
          <w:tcPr>
            <w:tcW w:w="1667" w:type="dxa"/>
            <w:noWrap w:val="0"/>
            <w:vAlign w:val="bottom"/>
          </w:tcPr>
          <w:p>
            <w:pPr>
              <w:rPr>
                <w:rFonts w:hint="default" w:ascii="Arial" w:hAnsi="Arial" w:cs="Arial"/>
                <w:i w:val="0"/>
                <w:color w:val="auto"/>
                <w:sz w:val="20"/>
                <w:szCs w:val="20"/>
                <w:highlight w:val="none"/>
                <w:u w:val="none"/>
              </w:rPr>
            </w:pPr>
          </w:p>
        </w:tc>
        <w:tc>
          <w:tcPr>
            <w:tcW w:w="954" w:type="dxa"/>
            <w:noWrap w:val="0"/>
            <w:vAlign w:val="bottom"/>
          </w:tcPr>
          <w:p>
            <w:pPr>
              <w:rPr>
                <w:rFonts w:hint="default" w:ascii="Arial" w:hAnsi="Arial" w:cs="Arial"/>
                <w:i w:val="0"/>
                <w:color w:val="auto"/>
                <w:sz w:val="20"/>
                <w:szCs w:val="20"/>
                <w:highlight w:val="none"/>
                <w:u w:val="none"/>
              </w:rPr>
            </w:pPr>
          </w:p>
        </w:tc>
        <w:tc>
          <w:tcPr>
            <w:tcW w:w="953" w:type="dxa"/>
            <w:noWrap w:val="0"/>
            <w:vAlign w:val="bottom"/>
          </w:tcPr>
          <w:p>
            <w:pPr>
              <w:rPr>
                <w:rFonts w:hint="default" w:ascii="Arial" w:hAnsi="Arial" w:cs="Arial"/>
                <w:i w:val="0"/>
                <w:color w:val="auto"/>
                <w:sz w:val="20"/>
                <w:szCs w:val="20"/>
                <w:highlight w:val="none"/>
                <w:u w:val="none"/>
              </w:rPr>
            </w:pPr>
          </w:p>
        </w:tc>
        <w:tc>
          <w:tcPr>
            <w:tcW w:w="953" w:type="dxa"/>
            <w:noWrap w:val="0"/>
            <w:vAlign w:val="bottom"/>
          </w:tcPr>
          <w:p>
            <w:pPr>
              <w:rPr>
                <w:rFonts w:hint="default" w:ascii="Arial" w:hAnsi="Arial" w:cs="Arial"/>
                <w:i w:val="0"/>
                <w:color w:val="auto"/>
                <w:sz w:val="18"/>
                <w:szCs w:val="18"/>
                <w:highlight w:val="none"/>
                <w:u w:val="none"/>
              </w:rPr>
            </w:pPr>
          </w:p>
        </w:tc>
        <w:tc>
          <w:tcPr>
            <w:tcW w:w="954" w:type="dxa"/>
            <w:noWrap w:val="0"/>
            <w:vAlign w:val="bottom"/>
          </w:tcPr>
          <w:p>
            <w:pPr>
              <w:rPr>
                <w:rFonts w:hint="default" w:ascii="Arial" w:hAnsi="Arial" w:cs="Arial"/>
                <w:i w:val="0"/>
                <w:color w:val="auto"/>
                <w:sz w:val="18"/>
                <w:szCs w:val="18"/>
                <w:highlight w:val="none"/>
                <w:u w:val="none"/>
              </w:rPr>
            </w:pPr>
          </w:p>
        </w:tc>
        <w:tc>
          <w:tcPr>
            <w:tcW w:w="2242" w:type="dxa"/>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224" w:type="dxa"/>
            <w:gridSpan w:val="2"/>
            <w:vMerge w:val="continue"/>
            <w:noWrap w:val="0"/>
            <w:vAlign w:val="bottom"/>
          </w:tcPr>
          <w:p>
            <w:pPr>
              <w:rPr>
                <w:rFonts w:hint="default" w:ascii="Arial" w:hAnsi="Arial" w:cs="Arial"/>
                <w:i w:val="0"/>
                <w:color w:val="auto"/>
                <w:sz w:val="20"/>
                <w:szCs w:val="20"/>
                <w:highlight w:val="none"/>
                <w:u w:val="none"/>
              </w:rPr>
            </w:pPr>
          </w:p>
        </w:tc>
        <w:tc>
          <w:tcPr>
            <w:tcW w:w="1667" w:type="dxa"/>
            <w:noWrap w:val="0"/>
            <w:vAlign w:val="bottom"/>
          </w:tcPr>
          <w:p>
            <w:pPr>
              <w:rPr>
                <w:rFonts w:hint="default" w:ascii="Arial" w:hAnsi="Arial" w:cs="Arial"/>
                <w:i w:val="0"/>
                <w:color w:val="auto"/>
                <w:sz w:val="20"/>
                <w:szCs w:val="20"/>
                <w:highlight w:val="none"/>
                <w:u w:val="none"/>
              </w:rPr>
            </w:pPr>
          </w:p>
        </w:tc>
        <w:tc>
          <w:tcPr>
            <w:tcW w:w="954" w:type="dxa"/>
            <w:noWrap w:val="0"/>
            <w:vAlign w:val="bottom"/>
          </w:tcPr>
          <w:p>
            <w:pPr>
              <w:rPr>
                <w:rFonts w:hint="default" w:ascii="Arial" w:hAnsi="Arial" w:cs="Arial"/>
                <w:i w:val="0"/>
                <w:color w:val="auto"/>
                <w:sz w:val="20"/>
                <w:szCs w:val="20"/>
                <w:highlight w:val="none"/>
                <w:u w:val="none"/>
              </w:rPr>
            </w:pPr>
          </w:p>
        </w:tc>
        <w:tc>
          <w:tcPr>
            <w:tcW w:w="953" w:type="dxa"/>
            <w:noWrap w:val="0"/>
            <w:vAlign w:val="bottom"/>
          </w:tcPr>
          <w:p>
            <w:pPr>
              <w:rPr>
                <w:rFonts w:hint="default" w:ascii="Arial" w:hAnsi="Arial" w:cs="Arial"/>
                <w:i w:val="0"/>
                <w:color w:val="auto"/>
                <w:sz w:val="20"/>
                <w:szCs w:val="20"/>
                <w:highlight w:val="none"/>
                <w:u w:val="none"/>
              </w:rPr>
            </w:pPr>
          </w:p>
        </w:tc>
        <w:tc>
          <w:tcPr>
            <w:tcW w:w="4149" w:type="dxa"/>
            <w:gridSpan w:val="3"/>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w:t>
            </w:r>
          </w:p>
        </w:tc>
        <w:tc>
          <w:tcPr>
            <w:tcW w:w="1667"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年初结转和结余</w:t>
            </w:r>
          </w:p>
        </w:tc>
        <w:tc>
          <w:tcPr>
            <w:tcW w:w="954"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本年收入</w:t>
            </w:r>
          </w:p>
        </w:tc>
        <w:tc>
          <w:tcPr>
            <w:tcW w:w="2860" w:type="dxa"/>
            <w:gridSpan w:val="3"/>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本年支出</w:t>
            </w:r>
          </w:p>
        </w:tc>
        <w:tc>
          <w:tcPr>
            <w:tcW w:w="2242"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0"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功能分类科目编码</w:t>
            </w:r>
          </w:p>
        </w:tc>
        <w:tc>
          <w:tcPr>
            <w:tcW w:w="389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科目名称</w:t>
            </w:r>
          </w:p>
        </w:tc>
        <w:tc>
          <w:tcPr>
            <w:tcW w:w="1667"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小计</w:t>
            </w:r>
          </w:p>
        </w:tc>
        <w:tc>
          <w:tcPr>
            <w:tcW w:w="953"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基本支出</w:t>
            </w:r>
          </w:p>
        </w:tc>
        <w:tc>
          <w:tcPr>
            <w:tcW w:w="954"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项目支出</w:t>
            </w:r>
          </w:p>
        </w:tc>
        <w:tc>
          <w:tcPr>
            <w:tcW w:w="2242"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89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667"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2242"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3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389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1667"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3"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954"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c>
          <w:tcPr>
            <w:tcW w:w="2242"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24"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栏次</w:t>
            </w:r>
          </w:p>
        </w:tc>
        <w:tc>
          <w:tcPr>
            <w:tcW w:w="1667"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5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53"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5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242"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224"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1667" w:type="dxa"/>
            <w:tcBorders>
              <w:bottom w:val="single" w:color="000000" w:sz="4" w:space="0"/>
              <w:right w:val="single" w:color="000000" w:sz="4" w:space="0"/>
            </w:tcBorders>
            <w:noWrap w:val="0"/>
            <w:vAlign w:val="center"/>
          </w:tcPr>
          <w:p>
            <w:pPr>
              <w:jc w:val="right"/>
              <w:rPr>
                <w:rFonts w:hint="default" w:ascii="宋体" w:hAnsi="宋体" w:eastAsia="宋体" w:cs="宋体"/>
                <w:b/>
                <w:i w:val="0"/>
                <w:color w:val="auto"/>
                <w:sz w:val="21"/>
                <w:szCs w:val="21"/>
                <w:highlight w:val="none"/>
                <w:u w:val="none"/>
                <w:lang w:val="en-US" w:eastAsia="zh-CN"/>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89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6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89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6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89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6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89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6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89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6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0" w:type="dxa"/>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3894"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1"/>
                <w:szCs w:val="21"/>
                <w:highlight w:val="none"/>
                <w:u w:val="none"/>
              </w:rPr>
            </w:pPr>
          </w:p>
        </w:tc>
        <w:tc>
          <w:tcPr>
            <w:tcW w:w="1667"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3"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954"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c>
          <w:tcPr>
            <w:tcW w:w="2242"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47" w:type="dxa"/>
            <w:gridSpan w:val="8"/>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注：本表反映</w:t>
            </w:r>
            <w:r>
              <w:rPr>
                <w:rFonts w:hint="eastAsia" w:ascii="宋体" w:hAnsi="宋体" w:cs="宋体"/>
                <w:i w:val="0"/>
                <w:color w:val="auto"/>
                <w:kern w:val="0"/>
                <w:sz w:val="21"/>
                <w:szCs w:val="21"/>
                <w:highlight w:val="none"/>
                <w:u w:val="none"/>
                <w:lang w:val="en-US" w:eastAsia="zh-CN" w:bidi="ar"/>
              </w:rPr>
              <w:t>单位</w:t>
            </w:r>
            <w:r>
              <w:rPr>
                <w:rFonts w:hint="eastAsia" w:ascii="宋体" w:hAnsi="宋体" w:eastAsia="宋体" w:cs="宋体"/>
                <w:i w:val="0"/>
                <w:color w:val="auto"/>
                <w:kern w:val="0"/>
                <w:sz w:val="21"/>
                <w:szCs w:val="21"/>
                <w:highlight w:val="none"/>
                <w:u w:val="none"/>
                <w:lang w:val="en-US" w:eastAsia="zh-CN" w:bidi="ar"/>
              </w:rPr>
              <w:t>本年度政府性基金预算财政拨款收入、支出及结转和结余情况。</w:t>
            </w:r>
          </w:p>
        </w:tc>
      </w:tr>
    </w:tbl>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numPr>
          <w:ilvl w:val="0"/>
          <w:numId w:val="2"/>
        </w:num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决算情况</w:t>
      </w:r>
    </w:p>
    <w:p>
      <w:pPr>
        <w:numPr>
          <w:ilvl w:val="0"/>
          <w:numId w:val="0"/>
        </w:numPr>
        <w:ind w:firstLine="2880" w:firstLineChars="60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年度收、支总计均为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万元。与上年度相比，收、支总计各减少</w:t>
      </w:r>
      <w:r>
        <w:rPr>
          <w:rFonts w:hint="eastAsia" w:ascii="仿宋_GB2312" w:hAnsi="仿宋_GB2312" w:eastAsia="仿宋_GB2312" w:cs="仿宋_GB2312"/>
          <w:color w:val="auto"/>
          <w:sz w:val="32"/>
          <w:szCs w:val="32"/>
          <w:highlight w:val="none"/>
          <w:lang w:val="en-US" w:eastAsia="zh-CN"/>
        </w:rPr>
        <w:t>10.11</w:t>
      </w:r>
      <w:r>
        <w:rPr>
          <w:rFonts w:hint="eastAsia" w:ascii="仿宋_GB2312" w:hAnsi="仿宋_GB2312" w:eastAsia="仿宋_GB2312" w:cs="仿宋_GB2312"/>
          <w:color w:val="auto"/>
          <w:sz w:val="32"/>
          <w:szCs w:val="32"/>
          <w:highlight w:val="none"/>
          <w:lang w:val="zh-CN" w:eastAsia="zh-CN"/>
        </w:rPr>
        <w:t>万元，下降</w:t>
      </w:r>
      <w:r>
        <w:rPr>
          <w:rFonts w:hint="eastAsia" w:ascii="仿宋_GB2312" w:hAnsi="仿宋_GB2312" w:eastAsia="仿宋_GB2312" w:cs="仿宋_GB2312"/>
          <w:color w:val="auto"/>
          <w:sz w:val="32"/>
          <w:szCs w:val="32"/>
          <w:highlight w:val="none"/>
          <w:lang w:val="en-US" w:eastAsia="zh-CN"/>
        </w:rPr>
        <w:t>13.12</w:t>
      </w:r>
      <w:r>
        <w:rPr>
          <w:rFonts w:hint="eastAsia" w:ascii="仿宋_GB2312" w:hAnsi="仿宋_GB2312" w:eastAsia="仿宋_GB2312" w:cs="仿宋_GB2312"/>
          <w:color w:val="auto"/>
          <w:sz w:val="32"/>
          <w:szCs w:val="32"/>
          <w:highlight w:val="none"/>
          <w:lang w:val="zh-CN" w:eastAsia="zh-CN"/>
        </w:rPr>
        <w:t>%。主要原因是单位</w:t>
      </w:r>
      <w:r>
        <w:rPr>
          <w:rFonts w:hint="eastAsia" w:ascii="仿宋_GB2312" w:hAnsi="仿宋_GB2312" w:eastAsia="仿宋_GB2312" w:cs="仿宋_GB2312"/>
          <w:color w:val="auto"/>
          <w:sz w:val="32"/>
          <w:szCs w:val="32"/>
          <w:highlight w:val="none"/>
          <w:lang w:val="en-US" w:eastAsia="zh-CN"/>
        </w:rPr>
        <w:t>2名</w:t>
      </w:r>
      <w:r>
        <w:rPr>
          <w:rFonts w:hint="eastAsia" w:ascii="仿宋_GB2312" w:hAnsi="仿宋_GB2312" w:eastAsia="仿宋_GB2312" w:cs="仿宋_GB2312"/>
          <w:color w:val="auto"/>
          <w:sz w:val="32"/>
          <w:szCs w:val="32"/>
          <w:highlight w:val="none"/>
          <w:lang w:val="zh-CN" w:eastAsia="zh-CN"/>
        </w:rPr>
        <w:t>职工调出。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年度收入合计</w:t>
      </w:r>
      <w:r>
        <w:rPr>
          <w:rFonts w:hint="eastAsia" w:ascii="仿宋_GB2312" w:hAnsi="仿宋_GB2312" w:eastAsia="仿宋_GB2312" w:cs="仿宋_GB2312"/>
          <w:color w:val="auto"/>
          <w:sz w:val="32"/>
          <w:szCs w:val="32"/>
          <w:highlight w:val="none"/>
          <w:lang w:val="en-US" w:eastAsia="zh-CN"/>
        </w:rPr>
        <w:t>62.01</w:t>
      </w:r>
      <w:r>
        <w:rPr>
          <w:rFonts w:hint="eastAsia" w:ascii="仿宋_GB2312" w:hAnsi="仿宋_GB2312" w:eastAsia="仿宋_GB2312" w:cs="仿宋_GB2312"/>
          <w:color w:val="auto"/>
          <w:sz w:val="32"/>
          <w:szCs w:val="32"/>
          <w:highlight w:val="none"/>
          <w:lang w:val="zh-CN" w:eastAsia="zh-CN"/>
        </w:rPr>
        <w:t>万元，其中：财政拨款收入</w:t>
      </w:r>
      <w:r>
        <w:rPr>
          <w:rFonts w:hint="eastAsia" w:ascii="仿宋_GB2312" w:hAnsi="仿宋_GB2312" w:eastAsia="仿宋_GB2312" w:cs="仿宋_GB2312"/>
          <w:color w:val="auto"/>
          <w:sz w:val="32"/>
          <w:szCs w:val="32"/>
          <w:highlight w:val="none"/>
          <w:lang w:val="en-US" w:eastAsia="zh-CN"/>
        </w:rPr>
        <w:t>62.01</w:t>
      </w:r>
      <w:r>
        <w:rPr>
          <w:rFonts w:hint="eastAsia" w:ascii="仿宋_GB2312" w:hAnsi="仿宋_GB2312" w:eastAsia="仿宋_GB2312" w:cs="仿宋_GB2312"/>
          <w:color w:val="auto"/>
          <w:sz w:val="32"/>
          <w:szCs w:val="32"/>
          <w:highlight w:val="none"/>
          <w:lang w:val="zh-CN" w:eastAsia="zh-CN"/>
        </w:rPr>
        <w:t>万元，占100%；上级补助收入0万元，占0%；事业收入0万元，占0%；经营收入0万元，占0%；附属单位上缴收入0.0万元，占0%；其他收入0万元，占0%。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年度支出合计</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万元，其中：基本支出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zh-CN" w:eastAsia="zh-CN"/>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zh-CN" w:eastAsia="zh-CN"/>
        </w:rPr>
        <w:t>%；上缴上级支出0万元，占0%；经营支出0万元，占0%；对附属单位补助支出0万元，占0%。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年度财政拨款收、支总计均为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万元。与上年度相比，财政拨款收、支总计各减少</w:t>
      </w:r>
      <w:r>
        <w:rPr>
          <w:rFonts w:hint="eastAsia" w:ascii="仿宋_GB2312" w:hAnsi="仿宋_GB2312" w:eastAsia="仿宋_GB2312" w:cs="仿宋_GB2312"/>
          <w:color w:val="auto"/>
          <w:sz w:val="32"/>
          <w:szCs w:val="32"/>
          <w:highlight w:val="none"/>
          <w:lang w:val="en-US" w:eastAsia="zh-CN"/>
        </w:rPr>
        <w:t>10.11</w:t>
      </w:r>
      <w:r>
        <w:rPr>
          <w:rFonts w:hint="eastAsia" w:ascii="仿宋_GB2312" w:hAnsi="仿宋_GB2312" w:eastAsia="仿宋_GB2312" w:cs="仿宋_GB2312"/>
          <w:color w:val="auto"/>
          <w:sz w:val="32"/>
          <w:szCs w:val="32"/>
          <w:highlight w:val="none"/>
          <w:lang w:val="zh-CN" w:eastAsia="zh-CN"/>
        </w:rPr>
        <w:t>万元，下降</w:t>
      </w:r>
      <w:r>
        <w:rPr>
          <w:rFonts w:hint="eastAsia" w:ascii="仿宋_GB2312" w:hAnsi="仿宋_GB2312" w:eastAsia="仿宋_GB2312" w:cs="仿宋_GB2312"/>
          <w:color w:val="auto"/>
          <w:sz w:val="32"/>
          <w:szCs w:val="32"/>
          <w:highlight w:val="none"/>
          <w:lang w:val="en-US" w:eastAsia="zh-CN"/>
        </w:rPr>
        <w:t>13.12</w:t>
      </w:r>
      <w:r>
        <w:rPr>
          <w:rFonts w:hint="eastAsia" w:ascii="仿宋_GB2312" w:hAnsi="仿宋_GB2312" w:eastAsia="仿宋_GB2312" w:cs="仿宋_GB2312"/>
          <w:color w:val="auto"/>
          <w:sz w:val="32"/>
          <w:szCs w:val="32"/>
          <w:highlight w:val="none"/>
          <w:lang w:val="zh-CN" w:eastAsia="zh-CN"/>
        </w:rPr>
        <w:t>%。主要原因是单位</w:t>
      </w:r>
      <w:r>
        <w:rPr>
          <w:rFonts w:hint="eastAsia" w:ascii="仿宋_GB2312" w:hAnsi="仿宋_GB2312" w:eastAsia="仿宋_GB2312" w:cs="仿宋_GB2312"/>
          <w:color w:val="auto"/>
          <w:sz w:val="32"/>
          <w:szCs w:val="32"/>
          <w:highlight w:val="none"/>
          <w:lang w:val="en-US" w:eastAsia="zh-CN"/>
        </w:rPr>
        <w:t>2名</w:t>
      </w:r>
      <w:r>
        <w:rPr>
          <w:rFonts w:hint="eastAsia" w:ascii="仿宋_GB2312" w:hAnsi="仿宋_GB2312" w:eastAsia="仿宋_GB2312" w:cs="仿宋_GB2312"/>
          <w:color w:val="auto"/>
          <w:sz w:val="32"/>
          <w:szCs w:val="32"/>
          <w:highlight w:val="none"/>
          <w:lang w:val="zh-CN" w:eastAsia="zh-CN"/>
        </w:rPr>
        <w:t>职工调出。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tabs>
          <w:tab w:val="left" w:pos="1547"/>
        </w:tabs>
        <w:bidi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年度一般公共预算财政拨款支出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万元，占支出合计的100%。与上年度相比，一般公共预算财政拨款支出减少</w:t>
      </w:r>
      <w:r>
        <w:rPr>
          <w:rFonts w:hint="eastAsia" w:ascii="仿宋_GB2312" w:hAnsi="仿宋_GB2312" w:eastAsia="仿宋_GB2312" w:cs="仿宋_GB2312"/>
          <w:color w:val="auto"/>
          <w:sz w:val="32"/>
          <w:szCs w:val="32"/>
          <w:highlight w:val="none"/>
          <w:lang w:val="en-US" w:eastAsia="zh-CN"/>
        </w:rPr>
        <w:t>10.11</w:t>
      </w:r>
      <w:r>
        <w:rPr>
          <w:rFonts w:hint="eastAsia" w:ascii="仿宋_GB2312" w:hAnsi="仿宋_GB2312" w:eastAsia="仿宋_GB2312" w:cs="仿宋_GB2312"/>
          <w:color w:val="auto"/>
          <w:sz w:val="32"/>
          <w:szCs w:val="32"/>
          <w:highlight w:val="none"/>
          <w:lang w:val="zh-CN" w:eastAsia="zh-CN"/>
        </w:rPr>
        <w:t>万元，下降</w:t>
      </w:r>
      <w:r>
        <w:rPr>
          <w:rFonts w:hint="eastAsia" w:ascii="仿宋_GB2312" w:hAnsi="仿宋_GB2312" w:eastAsia="仿宋_GB2312" w:cs="仿宋_GB2312"/>
          <w:color w:val="auto"/>
          <w:sz w:val="32"/>
          <w:szCs w:val="32"/>
          <w:highlight w:val="none"/>
          <w:lang w:val="en-US" w:eastAsia="zh-CN"/>
        </w:rPr>
        <w:t>13.12</w:t>
      </w:r>
      <w:r>
        <w:rPr>
          <w:rFonts w:hint="eastAsia" w:ascii="仿宋_GB2312" w:hAnsi="仿宋_GB2312" w:eastAsia="仿宋_GB2312" w:cs="仿宋_GB2312"/>
          <w:color w:val="auto"/>
          <w:sz w:val="32"/>
          <w:szCs w:val="32"/>
          <w:highlight w:val="none"/>
          <w:lang w:val="zh-CN" w:eastAsia="zh-CN"/>
        </w:rPr>
        <w:t>%。主要原因是单位</w:t>
      </w:r>
      <w:r>
        <w:rPr>
          <w:rFonts w:hint="eastAsia" w:ascii="仿宋_GB2312" w:hAnsi="仿宋_GB2312" w:eastAsia="仿宋_GB2312" w:cs="仿宋_GB2312"/>
          <w:color w:val="auto"/>
          <w:sz w:val="32"/>
          <w:szCs w:val="32"/>
          <w:highlight w:val="none"/>
          <w:lang w:val="en-US" w:eastAsia="zh-CN"/>
        </w:rPr>
        <w:t>2名</w:t>
      </w:r>
      <w:r>
        <w:rPr>
          <w:rFonts w:hint="eastAsia" w:ascii="仿宋_GB2312" w:hAnsi="仿宋_GB2312" w:eastAsia="仿宋_GB2312" w:cs="仿宋_GB2312"/>
          <w:color w:val="auto"/>
          <w:sz w:val="32"/>
          <w:szCs w:val="32"/>
          <w:highlight w:val="none"/>
          <w:lang w:val="zh-CN" w:eastAsia="zh-CN"/>
        </w:rPr>
        <w:t>职工调出。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年度一般公共预算财政拨款支出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万元，主要用于以下方面：一般公共服务（类）支出</w:t>
      </w:r>
      <w:r>
        <w:rPr>
          <w:rFonts w:hint="eastAsia" w:ascii="仿宋_GB2312" w:hAnsi="仿宋_GB2312" w:eastAsia="仿宋_GB2312" w:cs="仿宋_GB2312"/>
          <w:color w:val="auto"/>
          <w:sz w:val="32"/>
          <w:szCs w:val="32"/>
          <w:highlight w:val="none"/>
          <w:lang w:val="en-US" w:eastAsia="zh-CN"/>
        </w:rPr>
        <w:t>0.29</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0.43</w:t>
      </w:r>
      <w:r>
        <w:rPr>
          <w:rFonts w:hint="eastAsia" w:ascii="仿宋_GB2312" w:hAnsi="仿宋_GB2312" w:eastAsia="仿宋_GB2312" w:cs="仿宋_GB2312"/>
          <w:color w:val="auto"/>
          <w:sz w:val="32"/>
          <w:szCs w:val="32"/>
          <w:highlight w:val="none"/>
          <w:lang w:val="zh-CN" w:eastAsia="zh-CN"/>
        </w:rPr>
        <w:t>%；社会保障和就业（类）支出</w:t>
      </w:r>
      <w:r>
        <w:rPr>
          <w:rFonts w:hint="eastAsia" w:ascii="仿宋_GB2312" w:hAnsi="仿宋_GB2312" w:eastAsia="仿宋_GB2312" w:cs="仿宋_GB2312"/>
          <w:color w:val="auto"/>
          <w:sz w:val="32"/>
          <w:szCs w:val="32"/>
          <w:highlight w:val="none"/>
          <w:lang w:val="en-US" w:eastAsia="zh-CN"/>
        </w:rPr>
        <w:t>3.35</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5.01</w:t>
      </w:r>
      <w:r>
        <w:rPr>
          <w:rFonts w:hint="eastAsia" w:ascii="仿宋_GB2312" w:hAnsi="仿宋_GB2312" w:eastAsia="仿宋_GB2312" w:cs="仿宋_GB2312"/>
          <w:color w:val="auto"/>
          <w:sz w:val="32"/>
          <w:szCs w:val="32"/>
          <w:highlight w:val="none"/>
          <w:lang w:val="zh-CN" w:eastAsia="zh-CN"/>
        </w:rPr>
        <w:t>%；卫生健康（类）支出</w:t>
      </w:r>
      <w:r>
        <w:rPr>
          <w:rFonts w:hint="eastAsia" w:ascii="仿宋_GB2312" w:hAnsi="仿宋_GB2312" w:eastAsia="仿宋_GB2312" w:cs="仿宋_GB2312"/>
          <w:color w:val="auto"/>
          <w:sz w:val="32"/>
          <w:szCs w:val="32"/>
          <w:highlight w:val="none"/>
          <w:lang w:val="en-US" w:eastAsia="zh-CN"/>
        </w:rPr>
        <w:t>3.54</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5.29</w:t>
      </w:r>
      <w:r>
        <w:rPr>
          <w:rFonts w:hint="eastAsia" w:ascii="仿宋_GB2312" w:hAnsi="仿宋_GB2312" w:eastAsia="仿宋_GB2312" w:cs="仿宋_GB2312"/>
          <w:color w:val="auto"/>
          <w:sz w:val="32"/>
          <w:szCs w:val="32"/>
          <w:highlight w:val="none"/>
          <w:lang w:val="zh-CN" w:eastAsia="zh-CN"/>
        </w:rPr>
        <w:t>%；城乡社区（类）支出</w:t>
      </w:r>
      <w:r>
        <w:rPr>
          <w:rFonts w:hint="eastAsia" w:ascii="仿宋_GB2312" w:hAnsi="仿宋_GB2312" w:eastAsia="仿宋_GB2312" w:cs="仿宋_GB2312"/>
          <w:color w:val="auto"/>
          <w:sz w:val="32"/>
          <w:szCs w:val="32"/>
          <w:highlight w:val="none"/>
          <w:lang w:val="en-US" w:eastAsia="zh-CN"/>
        </w:rPr>
        <w:t>59.76</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89.27</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年度一般公共预算财政拨款支出年初预算为</w:t>
      </w:r>
      <w:r>
        <w:rPr>
          <w:rFonts w:hint="eastAsia" w:ascii="仿宋_GB2312" w:hAnsi="仿宋_GB2312" w:eastAsia="仿宋_GB2312" w:cs="仿宋_GB2312"/>
          <w:color w:val="auto"/>
          <w:sz w:val="32"/>
          <w:szCs w:val="32"/>
          <w:highlight w:val="none"/>
          <w:lang w:val="en-US" w:eastAsia="zh-CN"/>
        </w:rPr>
        <w:t>70.67</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94.71</w:t>
      </w:r>
      <w:r>
        <w:rPr>
          <w:rFonts w:hint="eastAsia" w:ascii="仿宋_GB2312" w:hAnsi="仿宋_GB2312" w:eastAsia="仿宋_GB2312" w:cs="仿宋_GB2312"/>
          <w:color w:val="auto"/>
          <w:sz w:val="32"/>
          <w:szCs w:val="32"/>
          <w:highlight w:val="none"/>
          <w:lang w:val="zh-CN" w:eastAsia="zh-CN"/>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zh-CN" w:eastAsia="zh-CN"/>
        </w:rPr>
        <w:t>1．一般公共服务支出（类）群众团体事务（款） 工会事务（项）。</w:t>
      </w:r>
      <w:r>
        <w:rPr>
          <w:rFonts w:hint="eastAsia" w:ascii="仿宋_GB2312" w:hAnsi="仿宋_GB2312" w:eastAsia="仿宋_GB2312" w:cs="仿宋_GB2312"/>
          <w:color w:val="auto"/>
          <w:sz w:val="32"/>
          <w:szCs w:val="32"/>
          <w:highlight w:val="none"/>
          <w:lang w:val="zh-CN" w:eastAsia="zh-CN"/>
        </w:rPr>
        <w:t>年初预算为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zh-CN" w:eastAsia="zh-CN"/>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zh-CN" w:eastAsia="zh-CN"/>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zh-CN" w:eastAsia="zh-CN"/>
        </w:rPr>
        <w:t>%。决算数与年初预算数不存在差异。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 机关事业单位基本养老保险缴费支出（项）。</w:t>
      </w:r>
      <w:r>
        <w:rPr>
          <w:rFonts w:hint="eastAsia" w:ascii="仿宋_GB2312" w:hAnsi="仿宋_GB2312" w:eastAsia="仿宋_GB2312" w:cs="仿宋_GB2312"/>
          <w:color w:val="auto"/>
          <w:sz w:val="32"/>
          <w:szCs w:val="32"/>
          <w:highlight w:val="none"/>
          <w:lang w:val="en-US" w:eastAsia="zh-CN"/>
        </w:rPr>
        <w:t>年初预算为3.45万元，支出决算为3.35万元，完成年初预算的97.10%。决算数与年初预算数存在差异的主要原因是调走一人。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年初预算为1.91万元，支出决算为1.80万元，完成年初预算的94.24%。决算数与年初预算数存在差异的主要原因是调走一人。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年初预算为1.83万元，支出决算为1.74万元，完成年初预算的95.08%。决算数与年初预算数存在差异的主要原因是调走一人。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年初预算为63.19万元，支出决算为59.76万元，完成年初预算的94.57%。决算数与年初预算数存在差异的主要原因是</w:t>
      </w:r>
      <w:r>
        <w:rPr>
          <w:rFonts w:hint="eastAsia" w:ascii="仿宋_GB2312" w:hAnsi="仿宋_GB2312" w:eastAsia="仿宋_GB2312" w:cs="仿宋_GB2312"/>
          <w:color w:val="auto"/>
          <w:sz w:val="32"/>
          <w:szCs w:val="32"/>
          <w:highlight w:val="none"/>
          <w:lang w:val="zh-CN" w:eastAsia="zh-CN"/>
        </w:rPr>
        <w:t>单位职工一人调出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年度一般公共预算财政拨款基本支出</w:t>
      </w:r>
      <w:r>
        <w:rPr>
          <w:rFonts w:hint="eastAsia" w:ascii="仿宋_GB2312" w:hAnsi="仿宋_GB2312" w:eastAsia="仿宋_GB2312" w:cs="仿宋_GB2312"/>
          <w:color w:val="auto"/>
          <w:sz w:val="32"/>
          <w:szCs w:val="32"/>
          <w:highlight w:val="none"/>
          <w:lang w:val="en-US" w:eastAsia="zh-CN"/>
        </w:rPr>
        <w:t>66.93</w:t>
      </w:r>
      <w:r>
        <w:rPr>
          <w:rFonts w:hint="eastAsia" w:ascii="仿宋_GB2312" w:hAnsi="仿宋_GB2312" w:eastAsia="仿宋_GB2312" w:cs="仿宋_GB2312"/>
          <w:color w:val="auto"/>
          <w:sz w:val="32"/>
          <w:szCs w:val="32"/>
          <w:highlight w:val="none"/>
          <w:lang w:val="zh-CN" w:eastAsia="zh-CN"/>
        </w:rPr>
        <w:t>万元。其中：人员经费</w:t>
      </w:r>
      <w:r>
        <w:rPr>
          <w:rFonts w:hint="eastAsia" w:ascii="仿宋_GB2312" w:hAnsi="仿宋_GB2312" w:eastAsia="仿宋_GB2312" w:cs="仿宋_GB2312"/>
          <w:color w:val="auto"/>
          <w:sz w:val="32"/>
          <w:szCs w:val="32"/>
          <w:highlight w:val="none"/>
          <w:lang w:val="en-US" w:eastAsia="zh-CN"/>
        </w:rPr>
        <w:t>62.78</w:t>
      </w:r>
      <w:r>
        <w:rPr>
          <w:rFonts w:hint="eastAsia" w:ascii="仿宋_GB2312" w:hAnsi="仿宋_GB2312" w:eastAsia="仿宋_GB2312" w:cs="仿宋_GB2312"/>
          <w:color w:val="auto"/>
          <w:sz w:val="32"/>
          <w:szCs w:val="32"/>
          <w:highlight w:val="none"/>
          <w:lang w:val="zh-CN" w:eastAsia="zh-CN"/>
        </w:rPr>
        <w:t>万元，</w:t>
      </w:r>
      <w:r>
        <w:rPr>
          <w:rFonts w:hint="eastAsia" w:ascii="仿宋_GB2312" w:hAnsi="仿宋_GB2312" w:eastAsia="仿宋_GB2312" w:cs="仿宋_GB2312"/>
          <w:color w:val="auto"/>
          <w:sz w:val="32"/>
          <w:szCs w:val="32"/>
          <w:highlight w:val="none"/>
          <w:lang w:val="en-US" w:eastAsia="zh-CN"/>
        </w:rPr>
        <w:t>主要包括：基本工资、津贴补贴、奖金、机关事业单位基本养老保险缴费、职工基本医疗保险缴费、公务员医疗补助缴费、其他社会保障缴费、住房公积金、生活补助；</w:t>
      </w:r>
      <w:r>
        <w:rPr>
          <w:rFonts w:hint="eastAsia" w:ascii="仿宋_GB2312" w:hAnsi="仿宋_GB2312" w:eastAsia="仿宋_GB2312" w:cs="仿宋_GB2312"/>
          <w:color w:val="auto"/>
          <w:sz w:val="32"/>
          <w:szCs w:val="32"/>
          <w:highlight w:val="none"/>
          <w:lang w:val="zh-CN" w:eastAsia="zh-CN"/>
        </w:rPr>
        <w:t>公用经费</w:t>
      </w:r>
      <w:r>
        <w:rPr>
          <w:rFonts w:hint="eastAsia" w:ascii="仿宋_GB2312" w:hAnsi="仿宋_GB2312" w:eastAsia="仿宋_GB2312" w:cs="仿宋_GB2312"/>
          <w:color w:val="auto"/>
          <w:sz w:val="32"/>
          <w:szCs w:val="32"/>
          <w:highlight w:val="none"/>
          <w:lang w:val="en-US" w:eastAsia="zh-CN"/>
        </w:rPr>
        <w:t>4.15</w:t>
      </w:r>
      <w:r>
        <w:rPr>
          <w:rFonts w:hint="eastAsia" w:ascii="仿宋_GB2312" w:hAnsi="仿宋_GB2312" w:eastAsia="仿宋_GB2312" w:cs="仿宋_GB2312"/>
          <w:color w:val="auto"/>
          <w:sz w:val="32"/>
          <w:szCs w:val="32"/>
          <w:highlight w:val="none"/>
          <w:lang w:val="zh-CN" w:eastAsia="zh-CN"/>
        </w:rPr>
        <w:t>万元，</w:t>
      </w:r>
      <w:r>
        <w:rPr>
          <w:rFonts w:hint="eastAsia" w:ascii="仿宋_GB2312" w:hAnsi="仿宋_GB2312" w:eastAsia="仿宋_GB2312" w:cs="仿宋_GB2312"/>
          <w:color w:val="auto"/>
          <w:sz w:val="32"/>
          <w:szCs w:val="32"/>
          <w:highlight w:val="none"/>
          <w:lang w:val="en-US" w:eastAsia="zh-CN"/>
        </w:rPr>
        <w:t>主要包括：办公费、水费、电费、差旅费、工会经费、培训费、福利费。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zh-CN" w:eastAsia="zh-CN"/>
        </w:rPr>
        <w:t>万元，支出决算为0万元。202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经费支出决算数与预算数不存在差异。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经费财政拨款支出决算中，因公出国（境）费支出决算0万元；公务用车购置及运行费支出决算0万元；公务接待费支出决算0万元。具体情况如下：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预算为0万元，支出决算为0万元。</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经费支出决算数与预算数不存在差异</w:t>
      </w:r>
      <w:r>
        <w:rPr>
          <w:rFonts w:hint="eastAsia" w:ascii="仿宋_GB2312" w:hAnsi="仿宋_GB2312" w:eastAsia="仿宋_GB2312" w:cs="仿宋_GB2312"/>
          <w:color w:val="auto"/>
          <w:sz w:val="32"/>
          <w:szCs w:val="32"/>
          <w:highlight w:val="none"/>
          <w:lang w:val="en-US" w:eastAsia="zh-CN"/>
        </w:rPr>
        <w:t>。全年因公出国（境）团组0个，累计0人次。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预算为0万元，支出决算为0万元。</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经费支出决算数与预算数不存在差异</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0万元。2021年期末，单位开支财政拨款的公务用车保有量为0辆。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预算为0万元，支出决算为0万元，</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经费支出决算数与预算数不存在差异</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tabs>
          <w:tab w:val="left" w:pos="1079"/>
        </w:tabs>
        <w:bidi w:val="0"/>
        <w:ind w:firstLine="640" w:firstLineChars="200"/>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2021年度机关运行经费年初预算为11.53万元，支出决算为4.15万元，完成年初预算的35.99%。决算数与年初预算数存在差异的主要原因是响应国家号召节约支出。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2021年度政府采购支出总额0万元，其中：政府采购货物支出0万元、政府采购工程支出0万元、政府采购服务支出0万元。授予中小企业合同金额0万元，其中：授予小微企业合同金额0万元。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许昌人民政府关于全面实施预算绩效管理的实施意见》（许发〔2021〕13号）文件要求，对单位整体支出和项目支出开展全过程预算绩效管理。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w:t>
      </w:r>
      <w:r>
        <w:rPr>
          <w:rFonts w:hint="eastAsia" w:ascii="仿宋_GB2312" w:hAnsi="仿宋_GB2312" w:eastAsia="仿宋_GB2312" w:cs="仿宋_GB2312"/>
          <w:color w:val="auto"/>
          <w:sz w:val="32"/>
          <w:szCs w:val="32"/>
          <w:highlight w:val="none"/>
          <w:lang w:val="en-US" w:eastAsia="zh-CN"/>
        </w:rPr>
        <w:t>单位对单位整体绩效目标和项目支出绩效目标进行了自评。一是单位整体绩效自评情况，整体正常。二是项目绩效自评情况，我单位共有0个项目批复了绩效目标，项目金额0万元。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重点项目绩效自评结果。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d+CHgAQAAw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CD1C8"/>
    <w:multiLevelType w:val="singleLevel"/>
    <w:tmpl w:val="CF4CD1C8"/>
    <w:lvl w:ilvl="0" w:tentative="0">
      <w:start w:val="3"/>
      <w:numFmt w:val="chineseCounting"/>
      <w:suff w:val="nothing"/>
      <w:lvlText w:val="（%1）"/>
      <w:lvlJc w:val="left"/>
      <w:rPr>
        <w:rFonts w:hint="eastAsia"/>
      </w:rPr>
    </w:lvl>
  </w:abstractNum>
  <w:abstractNum w:abstractNumId="1">
    <w:nsid w:val="FE3F1B04"/>
    <w:multiLevelType w:val="singleLevel"/>
    <w:tmpl w:val="FE3F1B04"/>
    <w:lvl w:ilvl="0" w:tentative="0">
      <w:start w:val="3"/>
      <w:numFmt w:val="chineseCounting"/>
      <w:suff w:val="space"/>
      <w:lvlText w:val="第%1部分"/>
      <w:lvlJc w:val="left"/>
      <w:rPr>
        <w:rFonts w:hint="eastAsia"/>
      </w:rPr>
    </w:lvl>
  </w:abstractNum>
  <w:abstractNum w:abstractNumId="2">
    <w:nsid w:val="00000006"/>
    <w:multiLevelType w:val="singleLevel"/>
    <w:tmpl w:val="00000006"/>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FC02BF"/>
    <w:rsid w:val="01291A6C"/>
    <w:rsid w:val="01377D7B"/>
    <w:rsid w:val="02B20D73"/>
    <w:rsid w:val="04405B2B"/>
    <w:rsid w:val="04B51208"/>
    <w:rsid w:val="05503A56"/>
    <w:rsid w:val="05CC0260"/>
    <w:rsid w:val="05FB19DB"/>
    <w:rsid w:val="064357B0"/>
    <w:rsid w:val="06B34F7C"/>
    <w:rsid w:val="06C75472"/>
    <w:rsid w:val="06F121CF"/>
    <w:rsid w:val="07683FB9"/>
    <w:rsid w:val="07773726"/>
    <w:rsid w:val="07CA0941"/>
    <w:rsid w:val="07F97307"/>
    <w:rsid w:val="08094E77"/>
    <w:rsid w:val="08695FA4"/>
    <w:rsid w:val="08CD7D98"/>
    <w:rsid w:val="093E3FEA"/>
    <w:rsid w:val="09690E9D"/>
    <w:rsid w:val="096E7880"/>
    <w:rsid w:val="099C619C"/>
    <w:rsid w:val="09E71B0D"/>
    <w:rsid w:val="0A2A7646"/>
    <w:rsid w:val="0BC326A6"/>
    <w:rsid w:val="0C2933D7"/>
    <w:rsid w:val="0CA16C03"/>
    <w:rsid w:val="0DC14423"/>
    <w:rsid w:val="0E307A76"/>
    <w:rsid w:val="0E372C0D"/>
    <w:rsid w:val="0E800757"/>
    <w:rsid w:val="0EB208D2"/>
    <w:rsid w:val="0EF57E0C"/>
    <w:rsid w:val="0F8930ED"/>
    <w:rsid w:val="1088747A"/>
    <w:rsid w:val="10F6D4B9"/>
    <w:rsid w:val="11472E91"/>
    <w:rsid w:val="12502219"/>
    <w:rsid w:val="1269636D"/>
    <w:rsid w:val="126A50E2"/>
    <w:rsid w:val="12F347FF"/>
    <w:rsid w:val="13197E64"/>
    <w:rsid w:val="13F82B68"/>
    <w:rsid w:val="14074B59"/>
    <w:rsid w:val="14634486"/>
    <w:rsid w:val="14CA62B3"/>
    <w:rsid w:val="161F618A"/>
    <w:rsid w:val="169350B7"/>
    <w:rsid w:val="16E96798"/>
    <w:rsid w:val="177615A8"/>
    <w:rsid w:val="17AA4179"/>
    <w:rsid w:val="184D3B30"/>
    <w:rsid w:val="18E1491C"/>
    <w:rsid w:val="1AAF116D"/>
    <w:rsid w:val="1BA175CE"/>
    <w:rsid w:val="1BCF76D1"/>
    <w:rsid w:val="1C166281"/>
    <w:rsid w:val="1C1668F0"/>
    <w:rsid w:val="1C2058EC"/>
    <w:rsid w:val="1C4C86B6"/>
    <w:rsid w:val="1DD47300"/>
    <w:rsid w:val="1E110AAE"/>
    <w:rsid w:val="1E396257"/>
    <w:rsid w:val="1EE848DD"/>
    <w:rsid w:val="1F6317DE"/>
    <w:rsid w:val="1FFE1870"/>
    <w:rsid w:val="204F7BDF"/>
    <w:rsid w:val="21BE04EC"/>
    <w:rsid w:val="22344DB3"/>
    <w:rsid w:val="22927690"/>
    <w:rsid w:val="23B2157E"/>
    <w:rsid w:val="26577F0F"/>
    <w:rsid w:val="2677273A"/>
    <w:rsid w:val="271D7A69"/>
    <w:rsid w:val="28020984"/>
    <w:rsid w:val="289C18BC"/>
    <w:rsid w:val="29F55728"/>
    <w:rsid w:val="2A3C6241"/>
    <w:rsid w:val="2A3E1338"/>
    <w:rsid w:val="2A5C0676"/>
    <w:rsid w:val="2A81534A"/>
    <w:rsid w:val="2ACF7D27"/>
    <w:rsid w:val="2ADC2444"/>
    <w:rsid w:val="2AED63FF"/>
    <w:rsid w:val="2B493B42"/>
    <w:rsid w:val="2B8F395A"/>
    <w:rsid w:val="2C3167C0"/>
    <w:rsid w:val="2D0B5263"/>
    <w:rsid w:val="2D783141"/>
    <w:rsid w:val="2D83304B"/>
    <w:rsid w:val="2F2F43B2"/>
    <w:rsid w:val="2F632080"/>
    <w:rsid w:val="2F836001"/>
    <w:rsid w:val="2F990904"/>
    <w:rsid w:val="2FA47EC9"/>
    <w:rsid w:val="2FC14A6B"/>
    <w:rsid w:val="2FDF77AF"/>
    <w:rsid w:val="2FF136F3"/>
    <w:rsid w:val="313406C2"/>
    <w:rsid w:val="3220554A"/>
    <w:rsid w:val="335394FD"/>
    <w:rsid w:val="33624E5C"/>
    <w:rsid w:val="34C376CB"/>
    <w:rsid w:val="34FE7FC3"/>
    <w:rsid w:val="355F439E"/>
    <w:rsid w:val="356B2D42"/>
    <w:rsid w:val="35A46254"/>
    <w:rsid w:val="36205447"/>
    <w:rsid w:val="373D7D57"/>
    <w:rsid w:val="37887BDC"/>
    <w:rsid w:val="37C724EE"/>
    <w:rsid w:val="38E075A3"/>
    <w:rsid w:val="39487AF3"/>
    <w:rsid w:val="39772F71"/>
    <w:rsid w:val="39E31961"/>
    <w:rsid w:val="3A012506"/>
    <w:rsid w:val="3A285928"/>
    <w:rsid w:val="3AF46881"/>
    <w:rsid w:val="3BC25A55"/>
    <w:rsid w:val="3BEC41C7"/>
    <w:rsid w:val="3C7E335B"/>
    <w:rsid w:val="3CBA010B"/>
    <w:rsid w:val="3CE31410"/>
    <w:rsid w:val="3D2C1F05"/>
    <w:rsid w:val="3D5B369C"/>
    <w:rsid w:val="3DAC1FED"/>
    <w:rsid w:val="3EB371C2"/>
    <w:rsid w:val="3EDB6F0F"/>
    <w:rsid w:val="3FCF2120"/>
    <w:rsid w:val="3FE51564"/>
    <w:rsid w:val="40B6117E"/>
    <w:rsid w:val="41597EF3"/>
    <w:rsid w:val="417A386A"/>
    <w:rsid w:val="41B6417E"/>
    <w:rsid w:val="426B01D3"/>
    <w:rsid w:val="42BF46CD"/>
    <w:rsid w:val="43F8260F"/>
    <w:rsid w:val="44957494"/>
    <w:rsid w:val="4517434D"/>
    <w:rsid w:val="45280308"/>
    <w:rsid w:val="45963B7F"/>
    <w:rsid w:val="4608431C"/>
    <w:rsid w:val="46207339"/>
    <w:rsid w:val="46731B10"/>
    <w:rsid w:val="468D6B4A"/>
    <w:rsid w:val="479B16C9"/>
    <w:rsid w:val="47F70466"/>
    <w:rsid w:val="47F866B8"/>
    <w:rsid w:val="483838E2"/>
    <w:rsid w:val="486156CF"/>
    <w:rsid w:val="493F6BCA"/>
    <w:rsid w:val="4A3F36BC"/>
    <w:rsid w:val="4AF86065"/>
    <w:rsid w:val="4B313C8F"/>
    <w:rsid w:val="4BA642E8"/>
    <w:rsid w:val="4CCB219C"/>
    <w:rsid w:val="4CFD651E"/>
    <w:rsid w:val="4DDD3C5A"/>
    <w:rsid w:val="4EFF657E"/>
    <w:rsid w:val="4F0A6CD0"/>
    <w:rsid w:val="4F834A68"/>
    <w:rsid w:val="51CB5BD0"/>
    <w:rsid w:val="51E01838"/>
    <w:rsid w:val="521C7446"/>
    <w:rsid w:val="52365D7A"/>
    <w:rsid w:val="524D7600"/>
    <w:rsid w:val="527A632D"/>
    <w:rsid w:val="5301136F"/>
    <w:rsid w:val="53F66D82"/>
    <w:rsid w:val="557E569C"/>
    <w:rsid w:val="55AE57C9"/>
    <w:rsid w:val="57AD7989"/>
    <w:rsid w:val="58FE3395"/>
    <w:rsid w:val="59127DEF"/>
    <w:rsid w:val="59FD190B"/>
    <w:rsid w:val="5A4B6B1B"/>
    <w:rsid w:val="5A6D2A56"/>
    <w:rsid w:val="5B340B86"/>
    <w:rsid w:val="5C044A04"/>
    <w:rsid w:val="5C1015FB"/>
    <w:rsid w:val="5C9B7E59"/>
    <w:rsid w:val="5D4D6D13"/>
    <w:rsid w:val="5D9A083D"/>
    <w:rsid w:val="5DB11671"/>
    <w:rsid w:val="5E1C432A"/>
    <w:rsid w:val="5E475A91"/>
    <w:rsid w:val="5E7423B8"/>
    <w:rsid w:val="5EBC7957"/>
    <w:rsid w:val="5EF30685"/>
    <w:rsid w:val="5F0B5C04"/>
    <w:rsid w:val="5FC63C9F"/>
    <w:rsid w:val="60201C2C"/>
    <w:rsid w:val="60C03693"/>
    <w:rsid w:val="62194356"/>
    <w:rsid w:val="63095025"/>
    <w:rsid w:val="63395847"/>
    <w:rsid w:val="64F639D4"/>
    <w:rsid w:val="65516FAF"/>
    <w:rsid w:val="65953340"/>
    <w:rsid w:val="65AE61B0"/>
    <w:rsid w:val="65D57005"/>
    <w:rsid w:val="65EE13B8"/>
    <w:rsid w:val="679D5F64"/>
    <w:rsid w:val="6834723D"/>
    <w:rsid w:val="69117770"/>
    <w:rsid w:val="69F30635"/>
    <w:rsid w:val="69F60125"/>
    <w:rsid w:val="6A08641A"/>
    <w:rsid w:val="6AED6FC9"/>
    <w:rsid w:val="6AF704C0"/>
    <w:rsid w:val="6C03604A"/>
    <w:rsid w:val="6CC369E5"/>
    <w:rsid w:val="6D9A2AA7"/>
    <w:rsid w:val="6DE9321C"/>
    <w:rsid w:val="6EC16F54"/>
    <w:rsid w:val="6F193CC1"/>
    <w:rsid w:val="6F7E0107"/>
    <w:rsid w:val="702844A6"/>
    <w:rsid w:val="70891CF3"/>
    <w:rsid w:val="70A023C3"/>
    <w:rsid w:val="710E48FE"/>
    <w:rsid w:val="717F4926"/>
    <w:rsid w:val="71C32454"/>
    <w:rsid w:val="72DD6406"/>
    <w:rsid w:val="73571D4F"/>
    <w:rsid w:val="73DC213A"/>
    <w:rsid w:val="73EF2C0C"/>
    <w:rsid w:val="74485A21"/>
    <w:rsid w:val="757230C9"/>
    <w:rsid w:val="757C3698"/>
    <w:rsid w:val="75F0411C"/>
    <w:rsid w:val="76D23D36"/>
    <w:rsid w:val="76F42321"/>
    <w:rsid w:val="79C36CF5"/>
    <w:rsid w:val="79F87970"/>
    <w:rsid w:val="7A1E2AEC"/>
    <w:rsid w:val="7A272C1E"/>
    <w:rsid w:val="7A7E784D"/>
    <w:rsid w:val="7AB450E8"/>
    <w:rsid w:val="7BD03763"/>
    <w:rsid w:val="7CF30068"/>
    <w:rsid w:val="7DE60785"/>
    <w:rsid w:val="7E3F587C"/>
    <w:rsid w:val="7E602A5A"/>
    <w:rsid w:val="7E747B3F"/>
    <w:rsid w:val="7ED44A81"/>
    <w:rsid w:val="86FFE5B6"/>
    <w:rsid w:val="9AFC349C"/>
    <w:rsid w:val="9FB7D616"/>
    <w:rsid w:val="AF872240"/>
    <w:rsid w:val="BDF68AF4"/>
    <w:rsid w:val="BEFEC39C"/>
    <w:rsid w:val="E3FBABFA"/>
    <w:rsid w:val="EB7F616F"/>
    <w:rsid w:val="EBF548A1"/>
    <w:rsid w:val="EDAB96DB"/>
    <w:rsid w:val="EFFD81D0"/>
    <w:rsid w:val="EFFDDE4B"/>
    <w:rsid w:val="F977F47D"/>
    <w:rsid w:val="FEBED14F"/>
    <w:rsid w:val="FFF7E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kern w:val="2"/>
      <w:sz w:val="18"/>
      <w:szCs w:val="18"/>
    </w:rPr>
  </w:style>
  <w:style w:type="paragraph" w:styleId="5">
    <w:name w:val="footer"/>
    <w:basedOn w:val="1"/>
    <w:link w:val="14"/>
    <w:qFormat/>
    <w:uiPriority w:val="0"/>
    <w:pPr>
      <w:tabs>
        <w:tab w:val="center" w:pos="4153"/>
        <w:tab w:val="right" w:pos="8306"/>
      </w:tabs>
      <w:snapToGrid w:val="0"/>
      <w:jc w:val="left"/>
    </w:pPr>
    <w:rPr>
      <w:kern w:val="2"/>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basedOn w:val="9"/>
    <w:qFormat/>
    <w:uiPriority w:val="0"/>
    <w:rPr>
      <w:vertAlign w:val="superscript"/>
    </w:rPr>
  </w:style>
  <w:style w:type="character" w:customStyle="1" w:styleId="13">
    <w:name w:val="批注框文本 Char Char"/>
    <w:basedOn w:val="9"/>
    <w:link w:val="4"/>
    <w:qFormat/>
    <w:uiPriority w:val="0"/>
    <w:rPr>
      <w:kern w:val="2"/>
      <w:sz w:val="18"/>
      <w:szCs w:val="18"/>
    </w:rPr>
  </w:style>
  <w:style w:type="character" w:customStyle="1" w:styleId="14">
    <w:name w:val="页脚 Char Char"/>
    <w:link w:val="5"/>
    <w:qFormat/>
    <w:uiPriority w:val="0"/>
    <w:rPr>
      <w:kern w:val="2"/>
      <w:sz w:val="18"/>
      <w:szCs w:val="18"/>
    </w:rPr>
  </w:style>
  <w:style w:type="character" w:customStyle="1" w:styleId="15">
    <w:name w:val="页眉 Char Char"/>
    <w:link w:val="6"/>
    <w:qFormat/>
    <w:uiPriority w:val="0"/>
    <w:rPr>
      <w:kern w:val="2"/>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2"/>
      <w:szCs w:val="22"/>
      <w:u w:val="none"/>
    </w:rPr>
  </w:style>
  <w:style w:type="character" w:customStyle="1" w:styleId="18">
    <w:name w:val="font11"/>
    <w:basedOn w:val="9"/>
    <w:qFormat/>
    <w:uiPriority w:val="0"/>
    <w:rPr>
      <w:rFonts w:hint="eastAsia" w:ascii="宋体" w:hAnsi="宋体" w:eastAsia="宋体" w:cs="宋体"/>
      <w:color w:val="000000"/>
      <w:sz w:val="20"/>
      <w:szCs w:val="20"/>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character" w:customStyle="1" w:styleId="20">
    <w:name w:val="font51"/>
    <w:basedOn w:val="9"/>
    <w:qFormat/>
    <w:uiPriority w:val="0"/>
    <w:rPr>
      <w:rFonts w:hint="eastAsia" w:ascii="宋体" w:hAnsi="宋体" w:eastAsia="宋体" w:cs="宋体"/>
      <w:color w:val="000000"/>
      <w:sz w:val="24"/>
      <w:szCs w:val="24"/>
      <w:u w:val="none"/>
    </w:rPr>
  </w:style>
  <w:style w:type="paragraph" w:customStyle="1" w:styleId="21">
    <w:name w:val="标题1"/>
    <w:basedOn w:val="2"/>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7953</Words>
  <Characters>10430</Characters>
  <Lines>57</Lines>
  <Paragraphs>16</Paragraphs>
  <TotalTime>119</TotalTime>
  <ScaleCrop>false</ScaleCrop>
  <LinksUpToDate>false</LinksUpToDate>
  <CharactersWithSpaces>11044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2023-04-10T01:51:00Z</cp:lastPrinted>
  <dcterms:modified xsi:type="dcterms:W3CDTF">2023-09-17T11:15:29Z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AADD47E900D6465095A23E2F74978215_13</vt:lpwstr>
  </property>
</Properties>
</file>