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许昌市自然资源和规划局东城区</w:t>
      </w:r>
      <w:r>
        <w:rPr>
          <w:rFonts w:hint="eastAsia" w:ascii="黑体" w:hAnsi="黑体" w:eastAsia="黑体" w:cs="黑体"/>
          <w:color w:val="auto"/>
          <w:sz w:val="52"/>
          <w:szCs w:val="52"/>
          <w:highlight w:val="none"/>
          <w:lang w:val="en-US" w:eastAsia="zh-CN"/>
        </w:rPr>
        <w:t xml:space="preserve">    </w:t>
      </w:r>
      <w:r>
        <w:rPr>
          <w:rFonts w:hint="eastAsia" w:ascii="黑体" w:hAnsi="黑体" w:eastAsia="黑体" w:cs="黑体"/>
          <w:color w:val="auto"/>
          <w:sz w:val="52"/>
          <w:szCs w:val="52"/>
          <w:highlight w:val="none"/>
          <w:lang w:eastAsia="zh-CN"/>
        </w:rPr>
        <w:t>服务中心单位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许昌市自然资源和规划局东城区服务中心</w:t>
      </w:r>
      <w:r>
        <w:rPr>
          <w:rFonts w:hint="eastAsia" w:ascii="黑体" w:hAnsi="黑体" w:eastAsia="黑体" w:cs="黑体"/>
          <w:color w:val="auto"/>
          <w:sz w:val="32"/>
          <w:szCs w:val="32"/>
          <w:highlight w:val="none"/>
        </w:rPr>
        <w:t>概况</w:t>
      </w:r>
    </w:p>
    <w:p>
      <w:pPr>
        <w:numPr>
          <w:ilvl w:val="0"/>
          <w:numId w:val="1"/>
        </w:numPr>
        <w:ind w:left="-10" w:leftChars="0" w:firstLine="640" w:firstLineChars="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单位职责</w:t>
      </w:r>
    </w:p>
    <w:p>
      <w:pPr>
        <w:numPr>
          <w:ilvl w:val="0"/>
          <w:numId w:val="1"/>
        </w:numPr>
        <w:ind w:left="-10" w:leftChars="0" w:firstLine="640" w:firstLineChars="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48"/>
          <w:szCs w:val="4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许昌市自然资源和规划局</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东城区服务中心</w:t>
      </w:r>
      <w:r>
        <w:rPr>
          <w:rFonts w:hint="eastAsia" w:ascii="黑体" w:hAnsi="黑体" w:eastAsia="黑体" w:cs="黑体"/>
          <w:color w:val="auto"/>
          <w:sz w:val="48"/>
          <w:szCs w:val="48"/>
          <w:highlight w:val="none"/>
        </w:rPr>
        <w:t>概况</w:t>
      </w:r>
    </w:p>
    <w:p>
      <w:pPr>
        <w:widowControl/>
        <w:ind w:firstLine="960" w:firstLineChars="200"/>
        <w:jc w:val="left"/>
        <w:outlineLvl w:val="1"/>
        <w:rPr>
          <w:rFonts w:ascii="黑体" w:hAnsi="黑体" w:eastAsia="黑体" w:cs="黑体"/>
          <w:color w:val="auto"/>
          <w:kern w:val="0"/>
          <w:sz w:val="48"/>
          <w:szCs w:val="48"/>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numPr>
          <w:ilvl w:val="0"/>
          <w:numId w:val="2"/>
        </w:numPr>
        <w:ind w:left="-10" w:leftChars="0" w:firstLine="640" w:firstLineChars="0"/>
        <w:jc w:val="left"/>
        <w:outlineLvl w:val="1"/>
        <w:rPr>
          <w:rFonts w:hint="eastAsia" w:ascii="黑体" w:hAnsi="黑体" w:eastAsia="黑体" w:cs="黑体"/>
          <w:bCs/>
          <w:color w:val="auto"/>
          <w:sz w:val="32"/>
          <w:szCs w:val="32"/>
          <w:highlight w:val="none"/>
        </w:rPr>
      </w:pP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adjustRightInd w:val="0"/>
        <w:snapToGrid w:val="0"/>
        <w:spacing w:line="360" w:lineRule="auto"/>
        <w:ind w:firstLine="640" w:firstLineChars="200"/>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（一）</w:t>
      </w:r>
      <w:r>
        <w:rPr>
          <w:rFonts w:hint="eastAsia" w:ascii="仿宋_GB2312" w:hAnsi="仿宋_GB2312" w:eastAsia="仿宋_GB2312" w:cs="仿宋_GB2312"/>
          <w:bCs/>
          <w:color w:val="auto"/>
          <w:sz w:val="32"/>
          <w:szCs w:val="32"/>
          <w:highlight w:val="none"/>
          <w:lang w:eastAsia="zh-CN"/>
        </w:rPr>
        <w:t>负责辖区内基础测绘、地籍测绘、行政区域界限测绘和其他重大测绘项目，指导监督测绘成果、质量管理和测绘成果资料汇交、审核重要地理信息数据。</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负责辖区内自然资源信息系统的建设、管理、维护和技术指导工作，推进自然资源信息化建设，提供自然资源基础数据服务，提升自然资源信息化水平。</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负责规划区内建设项目规划方案的初审、论证及上报工作；负责辖区内单元控规、控制性详细规划、专项规划、城市设计、建设工程设计方案等初审工作，为前期研究、技术审核、初步论证等工作提供技术服务；协助分局做好规划审批工作。</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负责对国土空间规划编制、实施管理政策进行研究，为规划管理工作提供技术保障；协助分局做好辖区内国土空间规划和建设项目日常规划管理工作。</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（五）负责辖区内</w:t>
      </w:r>
      <w:r>
        <w:rPr>
          <w:rFonts w:hint="eastAsia" w:ascii="仿宋_GB2312" w:hAnsi="仿宋_GB2312" w:eastAsia="仿宋_GB2312" w:cs="仿宋_GB2312"/>
          <w:color w:val="auto"/>
          <w:sz w:val="32"/>
          <w:szCs w:val="32"/>
          <w:highlight w:val="none"/>
          <w:lang w:eastAsia="zh-CN"/>
        </w:rPr>
        <w:t>不动产登记前期工作，承担辖区内建设项目档案管理、查询服务等工作，做好不动产权属争议、纠纷、矛盾协调处理。</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w:t>
      </w:r>
      <w:r>
        <w:rPr>
          <w:rFonts w:hint="eastAsia" w:ascii="仿宋_GB2312" w:hAnsi="仿宋_GB2312" w:eastAsia="仿宋_GB2312" w:cs="仿宋_GB2312"/>
          <w:color w:val="auto"/>
          <w:sz w:val="32"/>
          <w:szCs w:val="32"/>
          <w:highlight w:val="none"/>
          <w:lang w:eastAsia="zh-CN"/>
        </w:rPr>
        <w:t>协助分局做好辖区内自然资源基础调查、变更调查、动态监测及自然资源专项调查监测工作。</w:t>
      </w:r>
    </w:p>
    <w:p>
      <w:pPr>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协助分局做好自然资源国土空间用途管制、调查监测评价、自然资源有偿使用及合理开发利用；协助分局做好辖区内土地资源开发、整理、复垦、监督管理工作；协助分局做好造林绿化工作。</w:t>
      </w:r>
    </w:p>
    <w:p>
      <w:pPr>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八）负责辖区内耕地保护和基本农田保护工作，严格落实耕地保护及各类自然资源保护地监督管理制度，做好国土空间生态修复工作。承担辖区内自然资源巡查职责，及时发现和制止土地、矿产等自然资源违法行为，协助分局处理自然资源违法违规案件及其他事务性工作，配合分局做好自然资源信访工作。</w:t>
      </w:r>
    </w:p>
    <w:p>
      <w:pPr>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（九）协助分局做好地质灾害预防和治理、矿业权管理及矿产资源保护与监督工作。</w:t>
      </w:r>
    </w:p>
    <w:p>
      <w:pPr>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（十）协助分局做好各类土地用途转用、征收征用报件的上报工作；协助开展防火巡护、火源管理、防火设施建设等工作；为城建重点项目提供规划技术服务工作。</w:t>
      </w:r>
    </w:p>
    <w:p>
      <w:pPr>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（十一）承办市局交办协助分局的其他工作。</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许昌市自然资源和规划局东城区服务中心</w:t>
      </w:r>
      <w:r>
        <w:rPr>
          <w:rFonts w:hint="eastAsia" w:ascii="仿宋_GB2312" w:hAnsi="仿宋_GB2312" w:eastAsia="仿宋_GB2312" w:cs="仿宋_GB2312"/>
          <w:color w:val="auto"/>
          <w:kern w:val="0"/>
          <w:sz w:val="32"/>
          <w:szCs w:val="32"/>
          <w:highlight w:val="none"/>
        </w:rPr>
        <w:t>内设机构</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个，包括：</w:t>
      </w:r>
      <w:r>
        <w:rPr>
          <w:rFonts w:hint="eastAsia" w:ascii="仿宋_GB2312" w:hAnsi="仿宋_GB2312" w:eastAsia="仿宋_GB2312" w:cs="仿宋_GB2312"/>
          <w:color w:val="auto"/>
          <w:sz w:val="32"/>
          <w:szCs w:val="32"/>
          <w:highlight w:val="none"/>
        </w:rPr>
        <w:t>办公室</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从决算单位构成看，</w:t>
      </w:r>
      <w:r>
        <w:rPr>
          <w:rFonts w:hint="eastAsia" w:ascii="仿宋_GB2312" w:hAnsi="仿宋_GB2312" w:eastAsia="仿宋_GB2312" w:cs="仿宋_GB2312"/>
          <w:color w:val="auto"/>
          <w:sz w:val="32"/>
          <w:szCs w:val="32"/>
          <w:highlight w:val="none"/>
          <w:lang w:eastAsia="zh-CN"/>
        </w:rPr>
        <w:t>许昌市自然资源和规划局东城区</w:t>
      </w:r>
      <w:r>
        <w:rPr>
          <w:rFonts w:hint="eastAsia" w:ascii="仿宋_GB2312" w:hAnsi="仿宋_GB2312" w:eastAsia="仿宋_GB2312" w:cs="仿宋_GB2312"/>
          <w:color w:val="auto"/>
          <w:sz w:val="32"/>
          <w:szCs w:val="32"/>
          <w:highlight w:val="none"/>
          <w:lang w:val="en-US" w:eastAsia="zh-CN"/>
        </w:rPr>
        <w:t>服务中心决算包括：本级决算（1个）。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numPr>
          <w:ilvl w:val="0"/>
          <w:numId w:val="0"/>
        </w:numPr>
        <w:ind w:left="630" w:left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许昌市自然资源和规划局东城区服务中心</w:t>
      </w: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140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67"/>
        <w:gridCol w:w="819"/>
        <w:gridCol w:w="1094"/>
        <w:gridCol w:w="4392"/>
        <w:gridCol w:w="819"/>
        <w:gridCol w:w="2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07"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262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：许昌市自然资源和规划局东城区服务中心</w:t>
            </w:r>
          </w:p>
        </w:tc>
        <w:tc>
          <w:tcPr>
            <w:tcW w:w="262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7212" w:type="dxa"/>
            <w:gridSpan w:val="3"/>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77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177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117.56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117.56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77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39.88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773"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157.45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7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07"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9"/>
        <w:gridCol w:w="4437"/>
        <w:gridCol w:w="1580"/>
        <w:gridCol w:w="1580"/>
        <w:gridCol w:w="1227"/>
        <w:gridCol w:w="1237"/>
        <w:gridCol w:w="1227"/>
        <w:gridCol w:w="1646"/>
        <w:gridCol w:w="1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77" w:type="pct"/>
            <w:gridSpan w:val="6"/>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1422"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77" w:type="pct"/>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：许昌市自然资源和规划局东城区服务中心</w:t>
            </w:r>
          </w:p>
        </w:tc>
        <w:tc>
          <w:tcPr>
            <w:tcW w:w="1422"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76" w:type="pct"/>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06"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506"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393"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394"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393"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527"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501"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421" w:type="pct"/>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506"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06"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393"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394"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393"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27"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01"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421" w:type="pct"/>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506"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06"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393"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394"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393"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27"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01"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421" w:type="pct"/>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506"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06"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393"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394"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393"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27"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01"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76" w:type="pct"/>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06"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06"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93"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94"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93"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27"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01"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76" w:type="pct"/>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50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117.56</w:t>
            </w:r>
          </w:p>
        </w:tc>
        <w:tc>
          <w:tcPr>
            <w:tcW w:w="50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117.56</w:t>
            </w:r>
          </w:p>
        </w:tc>
        <w:tc>
          <w:tcPr>
            <w:tcW w:w="39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c>
          <w:tcPr>
            <w:tcW w:w="39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c>
          <w:tcPr>
            <w:tcW w:w="39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c>
          <w:tcPr>
            <w:tcW w:w="5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c>
          <w:tcPr>
            <w:tcW w:w="50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421"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50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50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39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9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9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5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50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1421"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50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50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39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94"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9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52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50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4.42</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4.42</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4.42</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4.42</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4.42</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4.42</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7.61</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7.61</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7.61</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7.61</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3.90</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3.90</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3.71</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3.71</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104.93</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104.93</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102.21</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102.21</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2120101</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102.21</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102.21</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21202</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城乡社区规划与管理</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2120201</w:t>
            </w:r>
          </w:p>
        </w:tc>
        <w:tc>
          <w:tcPr>
            <w:tcW w:w="14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城乡社区规划与管理</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w:t>
            </w:r>
          </w:p>
        </w:tc>
        <w:tc>
          <w:tcPr>
            <w:tcW w:w="50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w:t>
            </w: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2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9"/>
        <w:gridCol w:w="4447"/>
        <w:gridCol w:w="1721"/>
        <w:gridCol w:w="1586"/>
        <w:gridCol w:w="1471"/>
        <w:gridCol w:w="1842"/>
        <w:gridCol w:w="1536"/>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000"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44" w:type="pct"/>
            <w:gridSpan w:val="6"/>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1055"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944" w:type="pct"/>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：许昌市自然资源和规划局东城区服务中心</w:t>
            </w:r>
          </w:p>
        </w:tc>
        <w:tc>
          <w:tcPr>
            <w:tcW w:w="1055"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24" w:type="pct"/>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51"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508"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471"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589"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492"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562"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424" w:type="pct"/>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551"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08"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471"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89"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492"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62"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424" w:type="pct"/>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551"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08"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471"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89"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492"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62"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0" w:type="pct"/>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424" w:type="pct"/>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551"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08"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471"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89"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492"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62" w:type="pct"/>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24" w:type="pct"/>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51"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08"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71"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89"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92"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62" w:type="pc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24" w:type="pct"/>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551"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149.43</w:t>
            </w:r>
          </w:p>
        </w:tc>
        <w:tc>
          <w:tcPr>
            <w:tcW w:w="508"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149.43</w:t>
            </w:r>
          </w:p>
        </w:tc>
        <w:tc>
          <w:tcPr>
            <w:tcW w:w="47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c>
          <w:tcPr>
            <w:tcW w:w="58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c>
          <w:tcPr>
            <w:tcW w:w="49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c>
          <w:tcPr>
            <w:tcW w:w="56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424"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551"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508"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47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58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49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56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8.30</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8.30</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8.30</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8.30</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4.11</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4.11</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132.95</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132.95</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120.16</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120.16</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2120101</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119.80</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119.80</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2120199</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其他城乡社区管理事务支出</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21202</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城乡社区规划与管理</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12.79</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12.79</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2120201</w:t>
            </w:r>
          </w:p>
        </w:tc>
        <w:tc>
          <w:tcPr>
            <w:tcW w:w="14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城乡社区规划与管理</w:t>
            </w:r>
          </w:p>
        </w:tc>
        <w:tc>
          <w:tcPr>
            <w:tcW w:w="55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12.79</w:t>
            </w:r>
          </w:p>
        </w:tc>
        <w:tc>
          <w:tcPr>
            <w:tcW w:w="5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12.79</w:t>
            </w:r>
          </w:p>
        </w:tc>
        <w:tc>
          <w:tcPr>
            <w:tcW w:w="4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6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5"/>
        <w:tblW w:w="139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570"/>
        <w:gridCol w:w="1005"/>
        <w:gridCol w:w="3216"/>
        <w:gridCol w:w="570"/>
        <w:gridCol w:w="876"/>
        <w:gridCol w:w="1020"/>
        <w:gridCol w:w="1594"/>
        <w:gridCol w:w="2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3992"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053" w:type="dxa"/>
            <w:gridSpan w:val="6"/>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4939"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053"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：许昌市自然资源和规划局东城区服务中心</w:t>
            </w:r>
          </w:p>
        </w:tc>
        <w:tc>
          <w:tcPr>
            <w:tcW w:w="4939"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91"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9601" w:type="dxa"/>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816"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00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21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876"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2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594"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232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816"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00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321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87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102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59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232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70"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100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70"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87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2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5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32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117.56</w:t>
            </w: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8.30</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8.30</w:t>
            </w: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125.97</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125.97</w:t>
            </w: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117.56</w:t>
            </w: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142.45</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142.45</w:t>
            </w: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24.88</w:t>
            </w: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24.88</w:t>
            </w:r>
          </w:p>
        </w:tc>
        <w:tc>
          <w:tcPr>
            <w:tcW w:w="3216"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0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3216"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70" w:type="dxa"/>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0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142.45</w:t>
            </w:r>
          </w:p>
        </w:tc>
        <w:tc>
          <w:tcPr>
            <w:tcW w:w="32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7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142.45</w:t>
            </w:r>
          </w:p>
        </w:tc>
        <w:tc>
          <w:tcPr>
            <w:tcW w:w="10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142.45</w:t>
            </w:r>
          </w:p>
        </w:tc>
        <w:tc>
          <w:tcPr>
            <w:tcW w:w="159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3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92"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keepNext w:val="0"/>
        <w:keepLines w:val="0"/>
        <w:widowControl/>
        <w:suppressLineNumbers w:val="0"/>
        <w:jc w:val="both"/>
        <w:textAlignment w:val="bottom"/>
        <w:rPr>
          <w:rFonts w:hint="eastAsia" w:ascii="宋体" w:hAnsi="宋体" w:eastAsia="宋体" w:cs="宋体"/>
          <w:i w:val="0"/>
          <w:iCs w:val="0"/>
          <w:color w:val="auto"/>
          <w:kern w:val="0"/>
          <w:sz w:val="30"/>
          <w:szCs w:val="30"/>
          <w:highlight w:val="none"/>
          <w:u w:val="none"/>
          <w:lang w:val="en-US" w:eastAsia="zh-CN" w:bidi="ar"/>
        </w:rPr>
      </w:pPr>
    </w:p>
    <w:tbl>
      <w:tblPr>
        <w:tblStyle w:val="5"/>
        <w:tblpPr w:leftFromText="180" w:rightFromText="180" w:vertAnchor="text" w:horzAnchor="page" w:tblpX="1711" w:tblpY="130"/>
        <w:tblOverlap w:val="never"/>
        <w:tblW w:w="140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7"/>
        <w:gridCol w:w="4185"/>
        <w:gridCol w:w="1695"/>
        <w:gridCol w:w="2415"/>
        <w:gridCol w:w="3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07"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307" w:type="dxa"/>
            <w:gridSpan w:val="3"/>
            <w:tcBorders>
              <w:top w:val="nil"/>
              <w:left w:val="nil"/>
              <w:bottom w:val="nil"/>
              <w:right w:val="nil"/>
            </w:tcBorders>
            <w:noWrap/>
            <w:vAlign w:val="bottom"/>
          </w:tcPr>
          <w:p>
            <w:pPr>
              <w:jc w:val="left"/>
              <w:rPr>
                <w:rFonts w:hint="eastAsia" w:ascii="Arial" w:hAnsi="Arial" w:cs="Arial"/>
                <w:i w:val="0"/>
                <w:iCs w:val="0"/>
                <w:color w:val="auto"/>
                <w:sz w:val="18"/>
                <w:szCs w:val="18"/>
                <w:highlight w:val="none"/>
                <w:u w:val="none"/>
              </w:rPr>
            </w:pPr>
          </w:p>
        </w:tc>
        <w:tc>
          <w:tcPr>
            <w:tcW w:w="570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307"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：许昌市自然资源和规划局东城区服务中心</w:t>
            </w:r>
          </w:p>
        </w:tc>
        <w:tc>
          <w:tcPr>
            <w:tcW w:w="570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1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395"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185"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69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41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328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427"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4185"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169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241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328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4185"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169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241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328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12" w:type="dxa"/>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69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41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28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12" w:type="dxa"/>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6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142.45</w:t>
            </w:r>
          </w:p>
        </w:tc>
        <w:tc>
          <w:tcPr>
            <w:tcW w:w="24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142.45</w:t>
            </w:r>
          </w:p>
        </w:tc>
        <w:tc>
          <w:tcPr>
            <w:tcW w:w="328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8.30</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8.30</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8.30</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8.30</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4.11</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4.11</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125.97</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125.97</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120.16</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120.16</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2120101</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119.80</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119.80</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2120199</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其他城乡社区管理事务支出</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21202</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城乡社区规划与管理</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5.81</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5.81</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2120201</w:t>
            </w:r>
          </w:p>
        </w:tc>
        <w:tc>
          <w:tcPr>
            <w:tcW w:w="41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城乡社区规划与管理</w:t>
            </w:r>
          </w:p>
        </w:tc>
        <w:tc>
          <w:tcPr>
            <w:tcW w:w="16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5.81</w:t>
            </w:r>
          </w:p>
        </w:tc>
        <w:tc>
          <w:tcPr>
            <w:tcW w:w="24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5.81</w:t>
            </w:r>
          </w:p>
        </w:tc>
        <w:tc>
          <w:tcPr>
            <w:tcW w:w="32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07"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本年度一般公共预算财政拨款支出情况。本表金额转换为万元时，因四舍五入可能存在尾差。</w:t>
            </w:r>
          </w:p>
        </w:tc>
      </w:tr>
    </w:tbl>
    <w:p>
      <w:pPr>
        <w:keepNext w:val="0"/>
        <w:keepLines w:val="0"/>
        <w:widowControl/>
        <w:suppressLineNumbers w:val="0"/>
        <w:jc w:val="both"/>
        <w:textAlignment w:val="bottom"/>
        <w:rPr>
          <w:rFonts w:hint="eastAsia" w:ascii="宋体" w:hAnsi="宋体" w:eastAsia="宋体" w:cs="宋体"/>
          <w:i w:val="0"/>
          <w:iCs w:val="0"/>
          <w:color w:val="auto"/>
          <w:kern w:val="0"/>
          <w:sz w:val="30"/>
          <w:szCs w:val="30"/>
          <w:highlight w:val="none"/>
          <w:u w:val="none"/>
          <w:lang w:val="en-US" w:eastAsia="zh-CN" w:bidi="ar"/>
        </w:rPr>
      </w:pPr>
    </w:p>
    <w:p>
      <w:pPr>
        <w:keepNext w:val="0"/>
        <w:keepLines w:val="0"/>
        <w:widowControl/>
        <w:suppressLineNumbers w:val="0"/>
        <w:jc w:val="both"/>
        <w:textAlignment w:val="bottom"/>
        <w:rPr>
          <w:rFonts w:hint="eastAsia" w:ascii="宋体" w:hAnsi="宋体" w:eastAsia="宋体" w:cs="宋体"/>
          <w:i w:val="0"/>
          <w:iCs w:val="0"/>
          <w:color w:val="auto"/>
          <w:kern w:val="0"/>
          <w:sz w:val="30"/>
          <w:szCs w:val="30"/>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br w:type="page"/>
      </w:r>
    </w:p>
    <w:tbl>
      <w:tblPr>
        <w:tblStyle w:val="5"/>
        <w:tblW w:w="13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014"/>
        <w:gridCol w:w="1230"/>
        <w:gridCol w:w="859"/>
        <w:gridCol w:w="2416"/>
        <w:gridCol w:w="711"/>
        <w:gridCol w:w="766"/>
        <w:gridCol w:w="2988"/>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85" w:type="dxa"/>
            <w:gridSpan w:val="9"/>
            <w:tcBorders>
              <w:top w:val="nil"/>
              <w:left w:val="nil"/>
              <w:bottom w:val="nil"/>
              <w:right w:val="nil"/>
            </w:tcBorders>
            <w:noWrap/>
            <w:vAlign w:val="bottom"/>
          </w:tcPr>
          <w:p>
            <w:pPr>
              <w:jc w:val="center"/>
              <w:rPr>
                <w:rFonts w:hint="eastAsia" w:ascii="宋体" w:hAnsi="宋体" w:eastAsia="宋体" w:cs="宋体"/>
                <w:i w:val="0"/>
                <w:iCs w:val="0"/>
                <w:color w:val="auto"/>
                <w:sz w:val="30"/>
                <w:szCs w:val="30"/>
                <w:highlight w:val="none"/>
                <w:u w:val="none"/>
              </w:rPr>
            </w:pPr>
            <w:r>
              <w:rPr>
                <w:rFonts w:hint="eastAsia" w:ascii="仿宋_GB2312" w:hAnsi="仿宋_GB2312" w:eastAsia="仿宋_GB2312" w:cs="仿宋_GB2312"/>
                <w:color w:val="auto"/>
                <w:sz w:val="32"/>
                <w:szCs w:val="32"/>
                <w:highlight w:val="none"/>
              </w:rPr>
              <w:br w:type="page"/>
            </w: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62" w:type="dxa"/>
            <w:gridSpan w:val="7"/>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402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62"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：许昌市自然资源和规划局东城区服务中心</w:t>
            </w:r>
          </w:p>
        </w:tc>
        <w:tc>
          <w:tcPr>
            <w:tcW w:w="402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0"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8775" w:type="dxa"/>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014"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23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859"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41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711"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6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988"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03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301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23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85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241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71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76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2988"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03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129.21</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13.24</w:t>
            </w: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51.19</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2.79</w:t>
            </w: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31.78</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0.34</w:t>
            </w: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18.90</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0.05</w:t>
            </w: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7.58</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0.05</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0.14</w:t>
            </w: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8.77</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0.88</w:t>
            </w: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0.70</w:t>
            </w: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298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71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6.12</w:t>
            </w:r>
          </w:p>
        </w:tc>
        <w:tc>
          <w:tcPr>
            <w:tcW w:w="766"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2988"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301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2988"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3014"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8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24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71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766"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2988"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80" w:type="dxa"/>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12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129.21</w:t>
            </w:r>
          </w:p>
        </w:tc>
        <w:tc>
          <w:tcPr>
            <w:tcW w:w="7740" w:type="dxa"/>
            <w:gridSpan w:val="5"/>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10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85"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宋体" w:hAnsi="宋体" w:eastAsia="宋体" w:cs="宋体"/>
          <w:color w:val="auto"/>
          <w:sz w:val="22"/>
          <w:szCs w:val="22"/>
          <w:highlight w:val="none"/>
        </w:rPr>
        <w:sectPr>
          <w:pgSz w:w="16838" w:h="11906" w:orient="landscape"/>
          <w:pgMar w:top="1701" w:right="1474" w:bottom="1984" w:left="1587" w:header="720" w:footer="720" w:gutter="0"/>
          <w:pgNumType w:fmt="numberInDash"/>
          <w:cols w:space="720" w:num="1"/>
          <w:docGrid w:type="lines" w:linePitch="312" w:charSpace="0"/>
        </w:sectPr>
      </w:pPr>
    </w:p>
    <w:tbl>
      <w:tblPr>
        <w:tblStyle w:val="5"/>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0"/>
        <w:gridCol w:w="1125"/>
        <w:gridCol w:w="1155"/>
        <w:gridCol w:w="1080"/>
        <w:gridCol w:w="1095"/>
        <w:gridCol w:w="1320"/>
        <w:gridCol w:w="1125"/>
        <w:gridCol w:w="1200"/>
        <w:gridCol w:w="1110"/>
        <w:gridCol w:w="1170"/>
        <w:gridCol w:w="1155"/>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35"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：许昌市自然资源和规划局东城区服务中心</w:t>
            </w: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75"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6960" w:type="dxa"/>
            <w:gridSpan w:val="6"/>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2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330"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32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112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0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435"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00"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08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09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32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2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7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5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dxa"/>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2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8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9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2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2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0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7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5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20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35"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0"/>
          <w:szCs w:val="30"/>
          <w:highlight w:val="none"/>
        </w:rPr>
      </w:pPr>
    </w:p>
    <w:p>
      <w:pPr>
        <w:widowControl/>
        <w:spacing w:line="590" w:lineRule="exact"/>
        <w:jc w:val="left"/>
        <w:rPr>
          <w:rFonts w:hint="eastAsia" w:ascii="仿宋_GB2312" w:hAnsi="仿宋_GB2312" w:eastAsia="仿宋_GB2312" w:cs="仿宋_GB2312"/>
          <w:color w:val="auto"/>
          <w:sz w:val="30"/>
          <w:szCs w:val="30"/>
          <w:highlight w:val="none"/>
        </w:rPr>
      </w:pPr>
    </w:p>
    <w:p>
      <w:pPr>
        <w:widowControl/>
        <w:spacing w:line="590" w:lineRule="exact"/>
        <w:jc w:val="left"/>
        <w:rPr>
          <w:rFonts w:hint="eastAsia" w:ascii="仿宋_GB2312" w:hAnsi="仿宋_GB2312" w:eastAsia="仿宋_GB2312" w:cs="仿宋_GB2312"/>
          <w:color w:val="auto"/>
          <w:sz w:val="30"/>
          <w:szCs w:val="30"/>
          <w:highlight w:val="none"/>
        </w:rPr>
      </w:pPr>
    </w:p>
    <w:p>
      <w:pPr>
        <w:widowControl/>
        <w:spacing w:line="590" w:lineRule="exact"/>
        <w:jc w:val="left"/>
        <w:rPr>
          <w:rFonts w:hint="eastAsia" w:ascii="仿宋_GB2312" w:hAnsi="仿宋_GB2312" w:eastAsia="仿宋_GB2312" w:cs="仿宋_GB2312"/>
          <w:color w:val="auto"/>
          <w:sz w:val="30"/>
          <w:szCs w:val="30"/>
          <w:highlight w:val="none"/>
        </w:rPr>
      </w:pPr>
    </w:p>
    <w:p>
      <w:pPr>
        <w:widowControl/>
        <w:spacing w:line="590" w:lineRule="exact"/>
        <w:jc w:val="left"/>
        <w:rPr>
          <w:rFonts w:hint="eastAsia" w:ascii="仿宋_GB2312" w:hAnsi="仿宋_GB2312" w:eastAsia="仿宋_GB2312" w:cs="仿宋_GB2312"/>
          <w:color w:val="auto"/>
          <w:sz w:val="30"/>
          <w:szCs w:val="30"/>
          <w:highlight w:val="none"/>
        </w:rPr>
      </w:pPr>
    </w:p>
    <w:p>
      <w:pPr>
        <w:widowControl/>
        <w:spacing w:line="590" w:lineRule="exact"/>
        <w:jc w:val="left"/>
        <w:rPr>
          <w:rFonts w:hint="eastAsia" w:ascii="仿宋_GB2312" w:hAnsi="仿宋_GB2312" w:eastAsia="仿宋_GB2312" w:cs="仿宋_GB2312"/>
          <w:color w:val="auto"/>
          <w:sz w:val="30"/>
          <w:szCs w:val="30"/>
          <w:highlight w:val="none"/>
        </w:rPr>
      </w:pPr>
    </w:p>
    <w:tbl>
      <w:tblPr>
        <w:tblStyle w:val="5"/>
        <w:tblW w:w="139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08"/>
        <w:gridCol w:w="1609"/>
        <w:gridCol w:w="1662"/>
        <w:gridCol w:w="1662"/>
        <w:gridCol w:w="1586"/>
        <w:gridCol w:w="1586"/>
        <w:gridCol w:w="1593"/>
        <w:gridCol w:w="2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47"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373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：许昌市自然资源和规划局东城区服务中心</w:t>
            </w:r>
          </w:p>
        </w:tc>
        <w:tc>
          <w:tcPr>
            <w:tcW w:w="0" w:type="auto"/>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73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827"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827"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5180"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2004"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6"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82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82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723"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723"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734"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2004"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6"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182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82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723"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723"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73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2004"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6"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2"/>
                <w:szCs w:val="22"/>
                <w:highlight w:val="none"/>
                <w:u w:val="none"/>
              </w:rPr>
            </w:pPr>
          </w:p>
        </w:tc>
        <w:tc>
          <w:tcPr>
            <w:tcW w:w="182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82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723"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723"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73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2004"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00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c>
          <w:tcPr>
            <w:tcW w:w="20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0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c>
          <w:tcPr>
            <w:tcW w:w="20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47"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rPr>
          <w:rFonts w:hint="eastAsia" w:ascii="仿宋_GB2312" w:hAnsi="仿宋_GB2312" w:eastAsia="仿宋_GB2312" w:cs="仿宋_GB2312"/>
          <w:color w:val="auto"/>
          <w:sz w:val="32"/>
          <w:szCs w:val="32"/>
          <w:highlight w:val="none"/>
          <w:lang w:val="en-US" w:eastAsia="zh-CN"/>
        </w:rPr>
      </w:pPr>
      <w:r>
        <w:rPr>
          <w:rFonts w:hint="eastAsia" w:ascii="宋体" w:hAnsi="宋体" w:eastAsia="宋体" w:cs="宋体"/>
          <w:color w:val="auto"/>
          <w:sz w:val="32"/>
          <w:szCs w:val="32"/>
          <w:highlight w:val="none"/>
          <w:lang w:val="en-US" w:eastAsia="zh-CN"/>
        </w:rPr>
        <w:t>说明：我单位没有政府性基金收入，也没有使用政府性基金安排的支出，故本表无数据。</w:t>
      </w:r>
    </w:p>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2021年度收、支总计均为</w:t>
      </w:r>
      <w:r>
        <w:rPr>
          <w:rFonts w:hint="eastAsia" w:ascii="仿宋_GB2312" w:hAnsi="仿宋_GB2312" w:eastAsia="仿宋_GB2312" w:cs="仿宋_GB2312"/>
          <w:color w:val="auto"/>
          <w:sz w:val="32"/>
          <w:szCs w:val="32"/>
          <w:highlight w:val="none"/>
          <w:lang w:val="en-US" w:eastAsia="zh-CN"/>
        </w:rPr>
        <w:t>157.45</w:t>
      </w:r>
      <w:r>
        <w:rPr>
          <w:rFonts w:hint="eastAsia" w:ascii="仿宋_GB2312" w:hAnsi="仿宋_GB2312" w:eastAsia="仿宋_GB2312" w:cs="仿宋_GB2312"/>
          <w:color w:val="auto"/>
          <w:sz w:val="32"/>
          <w:szCs w:val="32"/>
          <w:highlight w:val="none"/>
        </w:rPr>
        <w:t>万元。与上年度相比，收、支总计减少</w:t>
      </w:r>
      <w:r>
        <w:rPr>
          <w:rFonts w:hint="eastAsia" w:ascii="仿宋_GB2312" w:hAnsi="仿宋_GB2312" w:eastAsia="仿宋_GB2312" w:cs="仿宋_GB2312"/>
          <w:color w:val="auto"/>
          <w:sz w:val="32"/>
          <w:szCs w:val="32"/>
          <w:highlight w:val="none"/>
          <w:lang w:val="en-US" w:eastAsia="zh-CN"/>
        </w:rPr>
        <w:t>95.09</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37.65</w:t>
      </w:r>
      <w:r>
        <w:rPr>
          <w:rFonts w:hint="eastAsia" w:ascii="仿宋_GB2312" w:hAnsi="仿宋_GB2312" w:eastAsia="仿宋_GB2312" w:cs="仿宋_GB2312"/>
          <w:color w:val="auto"/>
          <w:sz w:val="32"/>
          <w:szCs w:val="32"/>
          <w:highlight w:val="none"/>
        </w:rPr>
        <w:t>%。主要原因是贯彻落实上级过紧日子要求，厉行节约，压减支出。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2021年度收入合计</w:t>
      </w:r>
      <w:r>
        <w:rPr>
          <w:rFonts w:hint="eastAsia" w:ascii="仿宋_GB2312" w:hAnsi="仿宋_GB2312" w:eastAsia="仿宋_GB2312" w:cs="仿宋_GB2312"/>
          <w:color w:val="auto"/>
          <w:sz w:val="32"/>
          <w:szCs w:val="32"/>
          <w:highlight w:val="none"/>
          <w:lang w:val="en-US" w:eastAsia="zh-CN"/>
        </w:rPr>
        <w:t>117.56</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117.56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2021年度支出合计</w:t>
      </w:r>
      <w:r>
        <w:rPr>
          <w:rFonts w:hint="eastAsia" w:ascii="仿宋_GB2312" w:hAnsi="仿宋_GB2312" w:eastAsia="仿宋_GB2312" w:cs="仿宋_GB2312"/>
          <w:color w:val="auto"/>
          <w:sz w:val="32"/>
          <w:szCs w:val="32"/>
          <w:highlight w:val="none"/>
          <w:lang w:val="en-US" w:eastAsia="zh-CN"/>
        </w:rPr>
        <w:t>149.43</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149.43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2021年度财政拨款收、支总计均为</w:t>
      </w:r>
      <w:r>
        <w:rPr>
          <w:rFonts w:hint="eastAsia" w:ascii="仿宋_GB2312" w:hAnsi="仿宋_GB2312" w:eastAsia="仿宋_GB2312" w:cs="仿宋_GB2312"/>
          <w:color w:val="auto"/>
          <w:sz w:val="32"/>
          <w:szCs w:val="32"/>
          <w:highlight w:val="none"/>
          <w:lang w:val="en-US" w:eastAsia="zh-CN"/>
        </w:rPr>
        <w:t>142.45</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95.09</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40.03</w:t>
      </w:r>
      <w:r>
        <w:rPr>
          <w:rFonts w:hint="eastAsia" w:ascii="仿宋_GB2312" w:hAnsi="仿宋_GB2312" w:eastAsia="仿宋_GB2312" w:cs="仿宋_GB2312"/>
          <w:color w:val="auto"/>
          <w:sz w:val="32"/>
          <w:szCs w:val="32"/>
          <w:highlight w:val="none"/>
        </w:rPr>
        <w:t>%。主要原因是贯彻落实上级过紧日子要求，厉行节约，压减支出。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2021年度一般公共预算财政拨款支出</w:t>
      </w:r>
      <w:r>
        <w:rPr>
          <w:rFonts w:hint="eastAsia" w:ascii="仿宋_GB2312" w:hAnsi="仿宋_GB2312" w:eastAsia="仿宋_GB2312" w:cs="仿宋_GB2312"/>
          <w:color w:val="auto"/>
          <w:sz w:val="32"/>
          <w:szCs w:val="32"/>
          <w:highlight w:val="none"/>
          <w:lang w:val="en-US" w:eastAsia="zh-CN"/>
        </w:rPr>
        <w:t>142.45</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%。与上年度相比，一般公共预算财政拨款支出减少</w:t>
      </w:r>
      <w:r>
        <w:rPr>
          <w:rFonts w:hint="eastAsia" w:ascii="仿宋_GB2312" w:hAnsi="仿宋_GB2312" w:eastAsia="仿宋_GB2312" w:cs="仿宋_GB2312"/>
          <w:color w:val="auto"/>
          <w:sz w:val="32"/>
          <w:szCs w:val="32"/>
          <w:highlight w:val="none"/>
          <w:lang w:val="en-US" w:eastAsia="zh-CN"/>
        </w:rPr>
        <w:t>61.35</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30.10</w:t>
      </w:r>
      <w:r>
        <w:rPr>
          <w:rFonts w:hint="eastAsia" w:ascii="仿宋_GB2312" w:hAnsi="仿宋_GB2312" w:eastAsia="仿宋_GB2312" w:cs="仿宋_GB2312"/>
          <w:color w:val="auto"/>
          <w:sz w:val="32"/>
          <w:szCs w:val="32"/>
          <w:highlight w:val="none"/>
        </w:rPr>
        <w:t>%。主要原因是贯彻落实上级过紧日子要求，厉行节约，压减支出。</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2021年度一般公共预算财政拨款支出</w:t>
      </w:r>
      <w:r>
        <w:rPr>
          <w:rFonts w:hint="eastAsia" w:ascii="仿宋_GB2312" w:hAnsi="仿宋_GB2312" w:eastAsia="仿宋_GB2312" w:cs="仿宋_GB2312"/>
          <w:color w:val="auto"/>
          <w:sz w:val="32"/>
          <w:szCs w:val="32"/>
          <w:highlight w:val="none"/>
          <w:lang w:val="en-US" w:eastAsia="zh-CN"/>
        </w:rPr>
        <w:t>142.45</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0.60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0.42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社会保障和就业（类）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7.58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5.32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卫生健康（类）支出</w:t>
      </w:r>
      <w:r>
        <w:rPr>
          <w:rFonts w:hint="eastAsia" w:ascii="仿宋_GB2312" w:hAnsi="仿宋_GB2312" w:eastAsia="仿宋_GB2312" w:cs="仿宋_GB2312"/>
          <w:color w:val="auto"/>
          <w:sz w:val="32"/>
          <w:szCs w:val="32"/>
          <w:highlight w:val="none"/>
          <w:lang w:val="en-US" w:eastAsia="zh-CN"/>
        </w:rPr>
        <w:t>8.30万元，占5.83%；城乡社区（类）支出125.97万元，占88.43%</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146.79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142.45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97.04</w:t>
      </w:r>
      <w:r>
        <w:rPr>
          <w:rFonts w:hint="eastAsia" w:ascii="仿宋_GB2312" w:hAnsi="仿宋_GB2312" w:eastAsia="仿宋_GB2312" w:cs="仿宋_GB2312"/>
          <w:color w:val="auto"/>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1.一般公共服务支出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群众团体事务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工会事务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0.60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0.60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zh-CN" w:eastAsia="zh-CN"/>
        </w:rPr>
        <w:t>决算数与年初预算数不存在差异</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w:t>
      </w:r>
      <w:r>
        <w:rPr>
          <w:rFonts w:hint="eastAsia" w:ascii="仿宋_GB2312" w:hAnsi="仿宋_GB2312" w:eastAsia="仿宋_GB2312" w:cs="仿宋_GB2312"/>
          <w:b/>
          <w:bCs/>
          <w:color w:val="auto"/>
          <w:sz w:val="32"/>
          <w:szCs w:val="32"/>
          <w:highlight w:val="none"/>
          <w:lang w:val="en-US" w:eastAsia="zh-CN"/>
        </w:rPr>
        <w:t>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机关事业单位基本养老保险缴费支出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7.43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7.58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102.02</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人员经费增加</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年初预算为3.90万元，支出决算为4.11万元，完成年初预算的105.38%。决算数与年初预算数存在差异的主要原因是人员经费增加。</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年初预算为3.71万元，支出决算为4.18万元，完成年初预算的112.67%。决算数与年初预算数存在差异的主要原因是人员经费增加。</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5.城乡社区支出（类）城乡社区管理事务（款）行政运行（项）。</w:t>
      </w:r>
      <w:r>
        <w:rPr>
          <w:rFonts w:hint="eastAsia" w:ascii="仿宋_GB2312" w:hAnsi="仿宋_GB2312" w:eastAsia="仿宋_GB2312" w:cs="仿宋_GB2312"/>
          <w:color w:val="auto"/>
          <w:sz w:val="32"/>
          <w:szCs w:val="32"/>
          <w:highlight w:val="none"/>
          <w:lang w:val="en-US" w:eastAsia="zh-CN"/>
        </w:rPr>
        <w:t>年初预算为119.15万元，支出决算为119.80万元，完成年初预算的100.55%。决算数与年初预算数存在差异的主要原因是人员经费增加。</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6.城乡社区支出（类）城乡社区管理事务（款）其他城乡社区管理事务支出（项）。</w:t>
      </w:r>
      <w:r>
        <w:rPr>
          <w:rFonts w:hint="eastAsia" w:ascii="仿宋_GB2312" w:hAnsi="仿宋_GB2312" w:eastAsia="仿宋_GB2312" w:cs="仿宋_GB2312"/>
          <w:color w:val="auto"/>
          <w:sz w:val="32"/>
          <w:szCs w:val="32"/>
          <w:highlight w:val="none"/>
          <w:lang w:val="en-US" w:eastAsia="zh-CN"/>
        </w:rPr>
        <w:t>年初预算为12万元，支出决算为0.35万元，完成年初预算的2.93%。决算数与年初预算数存在差异的主要原因是项目经费没有申请拨付，导致该年度没有支付该费用。</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7.城乡社区支出（类）城乡社区规划与管理（款）城乡社区规划与管理（款）。</w:t>
      </w:r>
      <w:r>
        <w:rPr>
          <w:rFonts w:hint="eastAsia" w:ascii="仿宋_GB2312" w:hAnsi="仿宋_GB2312" w:eastAsia="仿宋_GB2312" w:cs="仿宋_GB2312"/>
          <w:color w:val="auto"/>
          <w:sz w:val="32"/>
          <w:szCs w:val="32"/>
          <w:highlight w:val="none"/>
          <w:lang w:val="en-US" w:eastAsia="zh-CN"/>
        </w:rPr>
        <w:t>年初预算为0万元，支出决算为5.81万元。决算数与年初预算数存在差异的主要原因是人员经费增加。</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2021年度一般公共预算财政拨款基本支出</w:t>
      </w:r>
      <w:r>
        <w:rPr>
          <w:rFonts w:hint="eastAsia" w:ascii="仿宋_GB2312" w:hAnsi="仿宋_GB2312" w:eastAsia="仿宋_GB2312" w:cs="仿宋_GB2312"/>
          <w:color w:val="auto"/>
          <w:sz w:val="32"/>
          <w:szCs w:val="32"/>
          <w:highlight w:val="none"/>
          <w:lang w:val="en-US" w:eastAsia="zh-CN"/>
        </w:rPr>
        <w:t>142.45</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129.21</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机关事业单位基本养老保险缴费、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公务员医疗补助缴费、</w:t>
      </w:r>
      <w:r>
        <w:rPr>
          <w:rFonts w:hint="eastAsia" w:ascii="仿宋_GB2312" w:hAnsi="仿宋_GB2312" w:eastAsia="仿宋_GB2312" w:cs="仿宋_GB2312"/>
          <w:color w:val="auto"/>
          <w:sz w:val="32"/>
          <w:szCs w:val="32"/>
          <w:highlight w:val="none"/>
        </w:rPr>
        <w:t>其他社会保障缴费、住房公积金、其他工资福利支出；公用经费</w:t>
      </w:r>
      <w:r>
        <w:rPr>
          <w:rFonts w:hint="eastAsia" w:ascii="仿宋_GB2312" w:hAnsi="仿宋_GB2312" w:eastAsia="仿宋_GB2312" w:cs="仿宋_GB2312"/>
          <w:color w:val="auto"/>
          <w:sz w:val="32"/>
          <w:szCs w:val="32"/>
          <w:highlight w:val="none"/>
          <w:lang w:val="en-US" w:eastAsia="zh-CN"/>
        </w:rPr>
        <w:t>13.24</w:t>
      </w:r>
      <w:r>
        <w:rPr>
          <w:rFonts w:hint="eastAsia" w:ascii="仿宋_GB2312" w:hAnsi="仿宋_GB2312" w:eastAsia="仿宋_GB2312" w:cs="仿宋_GB2312"/>
          <w:color w:val="auto"/>
          <w:sz w:val="32"/>
          <w:szCs w:val="32"/>
          <w:highlight w:val="none"/>
        </w:rPr>
        <w:t>万元，主要包括：办公费、印刷费、水费、邮电费、差旅费、劳务费、工会经费、福利费、其他交通费用。</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2021年度“三公”经费财政拨款支出预算为</w:t>
      </w:r>
      <w:r>
        <w:rPr>
          <w:rFonts w:hint="eastAsia" w:ascii="仿宋_GB2312" w:hAnsi="仿宋_GB2312" w:eastAsia="仿宋_GB2312" w:cs="仿宋_GB2312"/>
          <w:color w:val="auto"/>
          <w:sz w:val="32"/>
          <w:szCs w:val="32"/>
          <w:highlight w:val="none"/>
          <w:lang w:val="en-US" w:eastAsia="zh-CN"/>
        </w:rPr>
        <w:t>1.20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%。2021年度“三公”经费支出决算数与预算数</w:t>
      </w:r>
      <w:r>
        <w:rPr>
          <w:rFonts w:hint="eastAsia" w:ascii="仿宋_GB2312" w:hAnsi="仿宋_GB2312" w:eastAsia="仿宋_GB2312" w:cs="仿宋_GB2312"/>
          <w:color w:val="auto"/>
          <w:sz w:val="32"/>
          <w:szCs w:val="32"/>
          <w:highlight w:val="none"/>
          <w:lang w:eastAsia="zh-CN"/>
        </w:rPr>
        <w:t>不存在差异</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万元。具体情况如下：</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万元，2021年度“三公”经费支出决算数与预算数</w:t>
      </w:r>
      <w:r>
        <w:rPr>
          <w:rFonts w:hint="eastAsia" w:ascii="仿宋_GB2312" w:hAnsi="仿宋_GB2312" w:eastAsia="仿宋_GB2312" w:cs="仿宋_GB2312"/>
          <w:color w:val="auto"/>
          <w:sz w:val="32"/>
          <w:szCs w:val="32"/>
          <w:highlight w:val="none"/>
          <w:lang w:eastAsia="zh-CN"/>
        </w:rPr>
        <w:t>不存在差异</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因公出国（境）团组数0个，</w:t>
      </w:r>
      <w:r>
        <w:rPr>
          <w:rFonts w:hint="eastAsia" w:ascii="仿宋_GB2312" w:hAnsi="仿宋_GB2312" w:eastAsia="仿宋_GB2312" w:cs="仿宋_GB2312"/>
          <w:color w:val="auto"/>
          <w:sz w:val="32"/>
          <w:szCs w:val="32"/>
          <w:highlight w:val="none"/>
          <w:lang w:eastAsia="zh-CN"/>
        </w:rPr>
        <w:t>累计</w:t>
      </w:r>
      <w:r>
        <w:rPr>
          <w:rFonts w:hint="eastAsia" w:ascii="仿宋_GB2312" w:hAnsi="仿宋_GB2312" w:eastAsia="仿宋_GB2312" w:cs="仿宋_GB2312"/>
          <w:color w:val="auto"/>
          <w:sz w:val="32"/>
          <w:szCs w:val="32"/>
          <w:highlight w:val="none"/>
          <w:lang w:val="en-US" w:eastAsia="zh-CN"/>
        </w:rPr>
        <w:t>0人次</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公务用车购置及运行费</w:t>
      </w:r>
      <w:r>
        <w:rPr>
          <w:rFonts w:hint="eastAsia" w:ascii="仿宋_GB2312" w:hAnsi="仿宋_GB2312" w:eastAsia="仿宋_GB2312" w:cs="仿宋_GB2312"/>
          <w:color w:val="auto"/>
          <w:sz w:val="32"/>
          <w:szCs w:val="32"/>
          <w:highlight w:val="none"/>
        </w:rPr>
        <w:t>预算为0万元，支出决算为0万元。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年度“三公”经费支出决算数与预算数不存在差异。其中：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rPr>
        <w:t>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年期末，单位开支财政拨款的公务用车保有量为0</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1.20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预算数与决算数存在差异的</w:t>
      </w:r>
      <w:r>
        <w:rPr>
          <w:rFonts w:hint="eastAsia" w:ascii="仿宋_GB2312" w:hAnsi="仿宋_GB2312" w:eastAsia="仿宋_GB2312" w:cs="仿宋_GB2312"/>
          <w:color w:val="auto"/>
          <w:sz w:val="32"/>
          <w:szCs w:val="32"/>
          <w:highlight w:val="none"/>
        </w:rPr>
        <w:t>主要原因是贯彻落实上级过紧日子要求，厉行节约，压减支出。其中：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来访团组0个、来宾0人次（不包括陪同人员）。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年共接待国内来访团组0个、来宾0人次（不包括陪同人员）。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年度政府性基金预算财政拨款支出年初预算为0万元，支出决算为0万元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不存在项目年末结转和结余资金数额较大，情况说明：我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14.30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13.24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92.59</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预算数存在差异的主要原因是贯彻落实上级过紧日子要求，厉行节约，压减支出。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2021年度政府采购支出总额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2021年期末，我单位共有车辆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（一）绩效管理工作开展情况。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一是健全绩效工作机制、明确职责分工。二是做好事前目标绩效编制并及时报送。三是加强事中绩效跟踪监控，深入开展支出绩效评价。四是强化评价结果应用，对发现的问题及时改进。2020年我单位纳入预算绩效管理的支出总额为149.43万元，其中：基本支出149.43万元；支出项目0个，支出金额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（二）许昌市自然资源和规划局东城区服务中心整体和项目绩效自评结果。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达到年初预期目标。二是项目绩效自评情况。我单位共有0个项目批复了绩效目标，项目金额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2021年我单位没有开展重点绩效评价的项目。</w:t>
      </w: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一、财政拨款收入：单位从同级政府财政</w:t>
      </w:r>
      <w:r>
        <w:rPr>
          <w:rFonts w:hint="eastAsia" w:ascii="宋体" w:hAnsi="宋体" w:cs="宋体"/>
          <w:color w:val="auto"/>
          <w:sz w:val="32"/>
          <w:szCs w:val="32"/>
          <w:highlight w:val="none"/>
          <w:lang w:eastAsia="zh-CN"/>
        </w:rPr>
        <w:t>单位</w:t>
      </w:r>
      <w:r>
        <w:rPr>
          <w:rFonts w:hint="eastAsia" w:ascii="宋体" w:hAnsi="宋体" w:eastAsia="宋体" w:cs="宋体"/>
          <w:color w:val="auto"/>
          <w:sz w:val="32"/>
          <w:szCs w:val="32"/>
          <w:highlight w:val="none"/>
        </w:rPr>
        <w:t>取得的财政预算资金。</w:t>
      </w:r>
    </w:p>
    <w:p>
      <w:pPr>
        <w:widowControl/>
        <w:spacing w:line="59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三、上级补助收入：事业单位从主管</w:t>
      </w:r>
      <w:r>
        <w:rPr>
          <w:rFonts w:hint="eastAsia" w:ascii="宋体" w:hAnsi="宋体" w:cs="宋体"/>
          <w:color w:val="auto"/>
          <w:sz w:val="32"/>
          <w:szCs w:val="32"/>
          <w:highlight w:val="none"/>
          <w:lang w:eastAsia="zh-CN"/>
        </w:rPr>
        <w:t>单位</w:t>
      </w:r>
      <w:r>
        <w:rPr>
          <w:rFonts w:hint="eastAsia" w:ascii="宋体" w:hAnsi="宋体" w:eastAsia="宋体" w:cs="宋体"/>
          <w:color w:val="auto"/>
          <w:sz w:val="32"/>
          <w:szCs w:val="32"/>
          <w:highlight w:val="none"/>
        </w:rPr>
        <w:t>和上级单位取得的非财政补助收入。</w:t>
      </w:r>
    </w:p>
    <w:p>
      <w:pPr>
        <w:widowControl/>
        <w:spacing w:line="59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十三、商品和服务支出：单位购买商品和服务的支出。</w:t>
      </w:r>
    </w:p>
    <w:p>
      <w:pPr>
        <w:widowControl/>
        <w:spacing w:line="59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B608BD"/>
    <w:multiLevelType w:val="singleLevel"/>
    <w:tmpl w:val="44B608BD"/>
    <w:lvl w:ilvl="0" w:tentative="0">
      <w:start w:val="1"/>
      <w:numFmt w:val="chineseCounting"/>
      <w:suff w:val="nothing"/>
      <w:lvlText w:val="%1、"/>
      <w:lvlJc w:val="left"/>
      <w:pPr>
        <w:ind w:left="-10"/>
      </w:pPr>
      <w:rPr>
        <w:rFonts w:hint="eastAsia"/>
      </w:rPr>
    </w:lvl>
  </w:abstractNum>
  <w:abstractNum w:abstractNumId="1">
    <w:nsid w:val="5971BE17"/>
    <w:multiLevelType w:val="singleLevel"/>
    <w:tmpl w:val="5971BE17"/>
    <w:lvl w:ilvl="0" w:tentative="0">
      <w:start w:val="1"/>
      <w:numFmt w:val="chineseCounting"/>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26326A"/>
    <w:rsid w:val="01322275"/>
    <w:rsid w:val="01461121"/>
    <w:rsid w:val="01DC6F05"/>
    <w:rsid w:val="021C29C7"/>
    <w:rsid w:val="022963A9"/>
    <w:rsid w:val="025272A3"/>
    <w:rsid w:val="0295277A"/>
    <w:rsid w:val="02A3489A"/>
    <w:rsid w:val="02CA138D"/>
    <w:rsid w:val="033646FC"/>
    <w:rsid w:val="037A0E7B"/>
    <w:rsid w:val="03C75F80"/>
    <w:rsid w:val="04243DB5"/>
    <w:rsid w:val="0454170E"/>
    <w:rsid w:val="0478364D"/>
    <w:rsid w:val="053A13B6"/>
    <w:rsid w:val="053D4C0D"/>
    <w:rsid w:val="0557532E"/>
    <w:rsid w:val="05C96731"/>
    <w:rsid w:val="06E675ED"/>
    <w:rsid w:val="07753180"/>
    <w:rsid w:val="0799329C"/>
    <w:rsid w:val="08397436"/>
    <w:rsid w:val="086F16A7"/>
    <w:rsid w:val="08B161F4"/>
    <w:rsid w:val="09CF4C12"/>
    <w:rsid w:val="09D1572D"/>
    <w:rsid w:val="0A0F7225"/>
    <w:rsid w:val="0A2B7D82"/>
    <w:rsid w:val="0ADC40E9"/>
    <w:rsid w:val="0AE607F4"/>
    <w:rsid w:val="0B386127"/>
    <w:rsid w:val="0B451598"/>
    <w:rsid w:val="0BEC73F4"/>
    <w:rsid w:val="0C392698"/>
    <w:rsid w:val="0C9A3091"/>
    <w:rsid w:val="0CCF6888"/>
    <w:rsid w:val="0D896A37"/>
    <w:rsid w:val="0FC935AF"/>
    <w:rsid w:val="10120F66"/>
    <w:rsid w:val="102C7B4F"/>
    <w:rsid w:val="108D7E56"/>
    <w:rsid w:val="10901ACA"/>
    <w:rsid w:val="10BD36F6"/>
    <w:rsid w:val="11BF0649"/>
    <w:rsid w:val="122D5442"/>
    <w:rsid w:val="123E3E08"/>
    <w:rsid w:val="12DB7D35"/>
    <w:rsid w:val="13211947"/>
    <w:rsid w:val="133212F4"/>
    <w:rsid w:val="13D22E22"/>
    <w:rsid w:val="14005579"/>
    <w:rsid w:val="14280856"/>
    <w:rsid w:val="14A743FC"/>
    <w:rsid w:val="14AE047D"/>
    <w:rsid w:val="15E10D2D"/>
    <w:rsid w:val="161C2DFF"/>
    <w:rsid w:val="16373578"/>
    <w:rsid w:val="16D3336B"/>
    <w:rsid w:val="17200028"/>
    <w:rsid w:val="17280258"/>
    <w:rsid w:val="17806C36"/>
    <w:rsid w:val="17A6314B"/>
    <w:rsid w:val="17A74F62"/>
    <w:rsid w:val="17F4264D"/>
    <w:rsid w:val="18A47774"/>
    <w:rsid w:val="191E00E0"/>
    <w:rsid w:val="19307018"/>
    <w:rsid w:val="19AD0B89"/>
    <w:rsid w:val="1A085187"/>
    <w:rsid w:val="1A41348C"/>
    <w:rsid w:val="1A857EC7"/>
    <w:rsid w:val="1A8D28EB"/>
    <w:rsid w:val="1A9F2D78"/>
    <w:rsid w:val="1B2E6FD8"/>
    <w:rsid w:val="1B877D21"/>
    <w:rsid w:val="1BF46931"/>
    <w:rsid w:val="1C4319A9"/>
    <w:rsid w:val="1CB17D58"/>
    <w:rsid w:val="1CB659F1"/>
    <w:rsid w:val="1E26718B"/>
    <w:rsid w:val="1E443B4B"/>
    <w:rsid w:val="1E994F4A"/>
    <w:rsid w:val="1EAF0224"/>
    <w:rsid w:val="1F2230A4"/>
    <w:rsid w:val="1F57140C"/>
    <w:rsid w:val="20210932"/>
    <w:rsid w:val="202448E0"/>
    <w:rsid w:val="203A2031"/>
    <w:rsid w:val="206F5775"/>
    <w:rsid w:val="20C444FE"/>
    <w:rsid w:val="20F614FE"/>
    <w:rsid w:val="21302EEA"/>
    <w:rsid w:val="21611D4D"/>
    <w:rsid w:val="21D06A21"/>
    <w:rsid w:val="22095449"/>
    <w:rsid w:val="221072CF"/>
    <w:rsid w:val="22376FB5"/>
    <w:rsid w:val="22716FF0"/>
    <w:rsid w:val="2318468D"/>
    <w:rsid w:val="23E136EE"/>
    <w:rsid w:val="23E152D7"/>
    <w:rsid w:val="23E5493D"/>
    <w:rsid w:val="23EE2489"/>
    <w:rsid w:val="24311EAA"/>
    <w:rsid w:val="255D43C8"/>
    <w:rsid w:val="25E90563"/>
    <w:rsid w:val="26363287"/>
    <w:rsid w:val="265D7C32"/>
    <w:rsid w:val="26714EF8"/>
    <w:rsid w:val="26876BDD"/>
    <w:rsid w:val="2714632A"/>
    <w:rsid w:val="27541E73"/>
    <w:rsid w:val="27B0539E"/>
    <w:rsid w:val="28100B53"/>
    <w:rsid w:val="285F6CAC"/>
    <w:rsid w:val="29365CF8"/>
    <w:rsid w:val="2942782E"/>
    <w:rsid w:val="29500B22"/>
    <w:rsid w:val="295353E6"/>
    <w:rsid w:val="299469B3"/>
    <w:rsid w:val="2A805789"/>
    <w:rsid w:val="2AC56CC9"/>
    <w:rsid w:val="2ADC0D75"/>
    <w:rsid w:val="2B4A0E52"/>
    <w:rsid w:val="2B5364BC"/>
    <w:rsid w:val="2C1B70F5"/>
    <w:rsid w:val="2C4D3572"/>
    <w:rsid w:val="2C975890"/>
    <w:rsid w:val="2D7D1E7E"/>
    <w:rsid w:val="2D8D7A26"/>
    <w:rsid w:val="2DCFC71E"/>
    <w:rsid w:val="2DEF21BB"/>
    <w:rsid w:val="2E206AEC"/>
    <w:rsid w:val="2E4A2F05"/>
    <w:rsid w:val="2ECC1061"/>
    <w:rsid w:val="2EF37D5C"/>
    <w:rsid w:val="2F0F5455"/>
    <w:rsid w:val="2FA476AD"/>
    <w:rsid w:val="2FE73E19"/>
    <w:rsid w:val="2FEF49C8"/>
    <w:rsid w:val="303F7540"/>
    <w:rsid w:val="309C08A1"/>
    <w:rsid w:val="31466811"/>
    <w:rsid w:val="31D82B27"/>
    <w:rsid w:val="31DD00BF"/>
    <w:rsid w:val="32927D9F"/>
    <w:rsid w:val="3293174C"/>
    <w:rsid w:val="32BB38D4"/>
    <w:rsid w:val="32C9376D"/>
    <w:rsid w:val="33780472"/>
    <w:rsid w:val="33AF0905"/>
    <w:rsid w:val="33C148CD"/>
    <w:rsid w:val="3421711A"/>
    <w:rsid w:val="34897199"/>
    <w:rsid w:val="350D451A"/>
    <w:rsid w:val="353E6F73"/>
    <w:rsid w:val="355932F4"/>
    <w:rsid w:val="35611882"/>
    <w:rsid w:val="35AD6EB7"/>
    <w:rsid w:val="35B74C89"/>
    <w:rsid w:val="36746FC3"/>
    <w:rsid w:val="368763AE"/>
    <w:rsid w:val="36C73FA8"/>
    <w:rsid w:val="37411994"/>
    <w:rsid w:val="37EA3B73"/>
    <w:rsid w:val="3836693D"/>
    <w:rsid w:val="38701C5D"/>
    <w:rsid w:val="387B6D70"/>
    <w:rsid w:val="395D59E7"/>
    <w:rsid w:val="39A93932"/>
    <w:rsid w:val="39C032F4"/>
    <w:rsid w:val="39D3481C"/>
    <w:rsid w:val="3A046550"/>
    <w:rsid w:val="3A915562"/>
    <w:rsid w:val="3B8D4765"/>
    <w:rsid w:val="3C000DBA"/>
    <w:rsid w:val="3D071729"/>
    <w:rsid w:val="3D371930"/>
    <w:rsid w:val="3DC045D3"/>
    <w:rsid w:val="3E504FFB"/>
    <w:rsid w:val="3E615CD0"/>
    <w:rsid w:val="3E9C47F6"/>
    <w:rsid w:val="3F5900B0"/>
    <w:rsid w:val="3F8B0112"/>
    <w:rsid w:val="3FAB3095"/>
    <w:rsid w:val="3FC45529"/>
    <w:rsid w:val="3FE45947"/>
    <w:rsid w:val="41242965"/>
    <w:rsid w:val="41517290"/>
    <w:rsid w:val="435671EA"/>
    <w:rsid w:val="43D03FEB"/>
    <w:rsid w:val="440419F3"/>
    <w:rsid w:val="440809E9"/>
    <w:rsid w:val="44096AD1"/>
    <w:rsid w:val="442407A6"/>
    <w:rsid w:val="446948F1"/>
    <w:rsid w:val="44805EA1"/>
    <w:rsid w:val="451A3E3D"/>
    <w:rsid w:val="45710696"/>
    <w:rsid w:val="45E6265E"/>
    <w:rsid w:val="46142B1B"/>
    <w:rsid w:val="46AA65F3"/>
    <w:rsid w:val="46CC30CE"/>
    <w:rsid w:val="47280A93"/>
    <w:rsid w:val="47E60DD0"/>
    <w:rsid w:val="48735039"/>
    <w:rsid w:val="48A44149"/>
    <w:rsid w:val="492823DB"/>
    <w:rsid w:val="492C684B"/>
    <w:rsid w:val="49500594"/>
    <w:rsid w:val="49E7604E"/>
    <w:rsid w:val="4AF64A04"/>
    <w:rsid w:val="4B4954F8"/>
    <w:rsid w:val="4BB5666E"/>
    <w:rsid w:val="4BF67CDD"/>
    <w:rsid w:val="4C583BC9"/>
    <w:rsid w:val="4D173441"/>
    <w:rsid w:val="4D207BF6"/>
    <w:rsid w:val="4D603DD6"/>
    <w:rsid w:val="4D980078"/>
    <w:rsid w:val="4DA651EB"/>
    <w:rsid w:val="4DDD7716"/>
    <w:rsid w:val="4E687FB8"/>
    <w:rsid w:val="4EBF010F"/>
    <w:rsid w:val="4F471EB0"/>
    <w:rsid w:val="4F8A350E"/>
    <w:rsid w:val="509E1DC6"/>
    <w:rsid w:val="50ED41B9"/>
    <w:rsid w:val="510C61C9"/>
    <w:rsid w:val="51331326"/>
    <w:rsid w:val="51740A7F"/>
    <w:rsid w:val="51A5541E"/>
    <w:rsid w:val="51C96242"/>
    <w:rsid w:val="520667EA"/>
    <w:rsid w:val="52746F65"/>
    <w:rsid w:val="527A5F1B"/>
    <w:rsid w:val="532F278D"/>
    <w:rsid w:val="53906AE1"/>
    <w:rsid w:val="54F46F60"/>
    <w:rsid w:val="55A37BEA"/>
    <w:rsid w:val="56362CD2"/>
    <w:rsid w:val="56A8644E"/>
    <w:rsid w:val="56B22127"/>
    <w:rsid w:val="57710879"/>
    <w:rsid w:val="57776ECD"/>
    <w:rsid w:val="577A280B"/>
    <w:rsid w:val="5784687B"/>
    <w:rsid w:val="57846959"/>
    <w:rsid w:val="578515EA"/>
    <w:rsid w:val="578E6A87"/>
    <w:rsid w:val="58C062A1"/>
    <w:rsid w:val="59A65848"/>
    <w:rsid w:val="59A815C0"/>
    <w:rsid w:val="59C5167B"/>
    <w:rsid w:val="59D78967"/>
    <w:rsid w:val="5A1137EC"/>
    <w:rsid w:val="5A5031A3"/>
    <w:rsid w:val="5A51073C"/>
    <w:rsid w:val="5AC2203A"/>
    <w:rsid w:val="5B417F1E"/>
    <w:rsid w:val="5BF39B04"/>
    <w:rsid w:val="5CAE4CAF"/>
    <w:rsid w:val="5CBB3334"/>
    <w:rsid w:val="5CEE378D"/>
    <w:rsid w:val="5D010C8A"/>
    <w:rsid w:val="5D115FAF"/>
    <w:rsid w:val="5D267F6F"/>
    <w:rsid w:val="5EA71848"/>
    <w:rsid w:val="5EC057CC"/>
    <w:rsid w:val="5ED2780B"/>
    <w:rsid w:val="5F0511C1"/>
    <w:rsid w:val="5F1D3712"/>
    <w:rsid w:val="601E438A"/>
    <w:rsid w:val="606778B9"/>
    <w:rsid w:val="609D5BF6"/>
    <w:rsid w:val="60C767CF"/>
    <w:rsid w:val="61284962"/>
    <w:rsid w:val="61E17D65"/>
    <w:rsid w:val="62124BB6"/>
    <w:rsid w:val="62811722"/>
    <w:rsid w:val="62E75A72"/>
    <w:rsid w:val="641F6922"/>
    <w:rsid w:val="64571880"/>
    <w:rsid w:val="649125B6"/>
    <w:rsid w:val="652F4C1A"/>
    <w:rsid w:val="65DA26AA"/>
    <w:rsid w:val="662446C4"/>
    <w:rsid w:val="666D37F1"/>
    <w:rsid w:val="67087D8F"/>
    <w:rsid w:val="671F687E"/>
    <w:rsid w:val="675863D3"/>
    <w:rsid w:val="67F415F8"/>
    <w:rsid w:val="682640D1"/>
    <w:rsid w:val="68442FC0"/>
    <w:rsid w:val="684B73E5"/>
    <w:rsid w:val="69975CFE"/>
    <w:rsid w:val="6A047A2A"/>
    <w:rsid w:val="6A3F07DE"/>
    <w:rsid w:val="6A561D0C"/>
    <w:rsid w:val="6A9A31A7"/>
    <w:rsid w:val="6AD22940"/>
    <w:rsid w:val="6C2F5A1E"/>
    <w:rsid w:val="6E190801"/>
    <w:rsid w:val="6E296D1B"/>
    <w:rsid w:val="6E8B47EC"/>
    <w:rsid w:val="6E8E3022"/>
    <w:rsid w:val="6EF03395"/>
    <w:rsid w:val="6EFB7548"/>
    <w:rsid w:val="6F0E9587"/>
    <w:rsid w:val="6F3831C3"/>
    <w:rsid w:val="6F8B71C1"/>
    <w:rsid w:val="6FBF421C"/>
    <w:rsid w:val="6FFB23F8"/>
    <w:rsid w:val="70753482"/>
    <w:rsid w:val="707B522A"/>
    <w:rsid w:val="70F22642"/>
    <w:rsid w:val="710870BC"/>
    <w:rsid w:val="726002FB"/>
    <w:rsid w:val="727B6DED"/>
    <w:rsid w:val="73194D05"/>
    <w:rsid w:val="73A83B0E"/>
    <w:rsid w:val="73F751C6"/>
    <w:rsid w:val="74377A4B"/>
    <w:rsid w:val="744D3EF9"/>
    <w:rsid w:val="745F6056"/>
    <w:rsid w:val="74794411"/>
    <w:rsid w:val="75867C40"/>
    <w:rsid w:val="75B10B26"/>
    <w:rsid w:val="762027B2"/>
    <w:rsid w:val="76432199"/>
    <w:rsid w:val="76F44829"/>
    <w:rsid w:val="771F3459"/>
    <w:rsid w:val="77A267C0"/>
    <w:rsid w:val="78882278"/>
    <w:rsid w:val="78B118A6"/>
    <w:rsid w:val="78FB12B4"/>
    <w:rsid w:val="79135044"/>
    <w:rsid w:val="793D6FDE"/>
    <w:rsid w:val="794A2199"/>
    <w:rsid w:val="7A1E1093"/>
    <w:rsid w:val="7A790F74"/>
    <w:rsid w:val="7A7D0F99"/>
    <w:rsid w:val="7C8E3319"/>
    <w:rsid w:val="7CC61E13"/>
    <w:rsid w:val="7DA3A1AE"/>
    <w:rsid w:val="7DB027AB"/>
    <w:rsid w:val="7DFCF9F2"/>
    <w:rsid w:val="7E4A0E7C"/>
    <w:rsid w:val="7EAE6D0A"/>
    <w:rsid w:val="7EFD449D"/>
    <w:rsid w:val="7F7B6E94"/>
    <w:rsid w:val="7F7E49ED"/>
    <w:rsid w:val="7FC4144D"/>
    <w:rsid w:val="7FFDCF83"/>
    <w:rsid w:val="AB8D4028"/>
    <w:rsid w:val="B7DFC3F0"/>
    <w:rsid w:val="BBE5E3DB"/>
    <w:rsid w:val="EDD1E8B7"/>
    <w:rsid w:val="F7F3332C"/>
    <w:rsid w:val="F8FD3A61"/>
    <w:rsid w:val="F99BBB6E"/>
    <w:rsid w:val="FBED346F"/>
    <w:rsid w:val="FDD43D05"/>
    <w:rsid w:val="FF3D30F1"/>
    <w:rsid w:val="FFF885B8"/>
    <w:rsid w:val="FFFFB1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8592</Words>
  <Characters>10130</Characters>
  <Lines>60</Lines>
  <Paragraphs>16</Paragraphs>
  <TotalTime>9</TotalTime>
  <ScaleCrop>false</ScaleCrop>
  <LinksUpToDate>false</LinksUpToDate>
  <CharactersWithSpaces>10359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悟の</cp:lastModifiedBy>
  <cp:lastPrinted>2023-02-22T01:41:00Z</cp:lastPrinted>
  <dcterms:modified xsi:type="dcterms:W3CDTF">2023-09-17T11:15:32Z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2A3756929DDF4D58AC5CF15F1323B8E2_13</vt:lpwstr>
  </property>
</Properties>
</file>