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许昌市职业与成人教育教学研究室</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许昌市职业与成人教育教学研究室概况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52"/>
          <w:szCs w:val="52"/>
          <w:highlight w:val="none"/>
        </w:rPr>
        <w:t>许昌市职业与成人教育教学研究室</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许昌市职业与成人教育教学研究室是具有独立法人资格的正科级事业单位，属许昌市教育局直属二级机构。我</w:t>
      </w:r>
      <w:r>
        <w:rPr>
          <w:rFonts w:hint="eastAsia" w:ascii="仿宋" w:hAnsi="仿宋" w:eastAsia="仿宋"/>
          <w:color w:val="auto"/>
          <w:sz w:val="32"/>
          <w:szCs w:val="28"/>
          <w:highlight w:val="none"/>
        </w:rPr>
        <w:t>室的主要职能是：</w:t>
      </w:r>
      <w:r>
        <w:rPr>
          <w:rFonts w:hint="eastAsia" w:ascii="仿宋_GB2312" w:hAnsi="宋体" w:eastAsia="仿宋_GB2312" w:cs="宋体"/>
          <w:color w:val="auto"/>
          <w:kern w:val="0"/>
          <w:sz w:val="32"/>
          <w:szCs w:val="32"/>
          <w:highlight w:val="none"/>
        </w:rPr>
        <w:t>指导全市职业学校和成人学校的教育教学工作；检查、评估职业学校、成人学校的教育教学质量；组织开展教师培训，培养“双师型”教师，加快教育教学改革进程；开发和编写地方教材；开展扫盲教育、扫盲后技术培训以及农村劳动力转移培训工作；组织多种形式的技能竞赛和技能测试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许昌市职业与成人教育教学研究室内设机构</w:t>
      </w: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个</w:t>
      </w:r>
      <w:r>
        <w:rPr>
          <w:rFonts w:hint="eastAsia" w:ascii="仿宋_GB2312" w:hAnsi="宋体" w:eastAsia="仿宋_GB2312" w:cs="宋体"/>
          <w:color w:val="auto"/>
          <w:kern w:val="0"/>
          <w:sz w:val="32"/>
          <w:szCs w:val="32"/>
          <w:highlight w:val="none"/>
          <w:lang w:eastAsia="zh-CN"/>
        </w:rPr>
        <w:t>，包括：办公室、职业教研部和成人教研部</w:t>
      </w:r>
      <w:r>
        <w:rPr>
          <w:rFonts w:hint="eastAsia" w:ascii="仿宋_GB2312" w:hAnsi="宋体" w:eastAsia="仿宋_GB2312" w:cs="宋体"/>
          <w:color w:val="auto"/>
          <w:kern w:val="0"/>
          <w:sz w:val="32"/>
          <w:szCs w:val="32"/>
          <w:highlight w:val="none"/>
        </w:rPr>
        <w:t>。</w:t>
      </w:r>
    </w:p>
    <w:p>
      <w:pPr>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从决算单位构成看，许昌市职业与成人教育教学研究室</w:t>
      </w:r>
      <w:r>
        <w:rPr>
          <w:rFonts w:hint="eastAsia" w:ascii="仿宋_GB2312" w:hAnsi="宋体" w:eastAsia="仿宋_GB2312" w:cs="宋体"/>
          <w:color w:val="auto"/>
          <w:kern w:val="0"/>
          <w:sz w:val="32"/>
          <w:szCs w:val="32"/>
          <w:highlight w:val="none"/>
          <w:lang w:eastAsia="zh-CN"/>
        </w:rPr>
        <w:t>单位决算</w:t>
      </w:r>
      <w:r>
        <w:rPr>
          <w:rFonts w:hint="eastAsia" w:ascii="仿宋_GB2312" w:hAnsi="宋体" w:eastAsia="仿宋_GB2312" w:cs="宋体"/>
          <w:color w:val="auto"/>
          <w:kern w:val="0"/>
          <w:sz w:val="32"/>
          <w:szCs w:val="32"/>
          <w:highlight w:val="none"/>
        </w:rPr>
        <w:t>包括：本级决算。</w:t>
      </w:r>
    </w:p>
    <w:p>
      <w:pPr>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纳入本</w:t>
      </w:r>
      <w:r>
        <w:rPr>
          <w:rFonts w:hint="eastAsia" w:ascii="仿宋_GB2312" w:hAnsi="宋体" w:eastAsia="仿宋_GB2312" w:cs="宋体"/>
          <w:color w:val="auto"/>
          <w:kern w:val="0"/>
          <w:sz w:val="32"/>
          <w:szCs w:val="32"/>
          <w:highlight w:val="none"/>
          <w:lang w:eastAsia="zh-CN"/>
        </w:rPr>
        <w:t>单位</w:t>
      </w: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eastAsia="zh-CN"/>
        </w:rPr>
        <w:t>单位决算</w:t>
      </w:r>
      <w:r>
        <w:rPr>
          <w:rFonts w:hint="eastAsia" w:ascii="仿宋_GB2312" w:hAnsi="宋体" w:eastAsia="仿宋_GB2312" w:cs="宋体"/>
          <w:color w:val="auto"/>
          <w:kern w:val="0"/>
          <w:sz w:val="32"/>
          <w:szCs w:val="32"/>
          <w:highlight w:val="none"/>
        </w:rPr>
        <w:t>编制范围的单位共1个，具体是：</w:t>
      </w:r>
    </w:p>
    <w:p>
      <w:pPr>
        <w:spacing w:line="360" w:lineRule="auto"/>
        <w:ind w:firstLine="640" w:firstLineChars="200"/>
        <w:jc w:val="left"/>
        <w:outlineLvl w:val="1"/>
        <w:rPr>
          <w:rFonts w:hint="eastAsia" w:ascii="宋体" w:hAnsi="宋体" w:cs="宋体"/>
          <w:color w:val="auto"/>
          <w:sz w:val="32"/>
          <w:szCs w:val="32"/>
          <w:highlight w:val="none"/>
        </w:rPr>
      </w:pPr>
      <w:r>
        <w:rPr>
          <w:rFonts w:hint="eastAsia" w:ascii="仿宋_GB2312" w:hAnsi="宋体" w:eastAsia="仿宋_GB2312" w:cs="宋体"/>
          <w:color w:val="auto"/>
          <w:kern w:val="0"/>
          <w:sz w:val="32"/>
          <w:szCs w:val="32"/>
          <w:highlight w:val="none"/>
        </w:rPr>
        <w:t>1. 许昌市职业与成人教育教学研究室</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121" w:type="dxa"/>
        <w:tblInd w:w="89" w:type="dxa"/>
        <w:tblLayout w:type="autofit"/>
        <w:tblCellMar>
          <w:top w:w="0" w:type="dxa"/>
          <w:left w:w="108" w:type="dxa"/>
          <w:bottom w:w="0" w:type="dxa"/>
          <w:right w:w="108" w:type="dxa"/>
        </w:tblCellMar>
      </w:tblPr>
      <w:tblGrid>
        <w:gridCol w:w="5104"/>
        <w:gridCol w:w="670"/>
        <w:gridCol w:w="979"/>
        <w:gridCol w:w="4681"/>
        <w:gridCol w:w="670"/>
        <w:gridCol w:w="2017"/>
      </w:tblGrid>
      <w:tr>
        <w:tblPrEx>
          <w:tblCellMar>
            <w:top w:w="0" w:type="dxa"/>
            <w:left w:w="108" w:type="dxa"/>
            <w:bottom w:w="0" w:type="dxa"/>
            <w:right w:w="108" w:type="dxa"/>
          </w:tblCellMar>
        </w:tblPrEx>
        <w:trPr>
          <w:trHeight w:val="390" w:hRule="atLeast"/>
        </w:trPr>
        <w:tc>
          <w:tcPr>
            <w:tcW w:w="14121" w:type="dxa"/>
            <w:gridSpan w:val="6"/>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104"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0"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79"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681"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0"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017" w:type="dxa"/>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公开01表</w:t>
            </w:r>
          </w:p>
        </w:tc>
      </w:tr>
      <w:tr>
        <w:tblPrEx>
          <w:tblCellMar>
            <w:top w:w="0" w:type="dxa"/>
            <w:left w:w="108" w:type="dxa"/>
            <w:bottom w:w="0" w:type="dxa"/>
            <w:right w:w="108" w:type="dxa"/>
          </w:tblCellMar>
        </w:tblPrEx>
        <w:trPr>
          <w:trHeight w:val="255" w:hRule="atLeast"/>
        </w:trPr>
        <w:tc>
          <w:tcPr>
            <w:tcW w:w="5104" w:type="dxa"/>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tc>
        <w:tc>
          <w:tcPr>
            <w:tcW w:w="670"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79"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681"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70"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017" w:type="dxa"/>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6753"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收入</w:t>
            </w:r>
          </w:p>
        </w:tc>
        <w:tc>
          <w:tcPr>
            <w:tcW w:w="7368" w:type="dxa"/>
            <w:gridSpan w:val="3"/>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支出</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97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金额</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201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金额</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97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201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100.61</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一、一般公共服务支出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二、政府性基金预算财政拨款收入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二、外交支出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三、国有资本经营预算财政拨款收入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三、国防支出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四、上级补助收入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四、公共安全支出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五、事业收入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五、教育支出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六、经营收入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六、科学技术支出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七、附属单位上缴收入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七、文化旅游体育与传媒支出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八、其他收入</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八、社会保障和就业支出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九、卫生健康支出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十、节能环保支出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41</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十一、城乡社区支出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十二、农林水支出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十三、交通运输支出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十四、资源勘探工业信息等支出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十五、商业服务业等支出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十六、金融支出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十七、援助其他地区支出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十八、自然资源海洋气象等支出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十九、住房保障支出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二十、粮油物资储备支出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51</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二十一、国有资本经营预算支出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22</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二十二、灾害防治及应急管理支出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53</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23</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二十三、其他支出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54</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0"/>
                <w:szCs w:val="20"/>
                <w:highlight w:val="none"/>
              </w:rPr>
            </w:pPr>
            <w:r>
              <w:rPr>
                <w:rFonts w:hint="eastAsia" w:cs="Arial"/>
                <w:b/>
                <w:bCs/>
                <w:color w:val="auto"/>
                <w:sz w:val="20"/>
                <w:szCs w:val="20"/>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24</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二十四、债务还本支出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55</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25</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二十五、债务付息支出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56</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0"/>
                <w:szCs w:val="20"/>
                <w:highlight w:val="none"/>
              </w:rPr>
            </w:pPr>
            <w:r>
              <w:rPr>
                <w:rFonts w:hint="eastAsia" w:cs="Arial"/>
                <w:color w:val="auto"/>
                <w:sz w:val="20"/>
                <w:szCs w:val="20"/>
                <w:highlight w:val="none"/>
              </w:rPr>
              <w:t>26</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0"/>
                <w:szCs w:val="20"/>
                <w:highlight w:val="none"/>
              </w:rPr>
            </w:pPr>
            <w:r>
              <w:rPr>
                <w:rFonts w:hint="eastAsia" w:cs="Arial"/>
                <w:color w:val="auto"/>
                <w:sz w:val="20"/>
                <w:szCs w:val="20"/>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二十六、抗疫特别国债安排的支出</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57</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本年收入合计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27</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100.61</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本年支出合计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58</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使用非财政拨款结余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28</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结余分配</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59</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年初结转和结余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29</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6.83</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年末结转和结余</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60</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30</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681"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61</w:t>
            </w:r>
          </w:p>
        </w:tc>
        <w:tc>
          <w:tcPr>
            <w:tcW w:w="2017"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104"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70" w:type="dxa"/>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31</w:t>
            </w:r>
          </w:p>
        </w:tc>
        <w:tc>
          <w:tcPr>
            <w:tcW w:w="97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4681"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67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62</w:t>
            </w:r>
          </w:p>
        </w:tc>
        <w:tc>
          <w:tcPr>
            <w:tcW w:w="201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r>
      <w:tr>
        <w:tblPrEx>
          <w:tblCellMar>
            <w:top w:w="0" w:type="dxa"/>
            <w:left w:w="108" w:type="dxa"/>
            <w:bottom w:w="0" w:type="dxa"/>
            <w:right w:w="108" w:type="dxa"/>
          </w:tblCellMar>
        </w:tblPrEx>
        <w:trPr>
          <w:trHeight w:val="308" w:hRule="atLeast"/>
        </w:trPr>
        <w:tc>
          <w:tcPr>
            <w:tcW w:w="14121" w:type="dxa"/>
            <w:gridSpan w:val="6"/>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00"/>
        <w:gridCol w:w="315"/>
        <w:gridCol w:w="271"/>
        <w:gridCol w:w="4139"/>
        <w:gridCol w:w="1369"/>
        <w:gridCol w:w="1369"/>
        <w:gridCol w:w="1120"/>
        <w:gridCol w:w="1120"/>
        <w:gridCol w:w="1131"/>
        <w:gridCol w:w="1140"/>
        <w:gridCol w:w="1800"/>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收入决算表</w:t>
            </w:r>
          </w:p>
        </w:tc>
      </w:tr>
      <w:tr>
        <w:tblPrEx>
          <w:tblCellMar>
            <w:top w:w="0" w:type="dxa"/>
            <w:left w:w="108" w:type="dxa"/>
            <w:bottom w:w="0" w:type="dxa"/>
            <w:right w:w="108" w:type="dxa"/>
          </w:tblCellMar>
        </w:tblPrEx>
        <w:trPr>
          <w:trHeight w:val="255" w:hRule="atLeast"/>
        </w:trPr>
        <w:tc>
          <w:tcPr>
            <w:tcW w:w="14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46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8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8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0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34"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公开02表</w:t>
            </w:r>
          </w:p>
        </w:tc>
      </w:tr>
      <w:tr>
        <w:tblPrEx>
          <w:tblCellMar>
            <w:top w:w="0" w:type="dxa"/>
            <w:left w:w="108" w:type="dxa"/>
            <w:bottom w:w="0" w:type="dxa"/>
            <w:right w:w="108" w:type="dxa"/>
          </w:tblCellMar>
        </w:tblPrEx>
        <w:trPr>
          <w:trHeight w:val="255" w:hRule="atLeast"/>
        </w:trPr>
        <w:tc>
          <w:tcPr>
            <w:tcW w:w="1808" w:type="pct"/>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tc>
        <w:tc>
          <w:tcPr>
            <w:tcW w:w="48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8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9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0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34"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1808"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48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本年收入合计</w:t>
            </w:r>
          </w:p>
        </w:tc>
        <w:tc>
          <w:tcPr>
            <w:tcW w:w="48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财政拨款收入</w:t>
            </w:r>
          </w:p>
        </w:tc>
        <w:tc>
          <w:tcPr>
            <w:tcW w:w="39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上级补助收入</w:t>
            </w:r>
          </w:p>
        </w:tc>
        <w:tc>
          <w:tcPr>
            <w:tcW w:w="395"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事业收入</w:t>
            </w:r>
          </w:p>
        </w:tc>
        <w:tc>
          <w:tcPr>
            <w:tcW w:w="39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经营收入</w:t>
            </w:r>
          </w:p>
        </w:tc>
        <w:tc>
          <w:tcPr>
            <w:tcW w:w="40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附属单位上缴收入</w:t>
            </w:r>
          </w:p>
        </w:tc>
        <w:tc>
          <w:tcPr>
            <w:tcW w:w="634"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其他收入</w:t>
            </w:r>
          </w:p>
        </w:tc>
      </w:tr>
      <w:tr>
        <w:tblPrEx>
          <w:tblCellMar>
            <w:top w:w="0" w:type="dxa"/>
            <w:left w:w="108" w:type="dxa"/>
            <w:bottom w:w="0" w:type="dxa"/>
            <w:right w:w="108" w:type="dxa"/>
          </w:tblCellMar>
        </w:tblPrEx>
        <w:trPr>
          <w:trHeight w:val="312" w:hRule="atLeast"/>
        </w:trPr>
        <w:tc>
          <w:tcPr>
            <w:tcW w:w="348"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146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46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46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8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5"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9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34"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1808"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48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48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395"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395"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399"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402"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c>
          <w:tcPr>
            <w:tcW w:w="634"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7</w:t>
            </w:r>
          </w:p>
        </w:tc>
      </w:tr>
      <w:tr>
        <w:tblPrEx>
          <w:tblCellMar>
            <w:top w:w="0" w:type="dxa"/>
            <w:left w:w="108" w:type="dxa"/>
            <w:bottom w:w="0" w:type="dxa"/>
            <w:right w:w="108" w:type="dxa"/>
          </w:tblCellMar>
        </w:tblPrEx>
        <w:trPr>
          <w:trHeight w:val="308" w:hRule="atLeast"/>
        </w:trPr>
        <w:tc>
          <w:tcPr>
            <w:tcW w:w="1808"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100.61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100.61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73.98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23.88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18.30</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18.30</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2.24</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460"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8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9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0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34"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400"/>
        <w:gridCol w:w="315"/>
        <w:gridCol w:w="271"/>
        <w:gridCol w:w="4533"/>
        <w:gridCol w:w="1500"/>
        <w:gridCol w:w="1505"/>
        <w:gridCol w:w="1225"/>
        <w:gridCol w:w="1227"/>
        <w:gridCol w:w="1236"/>
        <w:gridCol w:w="1962"/>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支出决算表</w:t>
            </w:r>
          </w:p>
        </w:tc>
      </w:tr>
      <w:tr>
        <w:tblPrEx>
          <w:tblCellMar>
            <w:top w:w="0" w:type="dxa"/>
            <w:left w:w="108" w:type="dxa"/>
            <w:bottom w:w="0" w:type="dxa"/>
            <w:right w:w="108" w:type="dxa"/>
          </w:tblCellMar>
        </w:tblPrEx>
        <w:trPr>
          <w:trHeight w:val="255" w:hRule="atLeast"/>
        </w:trPr>
        <w:tc>
          <w:tcPr>
            <w:tcW w:w="14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9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9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2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91"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公开03表</w:t>
            </w:r>
          </w:p>
        </w:tc>
      </w:tr>
      <w:tr>
        <w:tblPrEx>
          <w:tblCellMar>
            <w:top w:w="0" w:type="dxa"/>
            <w:left w:w="108" w:type="dxa"/>
            <w:bottom w:w="0" w:type="dxa"/>
            <w:right w:w="108" w:type="dxa"/>
          </w:tblCellMar>
        </w:tblPrEx>
        <w:trPr>
          <w:trHeight w:val="255" w:hRule="atLeast"/>
        </w:trPr>
        <w:tc>
          <w:tcPr>
            <w:tcW w:w="1947" w:type="pct"/>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tc>
        <w:tc>
          <w:tcPr>
            <w:tcW w:w="52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91"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529"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本年支出合计</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432"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c>
          <w:tcPr>
            <w:tcW w:w="43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上缴上级支出</w:t>
            </w:r>
          </w:p>
        </w:tc>
        <w:tc>
          <w:tcPr>
            <w:tcW w:w="436"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经营支出</w:t>
            </w:r>
          </w:p>
        </w:tc>
        <w:tc>
          <w:tcPr>
            <w:tcW w:w="69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对附属单位补助支出</w:t>
            </w:r>
          </w:p>
        </w:tc>
      </w:tr>
      <w:tr>
        <w:tblPrEx>
          <w:tblCellMar>
            <w:top w:w="0" w:type="dxa"/>
            <w:left w:w="108" w:type="dxa"/>
            <w:bottom w:w="0" w:type="dxa"/>
            <w:right w:w="108" w:type="dxa"/>
          </w:tblCellMar>
        </w:tblPrEx>
        <w:trPr>
          <w:trHeight w:val="312" w:hRule="atLeast"/>
        </w:trPr>
        <w:tc>
          <w:tcPr>
            <w:tcW w:w="348"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1599"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599"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348"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599"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29"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2"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6"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9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529"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1</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2</w:t>
            </w:r>
          </w:p>
        </w:tc>
        <w:tc>
          <w:tcPr>
            <w:tcW w:w="432"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3</w:t>
            </w:r>
          </w:p>
        </w:tc>
        <w:tc>
          <w:tcPr>
            <w:tcW w:w="43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4</w:t>
            </w:r>
          </w:p>
        </w:tc>
        <w:tc>
          <w:tcPr>
            <w:tcW w:w="436"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5</w:t>
            </w:r>
          </w:p>
        </w:tc>
        <w:tc>
          <w:tcPr>
            <w:tcW w:w="69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6</w:t>
            </w:r>
          </w:p>
        </w:tc>
      </w:tr>
      <w:tr>
        <w:tblPrEx>
          <w:tblCellMar>
            <w:top w:w="0" w:type="dxa"/>
            <w:left w:w="108" w:type="dxa"/>
            <w:bottom w:w="0" w:type="dxa"/>
            <w:right w:w="108" w:type="dxa"/>
          </w:tblCellMar>
        </w:tblPrEx>
        <w:trPr>
          <w:trHeight w:val="308" w:hRule="atLeast"/>
        </w:trPr>
        <w:tc>
          <w:tcPr>
            <w:tcW w:w="1947"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107.44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107.44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20.28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20.28</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48"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99"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52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9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563"/>
        <w:gridCol w:w="456"/>
        <w:gridCol w:w="1236"/>
        <w:gridCol w:w="3736"/>
        <w:gridCol w:w="437"/>
        <w:gridCol w:w="822"/>
        <w:gridCol w:w="1199"/>
        <w:gridCol w:w="998"/>
        <w:gridCol w:w="1727"/>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1257"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6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3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318"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2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5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09"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公开04表</w:t>
            </w:r>
          </w:p>
        </w:tc>
      </w:tr>
      <w:tr>
        <w:tblPrEx>
          <w:tblCellMar>
            <w:top w:w="0" w:type="dxa"/>
            <w:left w:w="108" w:type="dxa"/>
            <w:bottom w:w="0" w:type="dxa"/>
            <w:right w:w="108" w:type="dxa"/>
          </w:tblCellMar>
        </w:tblPrEx>
        <w:trPr>
          <w:trHeight w:val="255" w:hRule="atLeast"/>
        </w:trPr>
        <w:tc>
          <w:tcPr>
            <w:tcW w:w="1418" w:type="pct"/>
            <w:gridSpan w:val="2"/>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tc>
        <w:tc>
          <w:tcPr>
            <w:tcW w:w="436"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318"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423"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52"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609" w:type="pct"/>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1853"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收     入</w:t>
            </w:r>
          </w:p>
        </w:tc>
        <w:tc>
          <w:tcPr>
            <w:tcW w:w="3147" w:type="pct"/>
            <w:gridSpan w:val="6"/>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支     出</w:t>
            </w:r>
          </w:p>
        </w:tc>
      </w:tr>
      <w:tr>
        <w:tblPrEx>
          <w:tblCellMar>
            <w:top w:w="0" w:type="dxa"/>
            <w:left w:w="108" w:type="dxa"/>
            <w:bottom w:w="0" w:type="dxa"/>
            <w:right w:w="108" w:type="dxa"/>
          </w:tblCellMar>
        </w:tblPrEx>
        <w:trPr>
          <w:trHeight w:val="312" w:hRule="atLeast"/>
        </w:trPr>
        <w:tc>
          <w:tcPr>
            <w:tcW w:w="1257"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6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436"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金额</w:t>
            </w:r>
          </w:p>
        </w:tc>
        <w:tc>
          <w:tcPr>
            <w:tcW w:w="1318"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行次</w:t>
            </w:r>
          </w:p>
        </w:tc>
        <w:tc>
          <w:tcPr>
            <w:tcW w:w="29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423"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一般公共预算财政拨款</w:t>
            </w:r>
          </w:p>
        </w:tc>
        <w:tc>
          <w:tcPr>
            <w:tcW w:w="352"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政府性基金预算财政拨款</w:t>
            </w:r>
          </w:p>
        </w:tc>
        <w:tc>
          <w:tcPr>
            <w:tcW w:w="609"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1257" w:type="pct"/>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61"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36"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318"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90"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423"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52"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609"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436"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　</w:t>
            </w:r>
          </w:p>
        </w:tc>
        <w:tc>
          <w:tcPr>
            <w:tcW w:w="29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423"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352"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609"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100.61</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一、一般公共服务支出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二、政府性基金预算财政拨款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二、外交支出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三、国有资本经营财政拨款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三、国防支出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四、公共安全支出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五、教育支出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六、科学技术支出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七、文化旅游体育与传媒支出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八、社会保障和就业支出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九、卫生健康支出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十、节能环保支出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十一、城乡社区支出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十二、农林水支出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十三、交通运输支出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十四、资源勘探工业信息等支出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十五、商业服务业等支出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十六、金融支出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十七、援助其他地区支出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49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十八、自然资源海洋气象等支出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十九、住房保障支出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二十、粮油物资储备支出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二十一、国有资本经营预算支出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二十二、灾害防治及应急管理支出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23</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二十三、其他支出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0"/>
                <w:szCs w:val="20"/>
                <w:highlight w:val="none"/>
              </w:rPr>
            </w:pPr>
            <w:r>
              <w:rPr>
                <w:rFonts w:hint="eastAsia" w:cs="Arial"/>
                <w:b/>
                <w:bCs/>
                <w:color w:val="auto"/>
                <w:sz w:val="20"/>
                <w:szCs w:val="20"/>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24</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二十四、债务还本支出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25</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二十五、债务付息支出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0"/>
                <w:szCs w:val="20"/>
                <w:highlight w:val="none"/>
              </w:rPr>
            </w:pPr>
            <w:r>
              <w:rPr>
                <w:rFonts w:hint="eastAsia" w:cs="Arial"/>
                <w:color w:val="auto"/>
                <w:sz w:val="20"/>
                <w:szCs w:val="20"/>
                <w:highlight w:val="none"/>
              </w:rPr>
              <w:t>　</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26</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二十六、抗疫特别国债安排的支出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本年收入合计</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27</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100.61</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本年支出合计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59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年初财政拨款结转和结余</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28</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6.83</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年末财政拨款结转和结余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一般公共预算财政拨款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29</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6.83</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政府性基金预算财政拨款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30</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国有资本经营预算财政拨款</w:t>
            </w:r>
          </w:p>
        </w:tc>
        <w:tc>
          <w:tcPr>
            <w:tcW w:w="16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31</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131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25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161" w:type="pct"/>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32</w:t>
            </w:r>
          </w:p>
        </w:tc>
        <w:tc>
          <w:tcPr>
            <w:tcW w:w="436"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1318"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auto"/>
                <w:sz w:val="22"/>
                <w:highlight w:val="none"/>
              </w:rPr>
            </w:pPr>
            <w:r>
              <w:rPr>
                <w:rFonts w:hint="eastAsia" w:cs="Arial"/>
                <w:b/>
                <w:bCs/>
                <w:color w:val="auto"/>
                <w:sz w:val="22"/>
                <w:highlight w:val="none"/>
              </w:rPr>
              <w:t>总计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64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42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107.44</w:t>
            </w:r>
          </w:p>
        </w:tc>
        <w:tc>
          <w:tcPr>
            <w:tcW w:w="352"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60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000000" w:fill="FFFFFF"/>
            <w:noWrap w:val="0"/>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27" w:type="dxa"/>
        <w:tblInd w:w="89" w:type="dxa"/>
        <w:tblLayout w:type="autofit"/>
        <w:tblCellMar>
          <w:top w:w="0" w:type="dxa"/>
          <w:left w:w="108" w:type="dxa"/>
          <w:bottom w:w="0" w:type="dxa"/>
          <w:right w:w="108" w:type="dxa"/>
        </w:tblCellMar>
      </w:tblPr>
      <w:tblGrid>
        <w:gridCol w:w="399"/>
        <w:gridCol w:w="316"/>
        <w:gridCol w:w="271"/>
        <w:gridCol w:w="5053"/>
        <w:gridCol w:w="1984"/>
        <w:gridCol w:w="785"/>
        <w:gridCol w:w="1198"/>
        <w:gridCol w:w="1212"/>
        <w:gridCol w:w="2409"/>
      </w:tblGrid>
      <w:tr>
        <w:tblPrEx>
          <w:tblCellMar>
            <w:top w:w="0" w:type="dxa"/>
            <w:left w:w="108" w:type="dxa"/>
            <w:bottom w:w="0" w:type="dxa"/>
            <w:right w:w="108" w:type="dxa"/>
          </w:tblCellMar>
        </w:tblPrEx>
        <w:trPr>
          <w:trHeight w:val="390" w:hRule="atLeast"/>
        </w:trPr>
        <w:tc>
          <w:tcPr>
            <w:tcW w:w="13627" w:type="dxa"/>
            <w:gridSpan w:val="9"/>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399"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16"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71"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053"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4"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621"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公开05表</w:t>
            </w:r>
          </w:p>
        </w:tc>
      </w:tr>
      <w:tr>
        <w:tblPrEx>
          <w:tblCellMar>
            <w:top w:w="0" w:type="dxa"/>
            <w:left w:w="108" w:type="dxa"/>
            <w:bottom w:w="0" w:type="dxa"/>
            <w:right w:w="108" w:type="dxa"/>
          </w:tblCellMar>
        </w:tblPrEx>
        <w:trPr>
          <w:trHeight w:val="255" w:hRule="atLeast"/>
        </w:trPr>
        <w:tc>
          <w:tcPr>
            <w:tcW w:w="6039" w:type="dxa"/>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tc>
        <w:tc>
          <w:tcPr>
            <w:tcW w:w="1984" w:type="dxa"/>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621" w:type="dxa"/>
            <w:gridSpan w:val="2"/>
            <w:tcBorders>
              <w:top w:val="nil"/>
              <w:left w:val="nil"/>
              <w:bottom w:val="nil"/>
              <w:right w:val="nil"/>
            </w:tcBorders>
            <w:shd w:val="clear" w:color="000000" w:fill="FFFFFF"/>
            <w:noWrap/>
            <w:vAlign w:val="bottom"/>
          </w:tcPr>
          <w:p>
            <w:pPr>
              <w:jc w:val="right"/>
              <w:rPr>
                <w:rFonts w:ascii="宋体" w:hAnsi="宋体" w:cs="Arial"/>
                <w:color w:val="auto"/>
                <w:sz w:val="20"/>
                <w:szCs w:val="20"/>
                <w:highlight w:val="none"/>
              </w:rPr>
            </w:pPr>
            <w:r>
              <w:rPr>
                <w:rFonts w:hint="eastAsia" w:cs="Arial"/>
                <w:color w:val="auto"/>
                <w:sz w:val="20"/>
                <w:szCs w:val="20"/>
                <w:highlight w:val="none"/>
              </w:rPr>
              <w:t>金额单位：万元</w:t>
            </w:r>
          </w:p>
        </w:tc>
      </w:tr>
      <w:tr>
        <w:tblPrEx>
          <w:tblCellMar>
            <w:top w:w="0" w:type="dxa"/>
            <w:left w:w="108" w:type="dxa"/>
            <w:bottom w:w="0" w:type="dxa"/>
            <w:right w:w="108" w:type="dxa"/>
          </w:tblCellMar>
        </w:tblPrEx>
        <w:trPr>
          <w:trHeight w:val="308" w:hRule="atLeast"/>
        </w:trPr>
        <w:tc>
          <w:tcPr>
            <w:tcW w:w="6039"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项目</w:t>
            </w:r>
          </w:p>
        </w:tc>
        <w:tc>
          <w:tcPr>
            <w:tcW w:w="7588"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本年支出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功能分类科目编码</w:t>
            </w:r>
          </w:p>
        </w:tc>
        <w:tc>
          <w:tcPr>
            <w:tcW w:w="5053" w:type="dxa"/>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2769"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小计</w:t>
            </w:r>
          </w:p>
        </w:tc>
        <w:tc>
          <w:tcPr>
            <w:tcW w:w="2410"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基本支出</w:t>
            </w:r>
          </w:p>
        </w:tc>
        <w:tc>
          <w:tcPr>
            <w:tcW w:w="2409" w:type="dxa"/>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项目支出</w:t>
            </w: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769"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09"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769"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2409" w:type="dxa"/>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6039"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栏次</w:t>
            </w:r>
          </w:p>
        </w:tc>
        <w:tc>
          <w:tcPr>
            <w:tcW w:w="2769"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1</w:t>
            </w:r>
          </w:p>
        </w:tc>
        <w:tc>
          <w:tcPr>
            <w:tcW w:w="2410"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2</w:t>
            </w:r>
          </w:p>
        </w:tc>
        <w:tc>
          <w:tcPr>
            <w:tcW w:w="240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3</w:t>
            </w:r>
          </w:p>
        </w:tc>
      </w:tr>
      <w:tr>
        <w:tblPrEx>
          <w:tblCellMar>
            <w:top w:w="0" w:type="dxa"/>
            <w:left w:w="108" w:type="dxa"/>
            <w:bottom w:w="0" w:type="dxa"/>
            <w:right w:w="108" w:type="dxa"/>
          </w:tblCellMar>
        </w:tblPrEx>
        <w:trPr>
          <w:trHeight w:val="308" w:hRule="atLeast"/>
        </w:trPr>
        <w:tc>
          <w:tcPr>
            <w:tcW w:w="6039"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合计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107.44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107.44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auto"/>
                <w:sz w:val="22"/>
                <w:highlight w:val="none"/>
              </w:rPr>
            </w:pPr>
            <w:r>
              <w:rPr>
                <w:rFonts w:hint="eastAsia" w:cs="Arial"/>
                <w:b/>
                <w:bCs/>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一般公共服务支出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群众团体事务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2012906</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工会事务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教育管理事务</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2050199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其他教育管理事务支出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78.62</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社会保障和就业支出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行政事业单位养老支出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25.86</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事业单位离退休</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20.28</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20.28</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2080505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卫生健康支出</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行政事业单位医疗</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2101102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xml:space="preserve">  事业单位医疗</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2769"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2409"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3627" w:type="dxa"/>
            <w:gridSpan w:val="9"/>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fixed"/>
        <w:tblCellMar>
          <w:top w:w="0" w:type="dxa"/>
          <w:left w:w="108" w:type="dxa"/>
          <w:bottom w:w="0" w:type="dxa"/>
          <w:right w:w="108" w:type="dxa"/>
        </w:tblCellMar>
      </w:tblPr>
      <w:tblGrid>
        <w:gridCol w:w="683"/>
        <w:gridCol w:w="269"/>
        <w:gridCol w:w="2860"/>
        <w:gridCol w:w="921"/>
        <w:gridCol w:w="692"/>
        <w:gridCol w:w="213"/>
        <w:gridCol w:w="1885"/>
        <w:gridCol w:w="666"/>
        <w:gridCol w:w="910"/>
        <w:gridCol w:w="763"/>
        <w:gridCol w:w="173"/>
        <w:gridCol w:w="3603"/>
        <w:gridCol w:w="536"/>
      </w:tblGrid>
      <w:tr>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000000" w:fill="FFFFFF"/>
            <w:noWrap/>
            <w:vAlign w:val="bottom"/>
          </w:tcPr>
          <w:p>
            <w:pPr>
              <w:jc w:val="center"/>
              <w:rPr>
                <w:rFonts w:ascii="宋体" w:hAnsi="宋体" w:cs="Arial"/>
                <w:color w:val="auto"/>
                <w:sz w:val="30"/>
                <w:szCs w:val="30"/>
                <w:highlight w:val="none"/>
              </w:rPr>
            </w:pPr>
            <w:r>
              <w:rPr>
                <w:rFonts w:hint="eastAsia" w:cs="Arial"/>
                <w:color w:val="auto"/>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241"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104"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325"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4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74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56"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6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21" w:type="pct"/>
            <w:gridSpan w:val="3"/>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p>
            <w:pPr>
              <w:jc w:val="right"/>
              <w:rPr>
                <w:rFonts w:ascii="宋体" w:hAnsi="宋体" w:cs="Arial"/>
                <w:color w:val="auto"/>
                <w:sz w:val="18"/>
                <w:szCs w:val="18"/>
                <w:highlight w:val="none"/>
              </w:rPr>
            </w:pPr>
            <w:r>
              <w:rPr>
                <w:rFonts w:hint="eastAsia" w:cs="Arial"/>
                <w:color w:val="auto"/>
                <w:sz w:val="18"/>
                <w:szCs w:val="18"/>
                <w:highlight w:val="none"/>
              </w:rPr>
              <w:t>公开06表</w:t>
            </w:r>
          </w:p>
        </w:tc>
      </w:tr>
      <w:tr>
        <w:tblPrEx>
          <w:tblCellMar>
            <w:top w:w="0" w:type="dxa"/>
            <w:left w:w="108" w:type="dxa"/>
            <w:bottom w:w="0" w:type="dxa"/>
            <w:right w:w="108" w:type="dxa"/>
          </w:tblCellMar>
        </w:tblPrEx>
        <w:trPr>
          <w:trHeight w:val="255" w:hRule="atLeast"/>
        </w:trPr>
        <w:tc>
          <w:tcPr>
            <w:tcW w:w="1670" w:type="pct"/>
            <w:gridSpan w:val="4"/>
            <w:tcBorders>
              <w:top w:val="nil"/>
              <w:left w:val="nil"/>
              <w:bottom w:val="nil"/>
              <w:right w:val="nil"/>
            </w:tcBorders>
            <w:shd w:val="clear" w:color="000000" w:fill="FFFFFF"/>
            <w:noWrap/>
            <w:vAlign w:val="bottom"/>
          </w:tcPr>
          <w:p>
            <w:pPr>
              <w:rPr>
                <w:rFonts w:ascii="宋体" w:hAnsi="宋体" w:cs="Arial"/>
                <w:color w:val="auto"/>
                <w:sz w:val="20"/>
                <w:szCs w:val="20"/>
                <w:highlight w:val="none"/>
              </w:rPr>
            </w:pPr>
            <w:r>
              <w:rPr>
                <w:rFonts w:hint="eastAsia" w:cs="Arial"/>
                <w:color w:val="auto"/>
                <w:sz w:val="20"/>
                <w:szCs w:val="20"/>
                <w:highlight w:val="none"/>
                <w:lang w:eastAsia="zh-CN"/>
              </w:rPr>
              <w:t>单位</w:t>
            </w:r>
            <w:r>
              <w:rPr>
                <w:rFonts w:hint="eastAsia" w:cs="Arial"/>
                <w:color w:val="auto"/>
                <w:sz w:val="20"/>
                <w:szCs w:val="20"/>
                <w:highlight w:val="none"/>
              </w:rPr>
              <w:t>：许昌市职业与成人教育教学研究室</w:t>
            </w:r>
          </w:p>
          <w:p>
            <w:pPr>
              <w:rPr>
                <w:rFonts w:ascii="Arial" w:hAnsi="Arial" w:cs="Arial"/>
                <w:color w:val="auto"/>
                <w:sz w:val="20"/>
                <w:szCs w:val="20"/>
                <w:highlight w:val="none"/>
              </w:rPr>
            </w:pPr>
            <w:r>
              <w:rPr>
                <w:rFonts w:ascii="Arial" w:hAnsi="Arial" w:cs="Arial"/>
                <w:color w:val="auto"/>
                <w:sz w:val="20"/>
                <w:szCs w:val="20"/>
                <w:highlight w:val="none"/>
              </w:rPr>
              <w:t>　</w:t>
            </w:r>
          </w:p>
        </w:tc>
        <w:tc>
          <w:tcPr>
            <w:tcW w:w="244"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740"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556" w:type="pct"/>
            <w:gridSpan w:val="2"/>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269" w:type="pct"/>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tc>
        <w:tc>
          <w:tcPr>
            <w:tcW w:w="1521" w:type="pct"/>
            <w:gridSpan w:val="3"/>
            <w:tcBorders>
              <w:top w:val="nil"/>
              <w:left w:val="nil"/>
              <w:bottom w:val="nil"/>
              <w:right w:val="nil"/>
            </w:tcBorders>
            <w:shd w:val="clear" w:color="000000" w:fill="FFFFFF"/>
            <w:noWrap/>
            <w:vAlign w:val="bottom"/>
          </w:tcPr>
          <w:p>
            <w:pPr>
              <w:rPr>
                <w:rFonts w:ascii="Arial" w:hAnsi="Arial" w:cs="Arial"/>
                <w:color w:val="auto"/>
                <w:sz w:val="20"/>
                <w:szCs w:val="20"/>
                <w:highlight w:val="none"/>
              </w:rPr>
            </w:pPr>
            <w:r>
              <w:rPr>
                <w:rFonts w:ascii="Arial" w:hAnsi="Arial" w:cs="Arial"/>
                <w:color w:val="auto"/>
                <w:sz w:val="20"/>
                <w:szCs w:val="20"/>
                <w:highlight w:val="none"/>
              </w:rPr>
              <w:t>　</w:t>
            </w:r>
          </w:p>
          <w:p>
            <w:pPr>
              <w:jc w:val="right"/>
              <w:rPr>
                <w:rFonts w:ascii="宋体" w:hAnsi="宋体" w:cs="Arial"/>
                <w:color w:val="auto"/>
                <w:sz w:val="18"/>
                <w:szCs w:val="18"/>
                <w:highlight w:val="none"/>
              </w:rPr>
            </w:pPr>
            <w:r>
              <w:rPr>
                <w:rFonts w:hint="eastAsia" w:cs="Arial"/>
                <w:color w:val="auto"/>
                <w:sz w:val="18"/>
                <w:szCs w:val="18"/>
                <w:highlight w:val="none"/>
              </w:rPr>
              <w:t>金额单位：万元</w:t>
            </w:r>
          </w:p>
        </w:tc>
      </w:tr>
      <w:tr>
        <w:tblPrEx>
          <w:tblCellMar>
            <w:top w:w="0" w:type="dxa"/>
            <w:left w:w="108" w:type="dxa"/>
            <w:bottom w:w="0" w:type="dxa"/>
            <w:right w:w="108" w:type="dxa"/>
          </w:tblCellMar>
        </w:tblPrEx>
        <w:trPr>
          <w:trHeight w:val="308" w:hRule="atLeast"/>
        </w:trPr>
        <w:tc>
          <w:tcPr>
            <w:tcW w:w="1670"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人员经费</w:t>
            </w:r>
          </w:p>
        </w:tc>
        <w:tc>
          <w:tcPr>
            <w:tcW w:w="3330" w:type="pct"/>
            <w:gridSpan w:val="9"/>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公用经费</w:t>
            </w:r>
          </w:p>
        </w:tc>
      </w:tr>
      <w:tr>
        <w:tblPrEx>
          <w:tblCellMar>
            <w:top w:w="0" w:type="dxa"/>
            <w:left w:w="108" w:type="dxa"/>
            <w:bottom w:w="0" w:type="dxa"/>
            <w:right w:w="108" w:type="dxa"/>
          </w:tblCellMar>
        </w:tblPrEx>
        <w:trPr>
          <w:trHeight w:val="312" w:hRule="atLeast"/>
        </w:trPr>
        <w:tc>
          <w:tcPr>
            <w:tcW w:w="336" w:type="pct"/>
            <w:gridSpan w:val="2"/>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1008"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325"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319"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900"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32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c>
          <w:tcPr>
            <w:tcW w:w="330"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科目编码</w:t>
            </w:r>
          </w:p>
        </w:tc>
        <w:tc>
          <w:tcPr>
            <w:tcW w:w="127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科目名称</w:t>
            </w:r>
          </w:p>
        </w:tc>
        <w:tc>
          <w:tcPr>
            <w:tcW w:w="189"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auto"/>
                <w:sz w:val="22"/>
                <w:highlight w:val="none"/>
              </w:rPr>
            </w:pPr>
            <w:r>
              <w:rPr>
                <w:rFonts w:hint="eastAsia" w:cs="Arial"/>
                <w:color w:val="auto"/>
                <w:sz w:val="22"/>
                <w:highlight w:val="none"/>
              </w:rPr>
              <w:t>决算数</w:t>
            </w:r>
          </w:p>
        </w:tc>
      </w:tr>
      <w:tr>
        <w:tblPrEx>
          <w:tblCellMar>
            <w:top w:w="0" w:type="dxa"/>
            <w:left w:w="108" w:type="dxa"/>
            <w:bottom w:w="0" w:type="dxa"/>
            <w:right w:w="108" w:type="dxa"/>
          </w:tblCellMar>
        </w:tblPrEx>
        <w:trPr>
          <w:trHeight w:val="312" w:hRule="atLeast"/>
        </w:trPr>
        <w:tc>
          <w:tcPr>
            <w:tcW w:w="336" w:type="pct"/>
            <w:gridSpan w:val="2"/>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auto"/>
                <w:sz w:val="22"/>
                <w:highlight w:val="none"/>
              </w:rPr>
            </w:pPr>
          </w:p>
        </w:tc>
        <w:tc>
          <w:tcPr>
            <w:tcW w:w="1008"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25"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19"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900"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21"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330"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271"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c>
          <w:tcPr>
            <w:tcW w:w="189" w:type="pct"/>
            <w:vMerge w:val="continue"/>
            <w:tcBorders>
              <w:top w:val="nil"/>
              <w:left w:val="nil"/>
              <w:bottom w:val="single" w:color="000000" w:sz="4" w:space="0"/>
              <w:right w:val="single" w:color="000000" w:sz="4" w:space="0"/>
            </w:tcBorders>
            <w:noWrap w:val="0"/>
            <w:vAlign w:val="center"/>
          </w:tcPr>
          <w:p>
            <w:pPr>
              <w:rPr>
                <w:rFonts w:ascii="宋体" w:hAnsi="宋体" w:cs="Arial"/>
                <w:color w:val="auto"/>
                <w:sz w:val="22"/>
                <w:highlight w:val="none"/>
              </w:rPr>
            </w:pP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工资福利支出</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75.61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商品和服务支出</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8.16</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债务利息及费用支出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基本工资</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28.55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办公费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3.31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30701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国内债务付息</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津贴补贴</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5.91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印刷费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0.14</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30702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国外债务付息</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奖金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15.53</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30203</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咨询费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资本性支出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30106</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伙食补助费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手续费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房屋建筑物购建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30107</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绩效工资</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12.05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水费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办公设备购置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30108</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机关事业单位基本养老保险缴费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5.58</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电费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31003</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专用设备购置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30109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职业年金缴费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邮电费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31005</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基础设施建设</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30110</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职工基本医疗保险缴费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2.44</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取暖费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31006</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大型修缮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公务员医疗补助缴费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30209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物业管理费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信息网络及软件购置更新</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其他社会保障缴费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0.65</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差旅费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0.59</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31008</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物资储备</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住房公积金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4.91</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30212</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因公出国（境）费用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31009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土地补偿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30114</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医疗费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30213</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维修（护）费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1.42</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31010</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安置补助</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30199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其他工资福利支出</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租赁费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地上附着物和青苗补偿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对个人和家庭的补助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23.67</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会议费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拆迁补偿</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离休费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培训费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0.50</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31013</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公务用车购置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30302</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退休费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22.03</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公务接待费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31019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其他交通工具购置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30303</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退职（役）费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30218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专用材料费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31021</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文物和陈列品购置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30304</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抚恤金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30224</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被装购置费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31022</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无形资产购置</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30305</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生活补助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1.64</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30225</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专用燃料费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31099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其他资本性支出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30306</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救济费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30226</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劳务费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0.24</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其他支出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30307</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医疗费补助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30227</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委托业务费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39906</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赠与</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30308</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助学金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30228</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工会经费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0.51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39907</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国家赔偿费用支出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30309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奖励金</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30229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福利费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1.23</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39908</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对民间非营利组织和群众性自治组织补贴</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30310</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个人农业生产补贴</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30231</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公务用车运行维护费</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39999</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其他支出</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30311</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代缴社会保险费</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30239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其他交通费用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0.21</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30399</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其他对个人和家庭的补助</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30240</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税金及附加费用</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336"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008"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19"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30299</w:t>
            </w:r>
          </w:p>
        </w:tc>
        <w:tc>
          <w:tcPr>
            <w:tcW w:w="90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xml:space="preserve">  其他商品和服务支出</w:t>
            </w:r>
          </w:p>
        </w:tc>
        <w:tc>
          <w:tcPr>
            <w:tcW w:w="32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c>
          <w:tcPr>
            <w:tcW w:w="330"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27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auto"/>
                <w:sz w:val="22"/>
                <w:highlight w:val="none"/>
              </w:rPr>
            </w:pPr>
            <w:r>
              <w:rPr>
                <w:rFonts w:hint="eastAsia" w:cs="Arial"/>
                <w:color w:val="auto"/>
                <w:sz w:val="22"/>
                <w:highlight w:val="none"/>
              </w:rPr>
              <w:t>　</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　</w:t>
            </w:r>
          </w:p>
        </w:tc>
      </w:tr>
      <w:tr>
        <w:tblPrEx>
          <w:tblCellMar>
            <w:top w:w="0" w:type="dxa"/>
            <w:left w:w="108" w:type="dxa"/>
            <w:bottom w:w="0" w:type="dxa"/>
            <w:right w:w="108" w:type="dxa"/>
          </w:tblCellMar>
        </w:tblPrEx>
        <w:trPr>
          <w:trHeight w:val="308" w:hRule="atLeast"/>
        </w:trPr>
        <w:tc>
          <w:tcPr>
            <w:tcW w:w="1344" w:type="pct"/>
            <w:gridSpan w:val="3"/>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人员经费合计</w:t>
            </w:r>
          </w:p>
        </w:tc>
        <w:tc>
          <w:tcPr>
            <w:tcW w:w="32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99.28</w:t>
            </w:r>
          </w:p>
        </w:tc>
        <w:tc>
          <w:tcPr>
            <w:tcW w:w="3141" w:type="pct"/>
            <w:gridSpan w:val="8"/>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auto"/>
                <w:sz w:val="22"/>
                <w:highlight w:val="none"/>
              </w:rPr>
            </w:pPr>
            <w:r>
              <w:rPr>
                <w:rFonts w:hint="eastAsia" w:cs="Arial"/>
                <w:color w:val="auto"/>
                <w:sz w:val="22"/>
                <w:highlight w:val="none"/>
              </w:rPr>
              <w:t>公用经费合计</w:t>
            </w:r>
          </w:p>
        </w:tc>
        <w:tc>
          <w:tcPr>
            <w:tcW w:w="189"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auto"/>
                <w:sz w:val="22"/>
                <w:highlight w:val="none"/>
              </w:rPr>
            </w:pPr>
            <w:r>
              <w:rPr>
                <w:rFonts w:hint="eastAsia" w:cs="Arial"/>
                <w:color w:val="auto"/>
                <w:sz w:val="22"/>
                <w:highlight w:val="none"/>
              </w:rPr>
              <w:t>8.16</w:t>
            </w:r>
          </w:p>
        </w:tc>
      </w:tr>
      <w:tr>
        <w:tblPrEx>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000000" w:fill="FFFFFF"/>
            <w:noWrap/>
            <w:vAlign w:val="center"/>
          </w:tcPr>
          <w:p>
            <w:pPr>
              <w:rPr>
                <w:rFonts w:ascii="宋体" w:hAnsi="宋体" w:cs="Arial"/>
                <w:color w:val="auto"/>
                <w:sz w:val="22"/>
                <w:highlight w:val="none"/>
              </w:rPr>
            </w:pPr>
            <w:r>
              <w:rPr>
                <w:rFonts w:hint="eastAsia" w:cs="Arial"/>
                <w:color w:val="auto"/>
                <w:sz w:val="22"/>
                <w:highlight w:val="none"/>
              </w:rPr>
              <w:t>注：本表反映</w:t>
            </w:r>
            <w:r>
              <w:rPr>
                <w:rFonts w:hint="eastAsia" w:cs="Arial"/>
                <w:color w:val="auto"/>
                <w:sz w:val="22"/>
                <w:highlight w:val="none"/>
                <w:lang w:eastAsia="zh-CN"/>
              </w:rPr>
              <w:t>单位</w:t>
            </w:r>
            <w:r>
              <w:rPr>
                <w:rFonts w:hint="eastAsia" w:cs="Arial"/>
                <w:color w:val="auto"/>
                <w:sz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cs="Arial"/>
                <w:color w:val="auto"/>
                <w:sz w:val="20"/>
                <w:szCs w:val="20"/>
                <w:highlight w:val="none"/>
              </w:rPr>
              <w:t>许昌市职业与成人教育教学研究室</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1059"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w:t>
      </w:r>
      <w:r>
        <w:rPr>
          <w:rFonts w:hint="eastAsia" w:ascii="仿宋_GB2312" w:hAnsi="仿宋_GB2312" w:eastAsia="仿宋_GB2312" w:cs="仿宋_GB2312"/>
          <w:color w:val="auto"/>
          <w:sz w:val="32"/>
          <w:szCs w:val="32"/>
          <w:highlight w:val="none"/>
          <w:lang w:eastAsia="zh-CN"/>
        </w:rPr>
        <w:t>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cs="Arial"/>
                <w:color w:val="auto"/>
                <w:sz w:val="20"/>
                <w:szCs w:val="20"/>
                <w:highlight w:val="none"/>
              </w:rPr>
              <w:t>许昌市职业与成人教育教学研究室</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191"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143"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227"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32"/>
                <w:szCs w:val="32"/>
                <w:highlight w:val="none"/>
              </w:rPr>
            </w:pPr>
            <w:r>
              <w:rPr>
                <w:rFonts w:hint="eastAsia" w:ascii="宋体" w:hAnsi="宋体" w:cs="宋体"/>
                <w:color w:val="auto"/>
                <w:sz w:val="32"/>
                <w:szCs w:val="32"/>
                <w:highlight w:val="none"/>
              </w:rPr>
              <w:t>说明：我</w:t>
            </w: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年度收、支总计均为</w:t>
      </w:r>
      <w:r>
        <w:rPr>
          <w:rFonts w:ascii="仿宋_GB2312" w:eastAsia="仿宋_GB2312" w:cs="仿宋_GB2312"/>
          <w:color w:val="auto"/>
          <w:sz w:val="32"/>
          <w:szCs w:val="32"/>
          <w:highlight w:val="none"/>
        </w:rPr>
        <w:t>107.44</w:t>
      </w:r>
      <w:r>
        <w:rPr>
          <w:rFonts w:hint="eastAsia" w:ascii="仿宋_GB2312" w:eastAsia="仿宋_GB2312" w:cs="仿宋_GB2312"/>
          <w:color w:val="auto"/>
          <w:sz w:val="32"/>
          <w:szCs w:val="32"/>
          <w:highlight w:val="none"/>
        </w:rPr>
        <w:t>万元。与上年度相比，收、支总计各减少</w:t>
      </w:r>
      <w:r>
        <w:rPr>
          <w:rFonts w:ascii="仿宋_GB2312" w:eastAsia="仿宋_GB2312" w:cs="仿宋_GB2312"/>
          <w:color w:val="auto"/>
          <w:sz w:val="32"/>
          <w:szCs w:val="32"/>
          <w:highlight w:val="none"/>
        </w:rPr>
        <w:t>8.23</w:t>
      </w:r>
      <w:r>
        <w:rPr>
          <w:rFonts w:hint="eastAsia" w:ascii="仿宋_GB2312" w:eastAsia="仿宋_GB2312" w:cs="仿宋_GB2312"/>
          <w:color w:val="auto"/>
          <w:sz w:val="32"/>
          <w:szCs w:val="32"/>
          <w:highlight w:val="none"/>
        </w:rPr>
        <w:t>万元，下降</w:t>
      </w:r>
      <w:r>
        <w:rPr>
          <w:rFonts w:ascii="仿宋_GB2312" w:eastAsia="仿宋_GB2312" w:cs="仿宋_GB2312"/>
          <w:color w:val="auto"/>
          <w:sz w:val="32"/>
          <w:szCs w:val="32"/>
          <w:highlight w:val="none"/>
        </w:rPr>
        <w:t>7.11%</w:t>
      </w:r>
      <w:r>
        <w:rPr>
          <w:rFonts w:hint="eastAsia" w:ascii="仿宋_GB2312" w:eastAsia="仿宋_GB2312" w:cs="仿宋_GB2312"/>
          <w:color w:val="auto"/>
          <w:sz w:val="32"/>
          <w:szCs w:val="32"/>
          <w:highlight w:val="none"/>
        </w:rPr>
        <w:t>。主要原因是年初自上年度结转财政资金较上年度减少。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年度收入合计</w:t>
      </w:r>
      <w:r>
        <w:rPr>
          <w:rFonts w:ascii="仿宋_GB2312" w:eastAsia="仿宋_GB2312" w:cs="仿宋_GB2312"/>
          <w:color w:val="auto"/>
          <w:sz w:val="32"/>
          <w:szCs w:val="32"/>
          <w:highlight w:val="none"/>
        </w:rPr>
        <w:t>100.61</w:t>
      </w:r>
      <w:r>
        <w:rPr>
          <w:rFonts w:hint="eastAsia" w:ascii="仿宋_GB2312" w:eastAsia="仿宋_GB2312" w:cs="仿宋_GB2312"/>
          <w:color w:val="auto"/>
          <w:sz w:val="32"/>
          <w:szCs w:val="32"/>
          <w:highlight w:val="none"/>
        </w:rPr>
        <w:t>万元，其中：财政拨款收入</w:t>
      </w:r>
      <w:r>
        <w:rPr>
          <w:rFonts w:ascii="仿宋_GB2312" w:eastAsia="仿宋_GB2312" w:cs="仿宋_GB2312"/>
          <w:color w:val="auto"/>
          <w:sz w:val="32"/>
          <w:szCs w:val="32"/>
          <w:highlight w:val="none"/>
        </w:rPr>
        <w:t>100.61</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；上级补助收入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；事业收入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；经营收入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；附属单位上缴收入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；其他收入</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三、支出决算情况说明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年度支出合计</w:t>
      </w:r>
      <w:r>
        <w:rPr>
          <w:rFonts w:ascii="仿宋_GB2312" w:eastAsia="仿宋_GB2312" w:cs="仿宋_GB2312"/>
          <w:color w:val="auto"/>
          <w:sz w:val="32"/>
          <w:szCs w:val="32"/>
          <w:highlight w:val="none"/>
        </w:rPr>
        <w:t>107.44</w:t>
      </w:r>
      <w:r>
        <w:rPr>
          <w:rFonts w:hint="eastAsia" w:ascii="仿宋_GB2312" w:eastAsia="仿宋_GB2312" w:cs="仿宋_GB2312"/>
          <w:color w:val="auto"/>
          <w:sz w:val="32"/>
          <w:szCs w:val="32"/>
          <w:highlight w:val="none"/>
        </w:rPr>
        <w:t>万元，其中：基本支出</w:t>
      </w:r>
      <w:r>
        <w:rPr>
          <w:rFonts w:ascii="仿宋_GB2312" w:eastAsia="仿宋_GB2312" w:cs="仿宋_GB2312"/>
          <w:color w:val="auto"/>
          <w:sz w:val="32"/>
          <w:szCs w:val="32"/>
          <w:highlight w:val="none"/>
        </w:rPr>
        <w:t>107.44</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；项目支出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；上缴上级支出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；经营支出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；对附属单位补助支出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p>
    <w:p>
      <w:pPr>
        <w:autoSpaceDE w:val="0"/>
        <w:autoSpaceDN w:val="0"/>
        <w:adjustRightInd w:val="0"/>
        <w:spacing w:line="590" w:lineRule="exact"/>
        <w:ind w:firstLine="640"/>
        <w:rPr>
          <w:rFonts w:eastAsia="黑体"/>
          <w:color w:val="auto"/>
          <w:sz w:val="32"/>
          <w:szCs w:val="32"/>
          <w:highlight w:val="none"/>
        </w:rPr>
      </w:pPr>
      <w:r>
        <w:rPr>
          <w:rFonts w:hint="eastAsia" w:ascii="黑体" w:eastAsia="黑体" w:cs="黑体"/>
          <w:color w:val="auto"/>
          <w:sz w:val="32"/>
          <w:szCs w:val="32"/>
          <w:highlight w:val="none"/>
        </w:rPr>
        <w:t>四、财政拨款收入支出决算总体情况说明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年度财政拨款收、支总计均为</w:t>
      </w:r>
      <w:r>
        <w:rPr>
          <w:rFonts w:ascii="仿宋_GB2312" w:eastAsia="仿宋_GB2312" w:cs="仿宋_GB2312"/>
          <w:color w:val="auto"/>
          <w:sz w:val="32"/>
          <w:szCs w:val="32"/>
          <w:highlight w:val="none"/>
        </w:rPr>
        <w:t>107.44</w:t>
      </w:r>
      <w:r>
        <w:rPr>
          <w:rFonts w:hint="eastAsia" w:ascii="仿宋_GB2312" w:eastAsia="仿宋_GB2312" w:cs="仿宋_GB2312"/>
          <w:color w:val="auto"/>
          <w:sz w:val="32"/>
          <w:szCs w:val="32"/>
          <w:highlight w:val="none"/>
        </w:rPr>
        <w:t>万元。与上年度相比，财政拨款收、支总计各减少</w:t>
      </w:r>
      <w:r>
        <w:rPr>
          <w:rFonts w:ascii="仿宋_GB2312" w:eastAsia="仿宋_GB2312" w:cs="仿宋_GB2312"/>
          <w:color w:val="auto"/>
          <w:sz w:val="32"/>
          <w:szCs w:val="32"/>
          <w:highlight w:val="none"/>
        </w:rPr>
        <w:t>8.23</w:t>
      </w:r>
      <w:r>
        <w:rPr>
          <w:rFonts w:hint="eastAsia" w:ascii="仿宋_GB2312" w:eastAsia="仿宋_GB2312" w:cs="仿宋_GB2312"/>
          <w:color w:val="auto"/>
          <w:sz w:val="32"/>
          <w:szCs w:val="32"/>
          <w:highlight w:val="none"/>
        </w:rPr>
        <w:t>万元，下降</w:t>
      </w:r>
      <w:r>
        <w:rPr>
          <w:rFonts w:ascii="仿宋_GB2312" w:eastAsia="仿宋_GB2312" w:cs="仿宋_GB2312"/>
          <w:color w:val="auto"/>
          <w:sz w:val="32"/>
          <w:szCs w:val="32"/>
          <w:highlight w:val="none"/>
        </w:rPr>
        <w:t>7.11%</w:t>
      </w:r>
      <w:r>
        <w:rPr>
          <w:rFonts w:hint="eastAsia" w:ascii="仿宋_GB2312" w:eastAsia="仿宋_GB2312" w:cs="仿宋_GB2312"/>
          <w:color w:val="auto"/>
          <w:sz w:val="32"/>
          <w:szCs w:val="32"/>
          <w:highlight w:val="none"/>
        </w:rPr>
        <w:t>。主要原因是年初自上年度结转财政资金较上年度减少。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eastAsia="仿宋_GB2312" w:cs="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107.44</w:t>
      </w:r>
      <w:r>
        <w:rPr>
          <w:rFonts w:hint="eastAsia" w:ascii="仿宋_GB2312" w:eastAsia="仿宋_GB2312" w:cs="仿宋_GB2312"/>
          <w:color w:val="auto"/>
          <w:sz w:val="32"/>
          <w:szCs w:val="32"/>
          <w:highlight w:val="none"/>
        </w:rPr>
        <w:t>万元，占支出合计的</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。与上年度相比，一般公共预算财政拨款支出增加</w:t>
      </w:r>
      <w:r>
        <w:rPr>
          <w:rFonts w:ascii="仿宋_GB2312" w:eastAsia="仿宋_GB2312" w:cs="仿宋_GB2312"/>
          <w:color w:val="auto"/>
          <w:sz w:val="32"/>
          <w:szCs w:val="32"/>
          <w:highlight w:val="none"/>
        </w:rPr>
        <w:t>3.36</w:t>
      </w:r>
      <w:r>
        <w:rPr>
          <w:rFonts w:hint="eastAsia" w:ascii="仿宋_GB2312" w:eastAsia="仿宋_GB2312" w:cs="仿宋_GB2312"/>
          <w:color w:val="auto"/>
          <w:sz w:val="32"/>
          <w:szCs w:val="32"/>
          <w:highlight w:val="none"/>
        </w:rPr>
        <w:t>万元，增长</w:t>
      </w:r>
      <w:r>
        <w:rPr>
          <w:rFonts w:ascii="仿宋_GB2312" w:eastAsia="仿宋_GB2312" w:cs="仿宋_GB2312"/>
          <w:color w:val="auto"/>
          <w:sz w:val="32"/>
          <w:szCs w:val="32"/>
          <w:highlight w:val="none"/>
        </w:rPr>
        <w:t>3.23%</w:t>
      </w:r>
      <w:r>
        <w:rPr>
          <w:rFonts w:hint="eastAsia" w:ascii="仿宋_GB2312" w:eastAsia="仿宋_GB2312" w:cs="仿宋_GB2312"/>
          <w:color w:val="auto"/>
          <w:sz w:val="32"/>
          <w:szCs w:val="32"/>
          <w:highlight w:val="none"/>
        </w:rPr>
        <w:t>。主要原因是1.正常薪级工资调增；2.办公室搬迁，新增相关支出。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107.44万元，主要用于以下方面：一般公共服务（类）支出0.51万元，占0.47%；教育（类）支出78.62万元，占73.18%；社会保障和就业（类）支出25.86万元，占24.07%；卫生健康（类）支出2.44万元，占2.2</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年度一般公共预算财政拨款支出年初预算为104.24万元，支出决算为107.44万元，完成年初预算的103.07%。其中：</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年初预算为0.51万元，支出决算为0.51万元，完成年初预算的100.00%。决算数与年初预算数不存在差异。</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2．教育支出（类）教育管理事务（款）其他教育管理事务支出（项）。</w:t>
      </w:r>
      <w:r>
        <w:rPr>
          <w:rFonts w:hint="eastAsia" w:ascii="仿宋_GB2312" w:hAnsi="仿宋_GB2312" w:eastAsia="仿宋_GB2312" w:cs="仿宋_GB2312"/>
          <w:color w:val="auto"/>
          <w:sz w:val="32"/>
          <w:szCs w:val="32"/>
          <w:highlight w:val="none"/>
        </w:rPr>
        <w:t>年初预算为75.71万元，支出决算为78.62万元，完成年初预算的103.84%。决算数与年初预算数存在差异的主要原因是1.使用上年度结转公用经费支付搬家费，该经费未纳入年初预算；2.薪级工资调增，年中追加预算。</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3．社会保障和就业支出（类）行政事业单位养老支出（款）事业单位离退休（项）。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年初预算为25.44万元，支出决算为25.86万元，完成年初预算的101.65%。决算数与年初预算数存在差异的主要原因是20年结转离退休人员经费在本年支出。</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年初预算为5.58万元，支出决算为5.58万元，完成年初预算的100.00%。决算数与年初预算数不存在差异。</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5．卫生健康支出（类）行政事业单位医疗（款）事业单位医疗（项）。</w:t>
      </w:r>
      <w:r>
        <w:rPr>
          <w:rFonts w:hint="eastAsia" w:ascii="仿宋_GB2312" w:hAnsi="仿宋_GB2312" w:eastAsia="仿宋_GB2312" w:cs="仿宋_GB2312"/>
          <w:color w:val="auto"/>
          <w:sz w:val="32"/>
          <w:szCs w:val="32"/>
          <w:highlight w:val="none"/>
        </w:rPr>
        <w:t>年初预算为2.58万元，支出决算为2.44万元，完成年初预算的94.57%。决算数与年初预算数存在差异的主要原因是按预算支出。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年度一般公共预算财政拨款基本支出107.44万元。其中：人员经费99.28万元，主要包括：基本工资、津贴补贴、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lang w:eastAsia="zh-CN"/>
        </w:rPr>
        <w:t>职工基本医疗保险费、</w:t>
      </w:r>
      <w:r>
        <w:rPr>
          <w:rFonts w:hint="eastAsia" w:ascii="仿宋_GB2312" w:hAnsi="仿宋_GB2312" w:eastAsia="仿宋_GB2312" w:cs="仿宋_GB2312"/>
          <w:color w:val="auto"/>
          <w:sz w:val="32"/>
          <w:szCs w:val="32"/>
          <w:highlight w:val="none"/>
        </w:rPr>
        <w:t>其他社会保障缴费、退休费、生活补助、住房公积金；公用经费8.16万元，主要包括：办公费、印刷费、差旅费、维修（护）费、</w:t>
      </w:r>
      <w:r>
        <w:rPr>
          <w:rFonts w:hint="eastAsia" w:ascii="仿宋_GB2312" w:hAnsi="仿宋_GB2312" w:eastAsia="仿宋_GB2312" w:cs="仿宋_GB2312"/>
          <w:color w:val="auto"/>
          <w:sz w:val="32"/>
          <w:szCs w:val="32"/>
          <w:highlight w:val="none"/>
          <w:lang w:eastAsia="zh-CN"/>
        </w:rPr>
        <w:t>培训费、</w:t>
      </w:r>
      <w:r>
        <w:rPr>
          <w:rFonts w:hint="eastAsia" w:ascii="仿宋_GB2312" w:hAnsi="仿宋_GB2312" w:eastAsia="仿宋_GB2312" w:cs="仿宋_GB2312"/>
          <w:color w:val="auto"/>
          <w:sz w:val="32"/>
          <w:szCs w:val="32"/>
          <w:highlight w:val="none"/>
        </w:rPr>
        <w:t>劳务费、工会经费、福利费、其他交通费用。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年度“三公”经费财政拨款支出预算为0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万元，支出决算为0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w:t>
      </w: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年度“三公”经费财政拨款支出决算中，因公出国（境）费支出决算0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万元；公务用车购置及运行费支出决算0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万元；公务接待费支出决算0</w:t>
      </w:r>
      <w:r>
        <w:rPr>
          <w:rFonts w:hint="eastAsia" w:ascii="仿宋" w:hAnsi="仿宋" w:eastAsia="仿宋" w:cs="宋体"/>
          <w:color w:val="auto"/>
          <w:kern w:val="0"/>
          <w:sz w:val="32"/>
          <w:szCs w:val="32"/>
          <w:highlight w:val="none"/>
          <w:lang w:val="en-US" w:eastAsia="zh-CN"/>
        </w:rPr>
        <w:t>.00</w:t>
      </w:r>
      <w:r>
        <w:rPr>
          <w:rFonts w:hint="eastAsia" w:ascii="仿宋" w:hAnsi="仿宋" w:eastAsia="仿宋" w:cs="宋体"/>
          <w:color w:val="auto"/>
          <w:kern w:val="0"/>
          <w:sz w:val="32"/>
          <w:szCs w:val="32"/>
          <w:highlight w:val="none"/>
        </w:rPr>
        <w:t>万元。具体情况如下：</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w:t>
      </w:r>
      <w:r>
        <w:rPr>
          <w:rFonts w:hint="eastAsia" w:ascii="仿宋" w:hAnsi="仿宋" w:eastAsia="仿宋" w:cs="宋体"/>
          <w:color w:val="auto"/>
          <w:kern w:val="0"/>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2021年期末，</w:t>
      </w:r>
      <w:r>
        <w:rPr>
          <w:rFonts w:hint="eastAsia" w:ascii="仿宋" w:hAnsi="仿宋" w:eastAsia="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开支财政拨款的公务用车保有量为0辆。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 w:hAnsi="仿宋" w:eastAsia="仿宋" w:cs="宋体"/>
          <w:color w:val="auto"/>
          <w:kern w:val="0"/>
          <w:sz w:val="32"/>
          <w:szCs w:val="32"/>
          <w:highlight w:val="none"/>
        </w:rPr>
        <w:t>0.00</w:t>
      </w:r>
      <w:r>
        <w:rPr>
          <w:rFonts w:hint="eastAsia" w:ascii="仿宋_GB2312" w:hAnsi="仿宋_GB2312" w:eastAsia="仿宋_GB2312" w:cs="仿宋_GB2312"/>
          <w:color w:val="auto"/>
          <w:sz w:val="32"/>
          <w:szCs w:val="32"/>
          <w:highlight w:val="none"/>
        </w:rPr>
        <w:t>万元。</w:t>
      </w:r>
      <w:r>
        <w:rPr>
          <w:rFonts w:hint="eastAsia" w:ascii="仿宋" w:hAnsi="仿宋" w:eastAsia="仿宋" w:cs="宋体"/>
          <w:color w:val="auto"/>
          <w:kern w:val="0"/>
          <w:sz w:val="32"/>
          <w:szCs w:val="32"/>
          <w:highlight w:val="none"/>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年度政府性基金预算财政拨款支出年初预算为0.00万元，支出决算为0.00万元。</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ind w:firstLine="640" w:firstLineChars="200"/>
        <w:rPr>
          <w:rFonts w:hint="eastAsia"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2021</w:t>
      </w:r>
      <w:r>
        <w:rPr>
          <w:rFonts w:hint="eastAsia" w:ascii="仿宋" w:hAnsi="仿宋" w:eastAsia="仿宋" w:cs="宋体"/>
          <w:color w:val="auto"/>
          <w:kern w:val="0"/>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年我单位纳入预算绩效管理的支出总额为107.44万元，其中：基本支出107.44万元；支出项目0个，支出金额0万元。开展项目绩效自评项目0个，自评金额0</w:t>
      </w:r>
      <w:r>
        <w:rPr>
          <w:rFonts w:hint="default" w:ascii="仿宋_GB2312" w:hAnsi="仿宋_GB2312" w:eastAsia="仿宋_GB2312" w:cs="仿宋_GB2312"/>
          <w:color w:val="auto"/>
          <w:sz w:val="32"/>
          <w:szCs w:val="32"/>
          <w:highlight w:val="none"/>
          <w:lang w:val="en-US"/>
        </w:rPr>
        <w:t>.00</w:t>
      </w:r>
      <w:r>
        <w:rPr>
          <w:rFonts w:hint="eastAsia" w:ascii="仿宋_GB2312" w:hAnsi="仿宋_GB2312" w:eastAsia="仿宋_GB2312" w:cs="仿宋_GB2312"/>
          <w:color w:val="auto"/>
          <w:sz w:val="32"/>
          <w:szCs w:val="32"/>
          <w:highlight w:val="none"/>
        </w:rPr>
        <w:t>万元；纳入重点绩效评价0个，评价金额0</w:t>
      </w:r>
      <w:r>
        <w:rPr>
          <w:rFonts w:hint="default" w:ascii="仿宋_GB2312" w:hAnsi="仿宋_GB2312" w:eastAsia="仿宋_GB2312" w:cs="仿宋_GB2312"/>
          <w:color w:val="auto"/>
          <w:sz w:val="32"/>
          <w:szCs w:val="32"/>
          <w:highlight w:val="none"/>
          <w:lang w:val="en-US"/>
        </w:rPr>
        <w:t>.00</w:t>
      </w:r>
      <w:r>
        <w:rPr>
          <w:rFonts w:hint="eastAsia" w:ascii="仿宋_GB2312" w:hAnsi="仿宋_GB2312" w:eastAsia="仿宋_GB2312" w:cs="仿宋_GB2312"/>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我单位2021年度积极配合主管单位开展的绩效管理工作，根据上级单位要求严格管理本单位绩效申报工作，并于年末开展自评工作，全年共参与上级单位开展的绩效培训3次。</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widowControl/>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我单位本年度财政资金利用率较高，年初设定的总体目标和主要任务均基本完成，整体绩效自评最终得分94分，结果优秀。二是项目绩效自评情况。我单位共有0个项目批复了绩效目标。</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32D10"/>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6D17B5"/>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95D71"/>
    <w:rsid w:val="009D2B9F"/>
    <w:rsid w:val="009F0FBB"/>
    <w:rsid w:val="009F546E"/>
    <w:rsid w:val="00A079F0"/>
    <w:rsid w:val="00A42F43"/>
    <w:rsid w:val="00A51982"/>
    <w:rsid w:val="00A57BF7"/>
    <w:rsid w:val="00A71DC1"/>
    <w:rsid w:val="00A83D8A"/>
    <w:rsid w:val="00A93E7D"/>
    <w:rsid w:val="00AA260E"/>
    <w:rsid w:val="00AA44CB"/>
    <w:rsid w:val="00AA67CD"/>
    <w:rsid w:val="00AB55C0"/>
    <w:rsid w:val="00AD6761"/>
    <w:rsid w:val="00AE2FEA"/>
    <w:rsid w:val="00AE600E"/>
    <w:rsid w:val="00B0083B"/>
    <w:rsid w:val="00B040BC"/>
    <w:rsid w:val="00B209B8"/>
    <w:rsid w:val="00B20BBC"/>
    <w:rsid w:val="00B249F3"/>
    <w:rsid w:val="00B649BE"/>
    <w:rsid w:val="00B653A5"/>
    <w:rsid w:val="00B710DD"/>
    <w:rsid w:val="00BC1CA9"/>
    <w:rsid w:val="00BE5A85"/>
    <w:rsid w:val="00BF4E6A"/>
    <w:rsid w:val="00BF5718"/>
    <w:rsid w:val="00C13474"/>
    <w:rsid w:val="00C3106E"/>
    <w:rsid w:val="00C60609"/>
    <w:rsid w:val="00C95CC1"/>
    <w:rsid w:val="00CA3F44"/>
    <w:rsid w:val="00CB03ED"/>
    <w:rsid w:val="00CC30B5"/>
    <w:rsid w:val="00CE212D"/>
    <w:rsid w:val="00CE4B38"/>
    <w:rsid w:val="00D1321A"/>
    <w:rsid w:val="00D30ADF"/>
    <w:rsid w:val="00D33CF8"/>
    <w:rsid w:val="00D421E3"/>
    <w:rsid w:val="00D6315E"/>
    <w:rsid w:val="00D652C2"/>
    <w:rsid w:val="00D74EE2"/>
    <w:rsid w:val="00D83E19"/>
    <w:rsid w:val="00D86CAD"/>
    <w:rsid w:val="00DA00C9"/>
    <w:rsid w:val="00DB200E"/>
    <w:rsid w:val="00DB65F5"/>
    <w:rsid w:val="00DE63B2"/>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D62C6"/>
    <w:rsid w:val="00FE7AD9"/>
    <w:rsid w:val="01322275"/>
    <w:rsid w:val="01DC6F05"/>
    <w:rsid w:val="02A3489A"/>
    <w:rsid w:val="02CA138D"/>
    <w:rsid w:val="033646FC"/>
    <w:rsid w:val="03C75F80"/>
    <w:rsid w:val="0478364D"/>
    <w:rsid w:val="053D4C0D"/>
    <w:rsid w:val="0557532E"/>
    <w:rsid w:val="072063CF"/>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49A6550"/>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627447"/>
    <w:rsid w:val="255D43C8"/>
    <w:rsid w:val="26714EF8"/>
    <w:rsid w:val="26876BDD"/>
    <w:rsid w:val="2714632A"/>
    <w:rsid w:val="27541E73"/>
    <w:rsid w:val="27B0539E"/>
    <w:rsid w:val="27EBD8A3"/>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2C6AD0"/>
    <w:rsid w:val="3B8D4765"/>
    <w:rsid w:val="3C000DBA"/>
    <w:rsid w:val="3DC045D3"/>
    <w:rsid w:val="3E504FFB"/>
    <w:rsid w:val="3E615CD0"/>
    <w:rsid w:val="3E9C47F6"/>
    <w:rsid w:val="3F7BE7FD"/>
    <w:rsid w:val="3F8B0112"/>
    <w:rsid w:val="3FAB3095"/>
    <w:rsid w:val="3FE45947"/>
    <w:rsid w:val="41242965"/>
    <w:rsid w:val="435671EA"/>
    <w:rsid w:val="43D834BE"/>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651678"/>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B44FD"/>
    <w:rsid w:val="666D37F1"/>
    <w:rsid w:val="67087D8F"/>
    <w:rsid w:val="671F687E"/>
    <w:rsid w:val="67F415F8"/>
    <w:rsid w:val="682640D1"/>
    <w:rsid w:val="684B73E5"/>
    <w:rsid w:val="6A047A2A"/>
    <w:rsid w:val="6EFB7548"/>
    <w:rsid w:val="6F3831C3"/>
    <w:rsid w:val="6F7BF1CB"/>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CB7E00CF"/>
    <w:rsid w:val="DBEB5838"/>
    <w:rsid w:val="DBF66856"/>
    <w:rsid w:val="FFBD07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28</Pages>
  <Words>7560</Words>
  <Characters>9085</Characters>
  <Lines>82</Lines>
  <Paragraphs>23</Paragraphs>
  <TotalTime>6</TotalTime>
  <ScaleCrop>false</ScaleCrop>
  <LinksUpToDate>false</LinksUpToDate>
  <CharactersWithSpaces>9853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2023-09-17T11:11:10Z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94A45E68955146BFB78B4DCD5CD1CD8F_13</vt:lpwstr>
  </property>
</Properties>
</file>