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许昌市第十二中学单位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许昌市第十二中学概况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许昌市第十二中学概况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360" w:lineRule="auto"/>
        <w:ind w:left="420" w:leftChars="20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1、全面贯彻执行党和国家的教育方针、政策和法规，实施初中义务教育，促进基础教育发展。</w:t>
      </w:r>
    </w:p>
    <w:p>
      <w:pPr>
        <w:spacing w:line="360" w:lineRule="auto"/>
        <w:ind w:left="420" w:leftChars="20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2、负责依法制定学校章程，并按照章程自主管理。</w:t>
      </w:r>
    </w:p>
    <w:p>
      <w:pPr>
        <w:spacing w:line="360" w:lineRule="auto"/>
        <w:ind w:left="420" w:leftChars="20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3、负责制定学校教育发展规划，并抓好组织实施和落实工作。</w:t>
      </w:r>
    </w:p>
    <w:p>
      <w:pPr>
        <w:spacing w:line="360" w:lineRule="auto"/>
        <w:ind w:left="420" w:leftChars="20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4、负责按照教育主管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发布的指导性教育计划、教学大纲，组织实施教育教学活动。</w:t>
      </w:r>
    </w:p>
    <w:p>
      <w:pPr>
        <w:spacing w:line="360" w:lineRule="auto"/>
        <w:ind w:left="420" w:leftChars="20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5、负责依据国家教育主管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有关教学计划、课程设置等方面的规定，决定和实施本校的教学计划，组织教学评比、集体备课，对学生进行统一考核、考试等。</w:t>
      </w:r>
    </w:p>
    <w:p>
      <w:pPr>
        <w:spacing w:line="360" w:lineRule="auto"/>
        <w:ind w:left="420" w:leftChars="20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6、负责科学管理、合理使用学校的设施和经费，并积极筹措资金，改善办学条件。</w:t>
      </w:r>
    </w:p>
    <w:p>
      <w:pPr>
        <w:spacing w:line="360" w:lineRule="auto"/>
        <w:ind w:left="420" w:leftChars="20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7、负责维护学校、师生的合法权益，有权拒绝任何组织和个人对教育教学活动进行非法干涉。</w:t>
      </w:r>
    </w:p>
    <w:p>
      <w:pPr>
        <w:spacing w:line="360" w:lineRule="auto"/>
        <w:ind w:left="420" w:leftChars="20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８、依法接受和级教育行政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的检查指导和人民群众的监督。</w:t>
      </w:r>
    </w:p>
    <w:p>
      <w:pPr>
        <w:spacing w:line="336"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9、学校下设办公室、教务科、政教科、总务科、安全科五个功能科室。</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许昌市第十二中学内设机构五个，包括：办公室、教务科、政教科、总务科、安全科。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从决算单位构成看，许昌市第十二中学</w:t>
      </w:r>
      <w:r>
        <w:rPr>
          <w:rFonts w:hint="eastAsia" w:ascii="仿宋_GB2312" w:hAnsi="仿宋_GB2312" w:eastAsia="仿宋_GB2312" w:cs="仿宋_GB2312"/>
          <w:color w:val="auto"/>
          <w:kern w:val="0"/>
          <w:sz w:val="32"/>
          <w:szCs w:val="32"/>
          <w:highlight w:val="none"/>
          <w:lang w:eastAsia="zh-CN"/>
        </w:rPr>
        <w:t>单位决算</w:t>
      </w:r>
      <w:r>
        <w:rPr>
          <w:rFonts w:hint="eastAsia" w:ascii="仿宋_GB2312" w:hAnsi="仿宋_GB2312" w:eastAsia="仿宋_GB2312" w:cs="仿宋_GB2312"/>
          <w:color w:val="auto"/>
          <w:kern w:val="0"/>
          <w:sz w:val="32"/>
          <w:szCs w:val="32"/>
          <w:highlight w:val="none"/>
        </w:rPr>
        <w:t>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许昌市第十二中学</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7"/>
        <w:gridCol w:w="858"/>
        <w:gridCol w:w="1434"/>
        <w:gridCol w:w="4599"/>
        <w:gridCol w:w="858"/>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759.05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3,294.15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710"/>
        <w:gridCol w:w="1695"/>
        <w:gridCol w:w="1038"/>
        <w:gridCol w:w="988"/>
        <w:gridCol w:w="982"/>
        <w:gridCol w:w="982"/>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00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6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2,254.71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2,254.71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2,230.71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2,230.71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初中教育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515"/>
        <w:gridCol w:w="1530"/>
        <w:gridCol w:w="1290"/>
        <w:gridCol w:w="990"/>
        <w:gridCol w:w="99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92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5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3,291.07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2,512.61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778.45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2,966.31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778.45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754.45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初中教育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2,200.73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0"/>
        <w:gridCol w:w="556"/>
        <w:gridCol w:w="1435"/>
        <w:gridCol w:w="3887"/>
        <w:gridCol w:w="556"/>
        <w:gridCol w:w="1212"/>
        <w:gridCol w:w="1427"/>
        <w:gridCol w:w="821"/>
        <w:gridCol w:w="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1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9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4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9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2,963.00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752.66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1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0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2324"/>
        <w:gridCol w:w="1980"/>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640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4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9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0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2,512.61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775.14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2,963.00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2,939.00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初中教育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2,197.42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3176"/>
        <w:gridCol w:w="1005"/>
        <w:gridCol w:w="709"/>
        <w:gridCol w:w="2189"/>
        <w:gridCol w:w="808"/>
        <w:gridCol w:w="709"/>
        <w:gridCol w:w="3967"/>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1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0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2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508.20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2,402.11</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35"/>
        <w:gridCol w:w="1230"/>
        <w:gridCol w:w="1080"/>
        <w:gridCol w:w="1155"/>
        <w:gridCol w:w="1035"/>
        <w:gridCol w:w="1125"/>
        <w:gridCol w:w="900"/>
        <w:gridCol w:w="1305"/>
        <w:gridCol w:w="990"/>
        <w:gridCol w:w="126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1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：许昌市第十二中学</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79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41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2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
        <w:gridCol w:w="385"/>
        <w:gridCol w:w="385"/>
        <w:gridCol w:w="1903"/>
        <w:gridCol w:w="1836"/>
        <w:gridCol w:w="1836"/>
        <w:gridCol w:w="1616"/>
        <w:gridCol w:w="1616"/>
        <w:gridCol w:w="1616"/>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91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：许昌市第十二中学</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27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olor w:val="auto"/>
          <w:sz w:val="32"/>
          <w:szCs w:val="24"/>
          <w:highlight w:val="none"/>
        </w:rPr>
        <w:t>3,294.15</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olor w:val="auto"/>
          <w:sz w:val="32"/>
          <w:szCs w:val="24"/>
          <w:highlight w:val="none"/>
        </w:rPr>
        <w:t>109.19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rPr>
        <w:t>3.21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学生人数减少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olor w:val="auto"/>
          <w:sz w:val="32"/>
          <w:szCs w:val="24"/>
          <w:highlight w:val="none"/>
          <w:lang w:val="en-US"/>
        </w:rPr>
        <w:t>2,535.1</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olor w:val="auto"/>
          <w:sz w:val="32"/>
          <w:szCs w:val="24"/>
          <w:highlight w:val="none"/>
          <w:lang w:val="en-US"/>
        </w:rPr>
        <w:t>2,535.1</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lang w:val="en-US"/>
        </w:rPr>
        <w:t>100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olor w:val="auto"/>
          <w:sz w:val="32"/>
          <w:szCs w:val="24"/>
          <w:highlight w:val="none"/>
          <w:lang w:val="en-US"/>
        </w:rPr>
        <w:t>3,291.07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olor w:val="auto"/>
          <w:sz w:val="32"/>
          <w:szCs w:val="24"/>
          <w:highlight w:val="none"/>
          <w:lang w:val="en-US"/>
        </w:rPr>
        <w:t>2,512.61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lang w:val="en-US"/>
        </w:rPr>
        <w:t>76.35%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olor w:val="auto"/>
          <w:sz w:val="32"/>
          <w:szCs w:val="24"/>
          <w:highlight w:val="none"/>
          <w:lang w:val="en-US"/>
        </w:rPr>
        <w:t>778.45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lang w:val="en-US"/>
        </w:rPr>
        <w:t>23.65%</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olor w:val="auto"/>
          <w:sz w:val="32"/>
          <w:szCs w:val="24"/>
          <w:highlight w:val="none"/>
          <w:lang w:val="en-US"/>
        </w:rPr>
        <w:t>3,287.75</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olor w:val="auto"/>
          <w:sz w:val="32"/>
          <w:szCs w:val="24"/>
          <w:highlight w:val="none"/>
          <w:lang w:val="en-US"/>
        </w:rPr>
        <w:t>106.36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lang w:val="en-US"/>
        </w:rPr>
        <w:t>3.13%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学生人数减少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3,287.75</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99.90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644.88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24.40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工资福利支出、商品和服务支出与资本性支出增加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3,287.75</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一般公共服务（类）支出13.57万元，占0.41%；教育（类）支出2963.00万元，占90.12%；</w:t>
      </w:r>
      <w:r>
        <w:rPr>
          <w:rFonts w:hint="eastAsia" w:ascii="仿宋_GB2312" w:hAnsi="仿宋_GB2312" w:eastAsia="仿宋_GB2312" w:cs="仿宋_GB2312"/>
          <w:color w:val="auto"/>
          <w:sz w:val="32"/>
          <w:szCs w:val="32"/>
          <w:highlight w:val="none"/>
        </w:rPr>
        <w:t>社会保障和就业（类）支出</w:t>
      </w:r>
      <w:r>
        <w:rPr>
          <w:rFonts w:hint="eastAsia" w:ascii="仿宋_GB2312" w:hAnsi="仿宋_GB2312" w:eastAsia="仿宋_GB2312" w:cs="仿宋_GB2312"/>
          <w:color w:val="auto"/>
          <w:sz w:val="32"/>
          <w:szCs w:val="32"/>
          <w:highlight w:val="none"/>
          <w:lang w:val="en-US" w:eastAsia="zh-CN"/>
        </w:rPr>
        <w:t>236.10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7.18%；卫生健康（类）支出75.08万元，占2.29</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2,355</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3,287.75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olor w:val="auto"/>
          <w:sz w:val="32"/>
          <w:szCs w:val="24"/>
          <w:highlight w:val="none"/>
          <w:lang w:val="en-US"/>
        </w:rPr>
        <w:t>139.61%</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年初预算为13.57万元，支出决算为13.57万元，完成年初预算的100.00%。决算数与年初预算数不存在差异。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宋体" w:eastAsia="仿宋_GB2312" w:cs="仿宋_GB2312"/>
          <w:b/>
          <w:bCs/>
          <w:color w:val="auto"/>
          <w:sz w:val="32"/>
          <w:szCs w:val="32"/>
          <w:highlight w:val="none"/>
        </w:rPr>
        <w:t>教育支出（类）普通教育（款）初中教育（项）</w:t>
      </w:r>
      <w:r>
        <w:rPr>
          <w:rFonts w:hint="eastAsia" w:ascii="仿宋_GB2312" w:hAnsi="宋体"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年初预算为2046.84万元，支出决算为2197.42万元，完成年初预算的107.36%。决算数与年初预算数存在差异的主要原因是工资福利支出、商品和服务支出与资本性支出增加。</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宋体" w:eastAsia="仿宋_GB2312" w:cs="仿宋_GB2312"/>
          <w:b/>
          <w:bCs/>
          <w:color w:val="auto"/>
          <w:sz w:val="32"/>
          <w:szCs w:val="32"/>
          <w:highlight w:val="none"/>
        </w:rPr>
        <w:t>教育支出（类）</w:t>
      </w:r>
      <w:r>
        <w:rPr>
          <w:rFonts w:hint="eastAsia" w:ascii="仿宋_GB2312" w:hAnsi="宋体" w:eastAsia="仿宋_GB2312" w:cs="仿宋_GB2312"/>
          <w:b/>
          <w:bCs/>
          <w:color w:val="auto"/>
          <w:sz w:val="32"/>
          <w:szCs w:val="32"/>
          <w:highlight w:val="none"/>
          <w:lang w:val="en-US" w:eastAsia="zh-CN"/>
        </w:rPr>
        <w:t>普通教育</w:t>
      </w:r>
      <w:r>
        <w:rPr>
          <w:rFonts w:hint="eastAsia" w:ascii="仿宋_GB2312" w:hAnsi="宋体" w:eastAsia="仿宋_GB2312" w:cs="仿宋_GB2312"/>
          <w:b/>
          <w:bCs/>
          <w:color w:val="auto"/>
          <w:sz w:val="32"/>
          <w:szCs w:val="32"/>
          <w:highlight w:val="none"/>
        </w:rPr>
        <w:t>（款）其他</w:t>
      </w:r>
      <w:r>
        <w:rPr>
          <w:rFonts w:hint="eastAsia" w:ascii="仿宋_GB2312" w:hAnsi="宋体" w:eastAsia="仿宋_GB2312" w:cs="仿宋_GB2312"/>
          <w:b/>
          <w:bCs/>
          <w:color w:val="auto"/>
          <w:sz w:val="32"/>
          <w:szCs w:val="32"/>
          <w:highlight w:val="none"/>
          <w:lang w:val="en-US" w:eastAsia="zh-CN"/>
        </w:rPr>
        <w:t>普通</w:t>
      </w:r>
      <w:r>
        <w:rPr>
          <w:rFonts w:hint="eastAsia" w:ascii="仿宋_GB2312" w:hAnsi="宋体" w:eastAsia="仿宋_GB2312" w:cs="仿宋_GB2312"/>
          <w:b/>
          <w:bCs/>
          <w:color w:val="auto"/>
          <w:sz w:val="32"/>
          <w:szCs w:val="32"/>
          <w:highlight w:val="none"/>
        </w:rPr>
        <w:t>教育支出（项）。</w:t>
      </w:r>
      <w:r>
        <w:rPr>
          <w:rFonts w:hint="eastAsia" w:ascii="仿宋_GB2312" w:hAnsi="仿宋_GB2312" w:eastAsia="仿宋_GB2312" w:cs="仿宋_GB2312"/>
          <w:color w:val="auto"/>
          <w:sz w:val="32"/>
          <w:szCs w:val="32"/>
          <w:highlight w:val="none"/>
          <w:lang w:val="en-US" w:eastAsia="zh-CN"/>
        </w:rPr>
        <w:t>年初预算为0.00万元，支出决算为741.58万元。决算数与年初预算数存在差异的主要原因是年初单位预算没有安排。</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宋体" w:eastAsia="仿宋_GB2312" w:cs="仿宋_GB2312"/>
          <w:b/>
          <w:bCs/>
          <w:color w:val="auto"/>
          <w:sz w:val="32"/>
          <w:szCs w:val="32"/>
          <w:highlight w:val="none"/>
        </w:rPr>
        <w:t>教育支出（类）</w:t>
      </w:r>
      <w:r>
        <w:rPr>
          <w:rFonts w:hint="eastAsia" w:ascii="仿宋_GB2312" w:hAnsi="宋体" w:eastAsia="仿宋_GB2312" w:cs="仿宋_GB2312"/>
          <w:b/>
          <w:bCs/>
          <w:color w:val="auto"/>
          <w:sz w:val="32"/>
          <w:szCs w:val="32"/>
          <w:highlight w:val="none"/>
          <w:lang w:val="en-US" w:eastAsia="zh-CN"/>
        </w:rPr>
        <w:t>其他教育支出</w:t>
      </w:r>
      <w:r>
        <w:rPr>
          <w:rFonts w:hint="eastAsia" w:ascii="仿宋_GB2312" w:hAnsi="宋体" w:eastAsia="仿宋_GB2312" w:cs="仿宋_GB2312"/>
          <w:b/>
          <w:bCs/>
          <w:color w:val="auto"/>
          <w:sz w:val="32"/>
          <w:szCs w:val="32"/>
          <w:highlight w:val="none"/>
        </w:rPr>
        <w:t>（款）其他教育支出（项）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宋体"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2021年市直学校保安经费</w:t>
      </w:r>
      <w:r>
        <w:rPr>
          <w:rFonts w:hint="eastAsia" w:ascii="仿宋_GB2312" w:hAnsi="仿宋_GB2312" w:eastAsia="仿宋_GB2312" w:cs="仿宋_GB2312"/>
          <w:color w:val="auto"/>
          <w:sz w:val="32"/>
          <w:szCs w:val="32"/>
          <w:highlight w:val="none"/>
        </w:rPr>
        <w:t>支出，年初</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预算未安排</w:t>
      </w:r>
      <w:r>
        <w:rPr>
          <w:rFonts w:hint="eastAsia" w:ascii="仿宋_GB2312" w:hAnsi="宋体"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宋体"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宋体" w:eastAsia="仿宋_GB2312" w:cs="仿宋_GB2312"/>
          <w:b/>
          <w:bCs/>
          <w:color w:val="auto"/>
          <w:sz w:val="32"/>
          <w:szCs w:val="32"/>
          <w:highlight w:val="none"/>
        </w:rPr>
        <w:t>社会保障和就业（类）行政事业单位</w:t>
      </w:r>
      <w:r>
        <w:rPr>
          <w:rFonts w:hint="eastAsia" w:ascii="仿宋_GB2312" w:hAnsi="宋体" w:eastAsia="仿宋_GB2312" w:cs="仿宋_GB2312"/>
          <w:b/>
          <w:bCs/>
          <w:color w:val="auto"/>
          <w:sz w:val="32"/>
          <w:szCs w:val="32"/>
          <w:highlight w:val="none"/>
          <w:lang w:val="en-US" w:eastAsia="zh-CN"/>
        </w:rPr>
        <w:t>养老支出</w:t>
      </w:r>
      <w:r>
        <w:rPr>
          <w:rFonts w:hint="eastAsia" w:ascii="仿宋_GB2312" w:hAnsi="宋体" w:eastAsia="仿宋_GB2312" w:cs="仿宋_GB2312"/>
          <w:b/>
          <w:bCs/>
          <w:color w:val="auto"/>
          <w:sz w:val="32"/>
          <w:szCs w:val="32"/>
          <w:highlight w:val="none"/>
        </w:rPr>
        <w:t>（款）事业单位离退休（项）。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65.98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69.11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完成年初预算的104.74%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决算数与年初预算数存在差异的主要原因是退休费增加。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宋体" w:eastAsia="仿宋_GB2312" w:cs="仿宋_GB2312"/>
          <w:b/>
          <w:bCs/>
          <w:color w:val="auto"/>
          <w:sz w:val="32"/>
          <w:szCs w:val="32"/>
          <w:highlight w:val="none"/>
        </w:rPr>
      </w:pPr>
      <w:r>
        <w:rPr>
          <w:rFonts w:hint="eastAsia" w:ascii="仿宋_GB2312" w:hAnsi="宋体" w:eastAsia="仿宋_GB2312" w:cs="仿宋_GB2312"/>
          <w:b/>
          <w:bCs/>
          <w:color w:val="auto"/>
          <w:sz w:val="32"/>
          <w:szCs w:val="32"/>
          <w:highlight w:val="none"/>
          <w:lang w:val="en-US" w:eastAsia="zh-CN"/>
        </w:rPr>
        <w:t>6</w:t>
      </w:r>
      <w:r>
        <w:rPr>
          <w:rFonts w:ascii="仿宋_GB2312" w:hAnsi="宋体" w:eastAsia="仿宋_GB2312" w:cs="仿宋_GB2312"/>
          <w:b/>
          <w:bCs/>
          <w:color w:val="auto"/>
          <w:sz w:val="32"/>
          <w:szCs w:val="32"/>
          <w:highlight w:val="none"/>
        </w:rPr>
        <w:t>.</w:t>
      </w:r>
      <w:r>
        <w:rPr>
          <w:rFonts w:hint="eastAsia" w:ascii="仿宋_GB2312" w:hAnsi="宋体" w:eastAsia="仿宋_GB2312" w:cs="仿宋_GB2312"/>
          <w:b/>
          <w:bCs/>
          <w:color w:val="auto"/>
          <w:sz w:val="32"/>
          <w:szCs w:val="32"/>
          <w:highlight w:val="none"/>
        </w:rPr>
        <w:t>社会保障和就业（类）行政事业单位</w:t>
      </w:r>
      <w:r>
        <w:rPr>
          <w:rFonts w:hint="eastAsia" w:ascii="仿宋_GB2312" w:hAnsi="宋体" w:eastAsia="仿宋_GB2312" w:cs="仿宋_GB2312"/>
          <w:b/>
          <w:bCs/>
          <w:color w:val="auto"/>
          <w:sz w:val="32"/>
          <w:szCs w:val="32"/>
          <w:highlight w:val="none"/>
          <w:lang w:val="en-US" w:eastAsia="zh-CN"/>
        </w:rPr>
        <w:t>养老支出</w:t>
      </w:r>
      <w:r>
        <w:rPr>
          <w:rFonts w:hint="eastAsia" w:ascii="仿宋_GB2312" w:hAnsi="宋体" w:eastAsia="仿宋_GB2312" w:cs="仿宋_GB2312"/>
          <w:b/>
          <w:bCs/>
          <w:color w:val="auto"/>
          <w:sz w:val="32"/>
          <w:szCs w:val="32"/>
          <w:highlight w:val="none"/>
        </w:rPr>
        <w:t>（款）</w:t>
      </w:r>
      <w:r>
        <w:rPr>
          <w:rFonts w:hint="eastAsia" w:ascii="仿宋_GB2312" w:hAnsi="宋体" w:eastAsia="仿宋_GB2312" w:cs="仿宋_GB2312"/>
          <w:b/>
          <w:bCs/>
          <w:color w:val="auto"/>
          <w:sz w:val="32"/>
          <w:szCs w:val="32"/>
          <w:highlight w:val="none"/>
          <w:lang w:val="en-US" w:eastAsia="zh-CN"/>
        </w:rPr>
        <w:t>机关</w:t>
      </w:r>
      <w:r>
        <w:rPr>
          <w:rFonts w:hint="eastAsia" w:ascii="仿宋_GB2312" w:hAnsi="宋体" w:eastAsia="仿宋_GB2312" w:cs="仿宋_GB2312"/>
          <w:b/>
          <w:bCs/>
          <w:color w:val="auto"/>
          <w:sz w:val="32"/>
          <w:szCs w:val="32"/>
          <w:highlight w:val="none"/>
        </w:rPr>
        <w:t>事业单位</w:t>
      </w:r>
      <w:r>
        <w:rPr>
          <w:rFonts w:hint="eastAsia" w:ascii="仿宋_GB2312" w:hAnsi="宋体" w:eastAsia="仿宋_GB2312" w:cs="仿宋_GB2312"/>
          <w:b/>
          <w:bCs/>
          <w:color w:val="auto"/>
          <w:sz w:val="32"/>
          <w:szCs w:val="32"/>
          <w:highlight w:val="none"/>
          <w:lang w:val="en-US" w:eastAsia="zh-CN"/>
        </w:rPr>
        <w:t>基本养老保险缴费</w:t>
      </w:r>
      <w:r>
        <w:rPr>
          <w:rFonts w:hint="eastAsia" w:ascii="仿宋_GB2312" w:hAnsi="宋体" w:eastAsia="仿宋_GB2312" w:cs="仿宋_GB2312"/>
          <w:b/>
          <w:bCs/>
          <w:color w:val="auto"/>
          <w:sz w:val="32"/>
          <w:szCs w:val="32"/>
          <w:highlight w:val="none"/>
        </w:rPr>
        <w:t>（项）。</w:t>
      </w:r>
      <w:r>
        <w:rPr>
          <w:rFonts w:hint="eastAsia" w:ascii="仿宋_GB2312" w:hAnsi="宋体" w:eastAsia="仿宋_GB2312" w:cs="仿宋_GB2312"/>
          <w:color w:val="auto"/>
          <w:sz w:val="32"/>
          <w:szCs w:val="32"/>
          <w:highlight w:val="none"/>
        </w:rPr>
        <w:t>年初预算为</w:t>
      </w:r>
      <w:r>
        <w:rPr>
          <w:rFonts w:hint="eastAsia" w:ascii="仿宋_GB2312" w:hAnsi="宋体" w:eastAsia="仿宋_GB2312" w:cs="仿宋_GB2312"/>
          <w:color w:val="auto"/>
          <w:sz w:val="32"/>
          <w:szCs w:val="32"/>
          <w:highlight w:val="none"/>
          <w:lang w:val="en-US" w:eastAsia="zh-CN"/>
        </w:rPr>
        <w:t>154.80</w:t>
      </w:r>
      <w:r>
        <w:rPr>
          <w:rFonts w:hint="eastAsia" w:ascii="仿宋_GB2312" w:hAnsi="宋体" w:eastAsia="仿宋_GB2312" w:cs="仿宋_GB2312"/>
          <w:color w:val="auto"/>
          <w:sz w:val="32"/>
          <w:szCs w:val="32"/>
          <w:highlight w:val="none"/>
        </w:rPr>
        <w:t>万元，支出决算</w:t>
      </w:r>
      <w:r>
        <w:rPr>
          <w:rFonts w:hint="eastAsia" w:ascii="仿宋_GB2312" w:hAnsi="宋体" w:eastAsia="仿宋_GB2312" w:cs="仿宋_GB2312"/>
          <w:color w:val="auto"/>
          <w:sz w:val="32"/>
          <w:szCs w:val="32"/>
          <w:highlight w:val="none"/>
          <w:lang w:val="en-US" w:eastAsia="zh-CN"/>
        </w:rPr>
        <w:t>167.00</w:t>
      </w:r>
      <w:r>
        <w:rPr>
          <w:rFonts w:hint="eastAsia" w:ascii="仿宋_GB2312" w:hAnsi="宋体" w:eastAsia="仿宋_GB2312" w:cs="仿宋_GB2312"/>
          <w:color w:val="auto"/>
          <w:sz w:val="32"/>
          <w:szCs w:val="32"/>
          <w:highlight w:val="none"/>
        </w:rPr>
        <w:t>万</w:t>
      </w:r>
      <w:r>
        <w:rPr>
          <w:rFonts w:hint="eastAsia" w:ascii="仿宋_GB2312" w:hAnsi="宋体"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完成年初预算的107.88%</w:t>
      </w:r>
      <w:r>
        <w:rPr>
          <w:rFonts w:hint="eastAsia" w:ascii="仿宋_GB2312" w:hAnsi="宋体"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决算数与年初预算数存在差异的主要原因是养老保险缴费基数调增。</w:t>
      </w:r>
    </w:p>
    <w:p>
      <w:pPr>
        <w:adjustRightInd w:val="0"/>
        <w:snapToGrid w:val="0"/>
        <w:spacing w:line="360" w:lineRule="auto"/>
        <w:ind w:firstLine="660"/>
        <w:rPr>
          <w:rFonts w:hint="eastAsia" w:ascii="仿宋_GB2312" w:hAnsi="宋体" w:eastAsia="仿宋_GB2312" w:cs="仿宋_GB2312"/>
          <w:b/>
          <w:bCs/>
          <w:color w:val="auto"/>
          <w:sz w:val="32"/>
          <w:szCs w:val="32"/>
          <w:highlight w:val="none"/>
          <w:lang w:val="en-US" w:eastAsia="zh-CN"/>
        </w:rPr>
      </w:pPr>
      <w:r>
        <w:rPr>
          <w:rFonts w:hint="eastAsia" w:ascii="仿宋_GB2312" w:hAnsi="宋体" w:eastAsia="仿宋_GB2312" w:cs="仿宋_GB2312"/>
          <w:b/>
          <w:bCs/>
          <w:color w:val="auto"/>
          <w:sz w:val="32"/>
          <w:szCs w:val="32"/>
          <w:highlight w:val="none"/>
          <w:lang w:val="en-US" w:eastAsia="zh-CN"/>
        </w:rPr>
        <w:t>7</w:t>
      </w:r>
      <w:r>
        <w:rPr>
          <w:rFonts w:ascii="仿宋_GB2312" w:hAnsi="宋体" w:eastAsia="仿宋_GB2312" w:cs="仿宋_GB2312"/>
          <w:b/>
          <w:bCs/>
          <w:color w:val="auto"/>
          <w:sz w:val="32"/>
          <w:szCs w:val="32"/>
          <w:highlight w:val="none"/>
        </w:rPr>
        <w:t>.</w:t>
      </w:r>
      <w:r>
        <w:rPr>
          <w:rFonts w:hint="eastAsia" w:ascii="仿宋_GB2312" w:hAnsi="宋体" w:eastAsia="仿宋_GB2312" w:cs="仿宋_GB2312"/>
          <w:b/>
          <w:bCs/>
          <w:color w:val="auto"/>
          <w:sz w:val="32"/>
          <w:szCs w:val="32"/>
          <w:highlight w:val="none"/>
          <w:lang w:val="en-US" w:eastAsia="zh-CN"/>
        </w:rPr>
        <w:t>卫生健康</w:t>
      </w:r>
      <w:r>
        <w:rPr>
          <w:rFonts w:hint="eastAsia" w:ascii="仿宋_GB2312" w:hAnsi="宋体" w:eastAsia="仿宋_GB2312" w:cs="仿宋_GB2312"/>
          <w:b/>
          <w:bCs/>
          <w:color w:val="auto"/>
          <w:sz w:val="32"/>
          <w:szCs w:val="32"/>
          <w:highlight w:val="none"/>
        </w:rPr>
        <w:t>（类）</w:t>
      </w:r>
      <w:r>
        <w:rPr>
          <w:rFonts w:hint="eastAsia" w:ascii="仿宋_GB2312" w:hAnsi="宋体" w:eastAsia="仿宋_GB2312" w:cs="仿宋_GB2312"/>
          <w:b/>
          <w:bCs/>
          <w:color w:val="auto"/>
          <w:sz w:val="32"/>
          <w:szCs w:val="32"/>
          <w:highlight w:val="none"/>
          <w:lang w:val="en-US" w:eastAsia="zh-CN"/>
        </w:rPr>
        <w:t>行政事业单位医疗</w:t>
      </w:r>
      <w:r>
        <w:rPr>
          <w:rFonts w:hint="eastAsia" w:ascii="仿宋_GB2312" w:hAnsi="宋体" w:eastAsia="仿宋_GB2312" w:cs="仿宋_GB2312"/>
          <w:b/>
          <w:bCs/>
          <w:color w:val="auto"/>
          <w:sz w:val="32"/>
          <w:szCs w:val="32"/>
          <w:highlight w:val="none"/>
        </w:rPr>
        <w:t>（款）</w:t>
      </w:r>
      <w:r>
        <w:rPr>
          <w:rFonts w:hint="eastAsia" w:ascii="仿宋_GB2312" w:hAnsi="宋体" w:eastAsia="仿宋_GB2312" w:cs="仿宋_GB2312"/>
          <w:b/>
          <w:bCs/>
          <w:color w:val="auto"/>
          <w:sz w:val="32"/>
          <w:szCs w:val="32"/>
          <w:highlight w:val="none"/>
          <w:lang w:val="en-US" w:eastAsia="zh-CN"/>
        </w:rPr>
        <w:t>事业单位医疗</w:t>
      </w:r>
      <w:r>
        <w:rPr>
          <w:rFonts w:hint="eastAsia" w:ascii="仿宋_GB2312" w:hAnsi="宋体" w:eastAsia="仿宋_GB2312" w:cs="仿宋_GB2312"/>
          <w:b/>
          <w:bCs/>
          <w:color w:val="auto"/>
          <w:sz w:val="32"/>
          <w:szCs w:val="32"/>
          <w:highlight w:val="none"/>
        </w:rPr>
        <w:t>（项）。</w:t>
      </w:r>
      <w:r>
        <w:rPr>
          <w:rFonts w:hint="eastAsia" w:ascii="仿宋_GB2312" w:hAnsi="宋体" w:eastAsia="仿宋_GB2312" w:cs="仿宋_GB2312"/>
          <w:color w:val="auto"/>
          <w:sz w:val="32"/>
          <w:szCs w:val="32"/>
          <w:highlight w:val="none"/>
        </w:rPr>
        <w:t>年初预算为</w:t>
      </w:r>
      <w:r>
        <w:rPr>
          <w:rFonts w:hint="eastAsia" w:ascii="仿宋_GB2312" w:hAnsi="宋体" w:eastAsia="仿宋_GB2312" w:cs="仿宋_GB2312"/>
          <w:color w:val="auto"/>
          <w:sz w:val="32"/>
          <w:szCs w:val="32"/>
          <w:highlight w:val="none"/>
          <w:lang w:val="en-US" w:eastAsia="zh-CN"/>
        </w:rPr>
        <w:t>73.81</w:t>
      </w:r>
      <w:r>
        <w:rPr>
          <w:rFonts w:hint="eastAsia" w:ascii="仿宋_GB2312" w:hAnsi="宋体" w:eastAsia="仿宋_GB2312" w:cs="仿宋_GB2312"/>
          <w:color w:val="auto"/>
          <w:sz w:val="32"/>
          <w:szCs w:val="32"/>
          <w:highlight w:val="none"/>
        </w:rPr>
        <w:t>万元，支出决算为</w:t>
      </w:r>
      <w:r>
        <w:rPr>
          <w:rFonts w:hint="eastAsia" w:ascii="仿宋_GB2312" w:hAnsi="宋体" w:eastAsia="仿宋_GB2312" w:cs="仿宋_GB2312"/>
          <w:color w:val="auto"/>
          <w:sz w:val="32"/>
          <w:szCs w:val="32"/>
          <w:highlight w:val="none"/>
          <w:lang w:val="en-US" w:eastAsia="zh-CN"/>
        </w:rPr>
        <w:t>75.08</w:t>
      </w:r>
      <w:r>
        <w:rPr>
          <w:rFonts w:hint="eastAsia" w:ascii="仿宋_GB2312" w:hAnsi="宋体" w:eastAsia="仿宋_GB2312" w:cs="仿宋_GB2312"/>
          <w:color w:val="auto"/>
          <w:sz w:val="32"/>
          <w:szCs w:val="32"/>
          <w:highlight w:val="none"/>
        </w:rPr>
        <w:t>万</w:t>
      </w:r>
      <w:r>
        <w:rPr>
          <w:rFonts w:hint="eastAsia" w:ascii="仿宋_GB2312" w:hAnsi="宋体"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lang w:val="en-US" w:eastAsia="zh-CN"/>
        </w:rPr>
        <w:t>完成年初预算的101.72%</w:t>
      </w:r>
      <w:r>
        <w:rPr>
          <w:rFonts w:hint="eastAsia" w:ascii="仿宋_GB2312" w:hAnsi="宋体"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决算数与年初预算数存在差异的主要原因是医疗保险缴费基数调增。</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lang w:val="en-US"/>
        </w:rPr>
        <w:t>2,512.61</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2402.11</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其他社会保障缴费、住房公积金、其他工资福利支出、退休费、生活补助、</w:t>
      </w:r>
      <w:r>
        <w:rPr>
          <w:rFonts w:hint="eastAsia" w:ascii="仿宋_GB2312" w:hAnsi="仿宋_GB2312" w:eastAsia="仿宋_GB2312" w:cs="仿宋_GB2312"/>
          <w:color w:val="auto"/>
          <w:sz w:val="32"/>
          <w:szCs w:val="32"/>
          <w:highlight w:val="none"/>
          <w:lang w:val="en-US" w:eastAsia="zh-CN"/>
        </w:rPr>
        <w:t>代缴社会保险费</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110.50</w:t>
      </w:r>
      <w:r>
        <w:rPr>
          <w:rFonts w:hint="eastAsia" w:ascii="仿宋_GB2312" w:hAnsi="仿宋_GB2312" w:eastAsia="仿宋_GB2312" w:cs="仿宋_GB2312"/>
          <w:color w:val="auto"/>
          <w:sz w:val="32"/>
          <w:szCs w:val="32"/>
          <w:highlight w:val="none"/>
        </w:rPr>
        <w:t>万元，主要包括：办公费、邮电费、物业管理费、差旅费、维修（护）费、培训费、专用材料费、劳务费、工会经费、福利费、公务用车运行维护费、办公设备购置、专用设备购置。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olor w:val="auto"/>
          <w:sz w:val="32"/>
          <w:szCs w:val="24"/>
          <w:highlight w:val="none"/>
          <w:lang w:val="en-US"/>
        </w:rPr>
        <w:t>1.42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1.42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lang w:val="en-US"/>
        </w:rPr>
        <w:t>100%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numPr>
          <w:ilvl w:val="0"/>
          <w:numId w:val="2"/>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olor w:val="auto"/>
          <w:sz w:val="32"/>
          <w:szCs w:val="24"/>
          <w:highlight w:val="none"/>
          <w:lang w:val="en-US"/>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1.42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1.42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万元。主要用于燃油费、车辆维修费、过路过桥费、车辆保险费。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olor w:val="auto"/>
          <w:sz w:val="32"/>
          <w:szCs w:val="24"/>
          <w:highlight w:val="none"/>
          <w:lang w:val="en-US"/>
        </w:rPr>
        <w:t>341.47</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olor w:val="auto"/>
          <w:sz w:val="32"/>
          <w:szCs w:val="24"/>
          <w:highlight w:val="none"/>
          <w:lang w:val="en-US"/>
        </w:rPr>
        <w:t>33.7</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307.77</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spacing w:line="60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 w:hAnsi="仿宋" w:eastAsia="仿宋" w:cs="仿宋_GB2312"/>
          <w:color w:val="auto"/>
          <w:kern w:val="44"/>
          <w:sz w:val="32"/>
          <w:szCs w:val="32"/>
          <w:highlight w:val="none"/>
        </w:rPr>
        <w:t>为加强我校</w:t>
      </w:r>
      <w:r>
        <w:rPr>
          <w:rFonts w:hint="eastAsia" w:ascii="仿宋" w:hAnsi="仿宋" w:eastAsia="仿宋" w:cs="仿宋_GB2312"/>
          <w:color w:val="auto"/>
          <w:kern w:val="44"/>
          <w:sz w:val="32"/>
          <w:szCs w:val="32"/>
          <w:highlight w:val="none"/>
          <w:lang w:eastAsia="zh-CN"/>
        </w:rPr>
        <w:t>单位</w:t>
      </w:r>
      <w:r>
        <w:rPr>
          <w:rFonts w:hint="eastAsia" w:ascii="仿宋" w:hAnsi="仿宋" w:eastAsia="仿宋" w:cs="仿宋_GB2312"/>
          <w:color w:val="auto"/>
          <w:kern w:val="44"/>
          <w:sz w:val="32"/>
          <w:szCs w:val="32"/>
          <w:highlight w:val="none"/>
        </w:rPr>
        <w:t>整体和项目资金使用满意度，</w:t>
      </w:r>
      <w:r>
        <w:rPr>
          <w:rFonts w:hint="eastAsia" w:ascii="仿宋" w:hAnsi="仿宋" w:eastAsia="仿宋" w:cs="仿宋"/>
          <w:color w:val="auto"/>
          <w:sz w:val="32"/>
          <w:szCs w:val="32"/>
          <w:highlight w:val="none"/>
          <w:lang w:val="en-US" w:eastAsia="zh-CN"/>
        </w:rPr>
        <w:t>学校</w:t>
      </w:r>
      <w:r>
        <w:rPr>
          <w:rFonts w:hint="eastAsia" w:ascii="仿宋" w:hAnsi="仿宋" w:eastAsia="仿宋" w:cs="仿宋"/>
          <w:color w:val="auto"/>
          <w:sz w:val="32"/>
          <w:szCs w:val="32"/>
          <w:highlight w:val="none"/>
        </w:rPr>
        <w:t>成立了绩效</w:t>
      </w:r>
      <w:r>
        <w:rPr>
          <w:rFonts w:hint="eastAsia" w:ascii="仿宋" w:hAnsi="仿宋" w:eastAsia="仿宋" w:cs="仿宋"/>
          <w:color w:val="auto"/>
          <w:sz w:val="32"/>
          <w:szCs w:val="32"/>
          <w:highlight w:val="none"/>
          <w:lang w:val="en-US" w:eastAsia="zh-CN"/>
        </w:rPr>
        <w:t>评价</w:t>
      </w:r>
      <w:r>
        <w:rPr>
          <w:rFonts w:hint="eastAsia" w:ascii="仿宋" w:hAnsi="仿宋" w:eastAsia="仿宋" w:cs="仿宋"/>
          <w:color w:val="auto"/>
          <w:sz w:val="32"/>
          <w:szCs w:val="32"/>
          <w:highlight w:val="none"/>
          <w:shd w:val="clear" w:color="auto" w:fill="auto"/>
        </w:rPr>
        <w:t>工作小组</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认真</w:t>
      </w:r>
      <w:r>
        <w:rPr>
          <w:rFonts w:hint="eastAsia" w:ascii="仿宋" w:hAnsi="仿宋" w:eastAsia="仿宋" w:cs="仿宋_GB2312"/>
          <w:color w:val="auto"/>
          <w:kern w:val="44"/>
          <w:sz w:val="32"/>
          <w:szCs w:val="32"/>
          <w:highlight w:val="none"/>
          <w:lang w:val="en-US" w:eastAsia="zh-CN"/>
        </w:rPr>
        <w:t>学习</w:t>
      </w:r>
      <w:r>
        <w:rPr>
          <w:rFonts w:hint="eastAsia" w:ascii="仿宋_GB2312" w:hAnsi="仿宋_GB2312" w:eastAsia="仿宋_GB2312" w:cs="仿宋_GB2312"/>
          <w:color w:val="auto"/>
          <w:sz w:val="32"/>
          <w:szCs w:val="32"/>
          <w:highlight w:val="none"/>
          <w:shd w:val="clear" w:color="auto" w:fill="auto"/>
          <w:lang w:val="en-US" w:eastAsia="zh-CN"/>
        </w:rPr>
        <w:t>《中共许昌市委 许昌市人民政府关于全面实施预算绩效管理的</w:t>
      </w:r>
      <w:r>
        <w:rPr>
          <w:rFonts w:hint="eastAsia" w:ascii="仿宋_GB2312" w:hAnsi="仿宋_GB2312" w:eastAsia="仿宋_GB2312" w:cs="仿宋_GB2312"/>
          <w:color w:val="auto"/>
          <w:sz w:val="32"/>
          <w:szCs w:val="32"/>
          <w:highlight w:val="none"/>
          <w:lang w:val="en-US" w:eastAsia="zh-CN"/>
        </w:rPr>
        <w:t>实施意见》</w:t>
      </w:r>
      <w:r>
        <w:rPr>
          <w:rFonts w:hint="eastAsia" w:ascii="仿宋" w:hAnsi="仿宋" w:eastAsia="仿宋" w:cs="仿宋"/>
          <w:color w:val="auto"/>
          <w:sz w:val="32"/>
          <w:szCs w:val="32"/>
          <w:highlight w:val="none"/>
          <w:lang w:val="en-US" w:eastAsia="zh-CN"/>
        </w:rPr>
        <w:t>文件要求和许昌市市级预算绩效评价管理办法，</w:t>
      </w:r>
      <w:r>
        <w:rPr>
          <w:rFonts w:hint="eastAsia" w:ascii="仿宋" w:hAnsi="仿宋" w:eastAsia="仿宋" w:cs="仿宋"/>
          <w:color w:val="auto"/>
          <w:sz w:val="32"/>
          <w:szCs w:val="32"/>
          <w:highlight w:val="none"/>
        </w:rPr>
        <w:t>对照“</w:t>
      </w:r>
      <w:r>
        <w:rPr>
          <w:rFonts w:hint="eastAsia" w:ascii="仿宋" w:hAnsi="仿宋" w:eastAsia="仿宋" w:cs="仿宋"/>
          <w:color w:val="auto"/>
          <w:kern w:val="0"/>
          <w:sz w:val="32"/>
          <w:szCs w:val="32"/>
          <w:highlight w:val="none"/>
          <w:lang w:eastAsia="zh-CN"/>
        </w:rPr>
        <w:t>单位</w:t>
      </w:r>
      <w:r>
        <w:rPr>
          <w:rFonts w:hint="eastAsia" w:ascii="仿宋" w:hAnsi="仿宋" w:eastAsia="仿宋" w:cs="仿宋"/>
          <w:color w:val="auto"/>
          <w:kern w:val="0"/>
          <w:sz w:val="32"/>
          <w:szCs w:val="32"/>
          <w:highlight w:val="none"/>
        </w:rPr>
        <w:t>整体和项目自评表</w:t>
      </w:r>
      <w:r>
        <w:rPr>
          <w:rFonts w:hint="eastAsia" w:ascii="仿宋" w:hAnsi="仿宋" w:eastAsia="仿宋" w:cs="仿宋"/>
          <w:color w:val="auto"/>
          <w:sz w:val="32"/>
          <w:szCs w:val="32"/>
          <w:highlight w:val="none"/>
        </w:rPr>
        <w:t>”的相关指标体系，认真细致地</w:t>
      </w:r>
      <w:r>
        <w:rPr>
          <w:rFonts w:hint="eastAsia" w:ascii="仿宋" w:hAnsi="仿宋" w:eastAsia="仿宋" w:cs="仿宋"/>
          <w:color w:val="auto"/>
          <w:spacing w:val="-20"/>
          <w:w w:val="1"/>
          <w:sz w:val="32"/>
          <w:szCs w:val="32"/>
          <w:highlight w:val="none"/>
        </w:rPr>
        <w:t>开</w:t>
      </w:r>
      <w:r>
        <w:rPr>
          <w:rFonts w:hint="eastAsia" w:ascii="仿宋" w:hAnsi="仿宋" w:eastAsia="仿宋" w:cs="仿宋"/>
          <w:color w:val="auto"/>
          <w:sz w:val="32"/>
          <w:szCs w:val="32"/>
          <w:highlight w:val="none"/>
        </w:rPr>
        <w:t>开展</w:t>
      </w:r>
      <w:r>
        <w:rPr>
          <w:rFonts w:hint="eastAsia" w:ascii="仿宋" w:hAnsi="仿宋" w:eastAsia="仿宋" w:cs="仿宋"/>
          <w:color w:val="auto"/>
          <w:sz w:val="32"/>
          <w:szCs w:val="32"/>
          <w:highlight w:val="none"/>
          <w:lang w:val="en-US" w:eastAsia="zh-CN"/>
        </w:rPr>
        <w:t>学习与宣传</w:t>
      </w:r>
      <w:r>
        <w:rPr>
          <w:rFonts w:hint="eastAsia" w:ascii="仿宋" w:hAnsi="仿宋" w:eastAsia="仿宋" w:cs="仿宋"/>
          <w:color w:val="auto"/>
          <w:sz w:val="32"/>
          <w:szCs w:val="32"/>
          <w:highlight w:val="none"/>
        </w:rPr>
        <w:t>工作，</w:t>
      </w:r>
      <w:r>
        <w:rPr>
          <w:rFonts w:hint="eastAsia" w:ascii="仿宋" w:hAnsi="仿宋" w:eastAsia="仿宋" w:cs="仿宋"/>
          <w:color w:val="auto"/>
          <w:sz w:val="32"/>
          <w:szCs w:val="32"/>
          <w:highlight w:val="none"/>
          <w:lang w:val="en-US" w:eastAsia="zh-CN"/>
        </w:rPr>
        <w:t>以</w:t>
      </w:r>
      <w:r>
        <w:rPr>
          <w:rFonts w:hint="eastAsia" w:ascii="仿宋" w:hAnsi="仿宋" w:eastAsia="仿宋" w:cs="仿宋_GB2312"/>
          <w:color w:val="auto"/>
          <w:kern w:val="44"/>
          <w:sz w:val="32"/>
          <w:szCs w:val="32"/>
          <w:highlight w:val="none"/>
        </w:rPr>
        <w:t>充分发挥资金的使用效益。</w:t>
      </w:r>
      <w:r>
        <w:rPr>
          <w:rFonts w:hint="eastAsia" w:ascii="仿宋" w:hAnsi="仿宋" w:eastAsia="仿宋" w:cs="仿宋_GB2312"/>
          <w:color w:val="auto"/>
          <w:kern w:val="44"/>
          <w:sz w:val="32"/>
          <w:szCs w:val="32"/>
          <w:highlight w:val="none"/>
          <w:lang w:val="en-US" w:eastAsia="zh-CN"/>
        </w:rPr>
        <w:t>在工作中，</w:t>
      </w:r>
      <w:r>
        <w:rPr>
          <w:rFonts w:hint="eastAsia" w:ascii="仿宋" w:hAnsi="仿宋" w:eastAsia="仿宋" w:cs="仿宋_GB2312"/>
          <w:color w:val="auto"/>
          <w:kern w:val="44"/>
          <w:sz w:val="32"/>
          <w:szCs w:val="32"/>
          <w:highlight w:val="none"/>
        </w:rPr>
        <w:t>从履职效能、管理效率、运行成本、服务满意、可持续性五个方面进行绩效</w:t>
      </w:r>
      <w:r>
        <w:rPr>
          <w:rFonts w:hint="eastAsia" w:ascii="仿宋" w:hAnsi="仿宋" w:eastAsia="仿宋" w:cs="仿宋_GB2312"/>
          <w:color w:val="auto"/>
          <w:kern w:val="44"/>
          <w:sz w:val="32"/>
          <w:szCs w:val="32"/>
          <w:highlight w:val="none"/>
          <w:lang w:val="en-US" w:eastAsia="zh-CN"/>
        </w:rPr>
        <w:t>评价。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2021年度我单位纳入预算绩效管理的支出总额为3291.07万元，其中：基本支出2512.61万元；支出项目1个，支出金额778.45万元。开展项目绩效自评项目0个，自评金额0.00万元；纳入重点绩效评价0个，评价金额0.00万元。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总体自我评价是财政资金预算配置合理合规，预算执行严格有序，预算管理规范可控，资金效益合乎预期。本单位2021年度整体绩效自评结果为良好。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5A9C6"/>
    <w:multiLevelType w:val="singleLevel"/>
    <w:tmpl w:val="EF75A9C6"/>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5779E"/>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012B"/>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0D1C5F"/>
    <w:rsid w:val="046A19F2"/>
    <w:rsid w:val="0478364D"/>
    <w:rsid w:val="053D4C0D"/>
    <w:rsid w:val="0557532E"/>
    <w:rsid w:val="060318FF"/>
    <w:rsid w:val="07343B5C"/>
    <w:rsid w:val="0799329C"/>
    <w:rsid w:val="08397436"/>
    <w:rsid w:val="086F16A7"/>
    <w:rsid w:val="0A0F7225"/>
    <w:rsid w:val="0A2B7D82"/>
    <w:rsid w:val="0ADC40E9"/>
    <w:rsid w:val="0AE607F4"/>
    <w:rsid w:val="0B386127"/>
    <w:rsid w:val="0B451598"/>
    <w:rsid w:val="0B5E5DFE"/>
    <w:rsid w:val="0BAB0918"/>
    <w:rsid w:val="0BEC73F4"/>
    <w:rsid w:val="0C392698"/>
    <w:rsid w:val="108A0487"/>
    <w:rsid w:val="10BD36F6"/>
    <w:rsid w:val="11BF0649"/>
    <w:rsid w:val="123E3E08"/>
    <w:rsid w:val="133212F4"/>
    <w:rsid w:val="13912AE9"/>
    <w:rsid w:val="13D22E22"/>
    <w:rsid w:val="161C2DFF"/>
    <w:rsid w:val="16373578"/>
    <w:rsid w:val="16D3336B"/>
    <w:rsid w:val="17200028"/>
    <w:rsid w:val="17806C36"/>
    <w:rsid w:val="17A74F62"/>
    <w:rsid w:val="18A47774"/>
    <w:rsid w:val="1A8D28EB"/>
    <w:rsid w:val="1A935399"/>
    <w:rsid w:val="1A9F2D78"/>
    <w:rsid w:val="1B2E6FD8"/>
    <w:rsid w:val="1B877D21"/>
    <w:rsid w:val="1C4319A9"/>
    <w:rsid w:val="1C4F6CD2"/>
    <w:rsid w:val="1CCA3300"/>
    <w:rsid w:val="1DC15098"/>
    <w:rsid w:val="1DEC2D59"/>
    <w:rsid w:val="1E443B4B"/>
    <w:rsid w:val="1E67231D"/>
    <w:rsid w:val="1E7C17D8"/>
    <w:rsid w:val="1E994F4A"/>
    <w:rsid w:val="1EAF0224"/>
    <w:rsid w:val="1EBF675C"/>
    <w:rsid w:val="1EFD69CD"/>
    <w:rsid w:val="1F2230A4"/>
    <w:rsid w:val="1F225A54"/>
    <w:rsid w:val="20210932"/>
    <w:rsid w:val="202448E0"/>
    <w:rsid w:val="20A26336"/>
    <w:rsid w:val="20EB5EB9"/>
    <w:rsid w:val="20F614FE"/>
    <w:rsid w:val="21302EEA"/>
    <w:rsid w:val="22376FB5"/>
    <w:rsid w:val="23E152D7"/>
    <w:rsid w:val="23EE2489"/>
    <w:rsid w:val="25046025"/>
    <w:rsid w:val="25070E5D"/>
    <w:rsid w:val="255D43C8"/>
    <w:rsid w:val="26714EF8"/>
    <w:rsid w:val="26876BDD"/>
    <w:rsid w:val="2714632A"/>
    <w:rsid w:val="27541E73"/>
    <w:rsid w:val="27B0539E"/>
    <w:rsid w:val="27D70CE6"/>
    <w:rsid w:val="28446486"/>
    <w:rsid w:val="287333BC"/>
    <w:rsid w:val="29365CF8"/>
    <w:rsid w:val="299469B3"/>
    <w:rsid w:val="2A805789"/>
    <w:rsid w:val="2ADC0D75"/>
    <w:rsid w:val="2B4A0E52"/>
    <w:rsid w:val="2C975890"/>
    <w:rsid w:val="2DEF21BB"/>
    <w:rsid w:val="2E4A2F05"/>
    <w:rsid w:val="2ECC1061"/>
    <w:rsid w:val="2FA476AD"/>
    <w:rsid w:val="303F7540"/>
    <w:rsid w:val="30945900"/>
    <w:rsid w:val="31DD00BF"/>
    <w:rsid w:val="3293174C"/>
    <w:rsid w:val="329D4BAF"/>
    <w:rsid w:val="32BB38D4"/>
    <w:rsid w:val="32C9376D"/>
    <w:rsid w:val="33780472"/>
    <w:rsid w:val="33AF0905"/>
    <w:rsid w:val="33B029E0"/>
    <w:rsid w:val="344E6D33"/>
    <w:rsid w:val="355932F4"/>
    <w:rsid w:val="35611882"/>
    <w:rsid w:val="35A65B28"/>
    <w:rsid w:val="36746FC3"/>
    <w:rsid w:val="368763AE"/>
    <w:rsid w:val="3700676C"/>
    <w:rsid w:val="37B26974"/>
    <w:rsid w:val="395D59E7"/>
    <w:rsid w:val="39A93932"/>
    <w:rsid w:val="3A915562"/>
    <w:rsid w:val="3B205A6D"/>
    <w:rsid w:val="3B452227"/>
    <w:rsid w:val="3B5407A5"/>
    <w:rsid w:val="3B8D4765"/>
    <w:rsid w:val="3C000DBA"/>
    <w:rsid w:val="3C120467"/>
    <w:rsid w:val="3C7F860C"/>
    <w:rsid w:val="3DC045D3"/>
    <w:rsid w:val="3E504FFB"/>
    <w:rsid w:val="3E615CD0"/>
    <w:rsid w:val="3E932BAC"/>
    <w:rsid w:val="3E9C47F6"/>
    <w:rsid w:val="3F8B0112"/>
    <w:rsid w:val="3FAB3095"/>
    <w:rsid w:val="3FE45947"/>
    <w:rsid w:val="3FFF5B61"/>
    <w:rsid w:val="4080052F"/>
    <w:rsid w:val="409B4D6F"/>
    <w:rsid w:val="41242965"/>
    <w:rsid w:val="42AB0B27"/>
    <w:rsid w:val="42BB0609"/>
    <w:rsid w:val="43277DA2"/>
    <w:rsid w:val="435671EA"/>
    <w:rsid w:val="440809E9"/>
    <w:rsid w:val="442407A6"/>
    <w:rsid w:val="44805EA1"/>
    <w:rsid w:val="45710696"/>
    <w:rsid w:val="46142B1B"/>
    <w:rsid w:val="46B73739"/>
    <w:rsid w:val="477C0DDF"/>
    <w:rsid w:val="47E04ECA"/>
    <w:rsid w:val="47E60DD0"/>
    <w:rsid w:val="48735039"/>
    <w:rsid w:val="492C684B"/>
    <w:rsid w:val="49500594"/>
    <w:rsid w:val="49AB0CA3"/>
    <w:rsid w:val="49E7604E"/>
    <w:rsid w:val="4AD60D77"/>
    <w:rsid w:val="4B835B25"/>
    <w:rsid w:val="4BF67CDD"/>
    <w:rsid w:val="4D173441"/>
    <w:rsid w:val="4D603DD6"/>
    <w:rsid w:val="4EBF010F"/>
    <w:rsid w:val="4F471EB0"/>
    <w:rsid w:val="50991BF8"/>
    <w:rsid w:val="50D46B08"/>
    <w:rsid w:val="5117550A"/>
    <w:rsid w:val="51331326"/>
    <w:rsid w:val="51740A7F"/>
    <w:rsid w:val="51A5541E"/>
    <w:rsid w:val="51AF456A"/>
    <w:rsid w:val="51C96242"/>
    <w:rsid w:val="51D535C6"/>
    <w:rsid w:val="53906AE1"/>
    <w:rsid w:val="54B947DB"/>
    <w:rsid w:val="54F46F60"/>
    <w:rsid w:val="55A37BEA"/>
    <w:rsid w:val="56362CD2"/>
    <w:rsid w:val="56867985"/>
    <w:rsid w:val="5784687B"/>
    <w:rsid w:val="57846959"/>
    <w:rsid w:val="578E6A87"/>
    <w:rsid w:val="58E45D8D"/>
    <w:rsid w:val="59483ACD"/>
    <w:rsid w:val="5AC2203A"/>
    <w:rsid w:val="5C125FE8"/>
    <w:rsid w:val="5CBB3334"/>
    <w:rsid w:val="5D115FAF"/>
    <w:rsid w:val="5F5F2B51"/>
    <w:rsid w:val="6015323C"/>
    <w:rsid w:val="60584FF8"/>
    <w:rsid w:val="61BB3AB2"/>
    <w:rsid w:val="62811722"/>
    <w:rsid w:val="62E75A72"/>
    <w:rsid w:val="63471E49"/>
    <w:rsid w:val="64571880"/>
    <w:rsid w:val="648764E1"/>
    <w:rsid w:val="649125B6"/>
    <w:rsid w:val="64E262CE"/>
    <w:rsid w:val="652F4C1A"/>
    <w:rsid w:val="6618187B"/>
    <w:rsid w:val="666D37F1"/>
    <w:rsid w:val="67087D8F"/>
    <w:rsid w:val="671F687E"/>
    <w:rsid w:val="67D13E9E"/>
    <w:rsid w:val="67F415F8"/>
    <w:rsid w:val="682640D1"/>
    <w:rsid w:val="684B73E5"/>
    <w:rsid w:val="6A047A2A"/>
    <w:rsid w:val="6B2A277C"/>
    <w:rsid w:val="6B3B0251"/>
    <w:rsid w:val="6BE704DA"/>
    <w:rsid w:val="6CEB1A97"/>
    <w:rsid w:val="6D9E6B0A"/>
    <w:rsid w:val="6E241FF7"/>
    <w:rsid w:val="6EFB7548"/>
    <w:rsid w:val="6F3831C3"/>
    <w:rsid w:val="6F8B71C1"/>
    <w:rsid w:val="70753482"/>
    <w:rsid w:val="707B522A"/>
    <w:rsid w:val="713F5ECE"/>
    <w:rsid w:val="722B3D97"/>
    <w:rsid w:val="72FB7C0E"/>
    <w:rsid w:val="73194D05"/>
    <w:rsid w:val="73A83B0E"/>
    <w:rsid w:val="73C4052F"/>
    <w:rsid w:val="744D3EF9"/>
    <w:rsid w:val="74794411"/>
    <w:rsid w:val="74C15C82"/>
    <w:rsid w:val="75867C40"/>
    <w:rsid w:val="759235A3"/>
    <w:rsid w:val="75B10B26"/>
    <w:rsid w:val="76432199"/>
    <w:rsid w:val="76F44829"/>
    <w:rsid w:val="77A267C0"/>
    <w:rsid w:val="78882278"/>
    <w:rsid w:val="78B118A6"/>
    <w:rsid w:val="79135044"/>
    <w:rsid w:val="797D616D"/>
    <w:rsid w:val="79C77587"/>
    <w:rsid w:val="7A7D0F99"/>
    <w:rsid w:val="7A7DA4D7"/>
    <w:rsid w:val="7BBC02E7"/>
    <w:rsid w:val="7E183E21"/>
    <w:rsid w:val="7E2D4952"/>
    <w:rsid w:val="7E4A0E7C"/>
    <w:rsid w:val="7E5B7B8D"/>
    <w:rsid w:val="7EFB03F9"/>
    <w:rsid w:val="7EFD449D"/>
    <w:rsid w:val="F3BE3FC9"/>
    <w:rsid w:val="F7EFFB28"/>
    <w:rsid w:val="FEF96A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8196</Words>
  <Characters>10262</Characters>
  <Lines>60</Lines>
  <Paragraphs>16</Paragraphs>
  <TotalTime>106</TotalTime>
  <ScaleCrop>false</ScaleCrop>
  <LinksUpToDate>false</LinksUpToDate>
  <CharactersWithSpaces>10488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2023-04-03T10:44:00Z</cp:lastPrinted>
  <dcterms:modified xsi:type="dcterms:W3CDTF">2023-09-17T11:21:46Z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957172A8203345479BA904E39CDD26AD_13</vt:lpwstr>
  </property>
</Properties>
</file>