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highlight w:val="none"/>
        </w:rPr>
      </w:pPr>
      <w:bookmarkStart w:id="0" w:name="_GoBack"/>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r>
        <w:rPr>
          <w:rFonts w:ascii="黑体" w:hAnsi="黑体" w:eastAsia="黑体" w:cs="黑体"/>
          <w:color w:val="auto"/>
          <w:sz w:val="52"/>
          <w:szCs w:val="52"/>
          <w:highlight w:val="none"/>
        </w:rPr>
        <w:t>2021</w:t>
      </w:r>
      <w:r>
        <w:rPr>
          <w:rFonts w:hint="eastAsia" w:ascii="黑体" w:hAnsi="黑体" w:eastAsia="黑体" w:cs="黑体"/>
          <w:color w:val="auto"/>
          <w:sz w:val="52"/>
          <w:szCs w:val="52"/>
          <w:highlight w:val="none"/>
        </w:rPr>
        <w:t>年度</w:t>
      </w:r>
    </w:p>
    <w:p>
      <w:pPr>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许昌市第二中学单位决算</w:t>
      </w: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52"/>
          <w:szCs w:val="52"/>
          <w:highlight w:val="none"/>
        </w:rPr>
      </w:pPr>
    </w:p>
    <w:p>
      <w:pPr>
        <w:jc w:val="center"/>
        <w:rPr>
          <w:rFonts w:ascii="黑体" w:hAnsi="黑体" w:eastAsia="黑体" w:cs="黑体"/>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许昌市第二中学概况</w:t>
      </w:r>
    </w:p>
    <w:p>
      <w:pPr>
        <w:numPr>
          <w:ilvl w:val="0"/>
          <w:numId w:val="1"/>
        </w:numPr>
        <w:ind w:firstLine="640" w:firstLineChars="200"/>
        <w:jc w:val="left"/>
        <w:rPr>
          <w:rFonts w:asci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ascii="黑体" w:hAnsi="黑体" w:eastAsia="黑体" w:cs="黑体"/>
          <w:color w:val="auto"/>
          <w:sz w:val="32"/>
          <w:szCs w:val="32"/>
          <w:highlight w:val="none"/>
        </w:rPr>
        <w:t xml:space="preserve">  2021</w:t>
      </w:r>
      <w:r>
        <w:rPr>
          <w:rFonts w:hint="eastAsia" w:ascii="黑体" w:hAnsi="黑体" w:eastAsia="黑体" w:cs="黑体"/>
          <w:color w:val="auto"/>
          <w:sz w:val="32"/>
          <w:szCs w:val="32"/>
          <w:highlight w:val="none"/>
        </w:rPr>
        <w:t>年度单位决算表</w:t>
      </w:r>
    </w:p>
    <w:p>
      <w:pPr>
        <w:ind w:firstLine="640" w:firstLineChars="200"/>
        <w:jc w:val="left"/>
        <w:rPr>
          <w:rFonts w:asci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asci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asci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asci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asci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asci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年度单位决算情况说明</w:t>
      </w:r>
    </w:p>
    <w:p>
      <w:pPr>
        <w:ind w:firstLine="640" w:firstLineChars="200"/>
        <w:jc w:val="left"/>
        <w:rPr>
          <w:rFonts w:asci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asci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asci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asci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asci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asci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asci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asci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asci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asci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黑体" w:eastAsia="黑体" w:cs="黑体"/>
          <w:color w:val="auto"/>
          <w:sz w:val="48"/>
          <w:szCs w:val="48"/>
          <w:highlight w:val="none"/>
        </w:rPr>
      </w:pPr>
    </w:p>
    <w:p>
      <w:pPr>
        <w:widowControl/>
        <w:jc w:val="center"/>
        <w:outlineLvl w:val="0"/>
        <w:rPr>
          <w:rFonts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第一部分</w:t>
      </w:r>
      <w:r>
        <w:rPr>
          <w:rFonts w:ascii="黑体" w:hAnsi="黑体" w:eastAsia="黑体" w:cs="黑体"/>
          <w:color w:val="auto"/>
          <w:sz w:val="48"/>
          <w:szCs w:val="48"/>
          <w:highlight w:val="none"/>
        </w:rPr>
        <w:t xml:space="preserve">  </w:t>
      </w:r>
      <w:r>
        <w:rPr>
          <w:rFonts w:hint="eastAsia" w:ascii="黑体" w:hAnsi="黑体" w:eastAsia="黑体" w:cs="黑体"/>
          <w:color w:val="auto"/>
          <w:sz w:val="48"/>
          <w:szCs w:val="48"/>
          <w:highlight w:val="none"/>
        </w:rPr>
        <w:t>许昌市第二中学概况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spacing w:line="336" w:lineRule="auto"/>
        <w:ind w:firstLine="640" w:firstLineChars="200"/>
        <w:rPr>
          <w:rFonts w:ascii="仿宋_GB2312" w:hAnsi="仿宋" w:eastAsia="仿宋_GB2312"/>
          <w:color w:val="auto"/>
          <w:sz w:val="32"/>
          <w:szCs w:val="32"/>
          <w:highlight w:val="none"/>
        </w:rPr>
      </w:pPr>
      <w:r>
        <w:rPr>
          <w:rFonts w:ascii="仿宋_GB2312" w:hAnsi="仿宋" w:eastAsia="仿宋_GB2312" w:cs="仿宋_GB2312"/>
          <w:color w:val="auto"/>
          <w:sz w:val="32"/>
          <w:szCs w:val="32"/>
          <w:highlight w:val="none"/>
        </w:rPr>
        <w:t>1</w:t>
      </w:r>
      <w:r>
        <w:rPr>
          <w:rFonts w:hint="eastAsia" w:ascii="仿宋_GB2312" w:hAnsi="仿宋" w:eastAsia="仿宋_GB2312" w:cs="仿宋_GB2312"/>
          <w:color w:val="auto"/>
          <w:sz w:val="32"/>
          <w:szCs w:val="32"/>
          <w:highlight w:val="none"/>
        </w:rPr>
        <w:t>、全面贯彻执行党和国家的教育方针、政策和法规，实施初中义务教育，促进基础教育发展。</w:t>
      </w:r>
    </w:p>
    <w:p>
      <w:pPr>
        <w:spacing w:line="336" w:lineRule="auto"/>
        <w:ind w:firstLine="640" w:firstLineChars="200"/>
        <w:rPr>
          <w:rFonts w:ascii="仿宋_GB2312" w:hAnsi="仿宋" w:eastAsia="仿宋_GB2312"/>
          <w:color w:val="auto"/>
          <w:sz w:val="32"/>
          <w:szCs w:val="32"/>
          <w:highlight w:val="none"/>
        </w:rPr>
      </w:pPr>
      <w:r>
        <w:rPr>
          <w:rFonts w:ascii="仿宋_GB2312" w:hAnsi="仿宋" w:eastAsia="仿宋_GB2312" w:cs="仿宋_GB2312"/>
          <w:color w:val="auto"/>
          <w:sz w:val="32"/>
          <w:szCs w:val="32"/>
          <w:highlight w:val="none"/>
        </w:rPr>
        <w:t>2</w:t>
      </w:r>
      <w:r>
        <w:rPr>
          <w:rFonts w:hint="eastAsia" w:ascii="仿宋_GB2312" w:hAnsi="仿宋" w:eastAsia="仿宋_GB2312" w:cs="仿宋_GB2312"/>
          <w:color w:val="auto"/>
          <w:sz w:val="32"/>
          <w:szCs w:val="32"/>
          <w:highlight w:val="none"/>
        </w:rPr>
        <w:t>、负责依法制定学校章程，并按照章程自主管理。</w:t>
      </w:r>
    </w:p>
    <w:p>
      <w:pPr>
        <w:spacing w:line="336" w:lineRule="auto"/>
        <w:ind w:firstLine="640" w:firstLineChars="200"/>
        <w:rPr>
          <w:rFonts w:ascii="仿宋_GB2312" w:hAnsi="仿宋" w:eastAsia="仿宋_GB2312"/>
          <w:color w:val="auto"/>
          <w:sz w:val="32"/>
          <w:szCs w:val="32"/>
          <w:highlight w:val="none"/>
        </w:rPr>
      </w:pPr>
      <w:r>
        <w:rPr>
          <w:rFonts w:ascii="仿宋_GB2312" w:hAnsi="仿宋" w:eastAsia="仿宋_GB2312" w:cs="仿宋_GB2312"/>
          <w:color w:val="auto"/>
          <w:sz w:val="32"/>
          <w:szCs w:val="32"/>
          <w:highlight w:val="none"/>
        </w:rPr>
        <w:t>3</w:t>
      </w:r>
      <w:r>
        <w:rPr>
          <w:rFonts w:hint="eastAsia" w:ascii="仿宋_GB2312" w:hAnsi="仿宋" w:eastAsia="仿宋_GB2312" w:cs="仿宋_GB2312"/>
          <w:color w:val="auto"/>
          <w:sz w:val="32"/>
          <w:szCs w:val="32"/>
          <w:highlight w:val="none"/>
        </w:rPr>
        <w:t>、负责制定学校教育发展规划，并抓好组织实施和落实工作。</w:t>
      </w:r>
    </w:p>
    <w:p>
      <w:pPr>
        <w:spacing w:line="336" w:lineRule="auto"/>
        <w:ind w:firstLine="640" w:firstLineChars="200"/>
        <w:rPr>
          <w:rFonts w:ascii="仿宋_GB2312" w:hAnsi="仿宋" w:eastAsia="仿宋_GB2312"/>
          <w:color w:val="auto"/>
          <w:sz w:val="32"/>
          <w:szCs w:val="32"/>
          <w:highlight w:val="none"/>
        </w:rPr>
      </w:pPr>
      <w:r>
        <w:rPr>
          <w:rFonts w:ascii="仿宋_GB2312" w:hAnsi="仿宋" w:eastAsia="仿宋_GB2312" w:cs="仿宋_GB2312"/>
          <w:color w:val="auto"/>
          <w:sz w:val="32"/>
          <w:szCs w:val="32"/>
          <w:highlight w:val="none"/>
        </w:rPr>
        <w:t>4</w:t>
      </w:r>
      <w:r>
        <w:rPr>
          <w:rFonts w:hint="eastAsia" w:ascii="仿宋_GB2312" w:hAnsi="仿宋" w:eastAsia="仿宋_GB2312" w:cs="仿宋_GB2312"/>
          <w:color w:val="auto"/>
          <w:sz w:val="32"/>
          <w:szCs w:val="32"/>
          <w:highlight w:val="none"/>
        </w:rPr>
        <w:t>、负责按照教育主管</w:t>
      </w:r>
      <w:r>
        <w:rPr>
          <w:rFonts w:hint="eastAsia" w:ascii="仿宋_GB2312" w:hAnsi="仿宋" w:eastAsia="仿宋_GB2312" w:cs="仿宋_GB2312"/>
          <w:color w:val="auto"/>
          <w:sz w:val="32"/>
          <w:szCs w:val="32"/>
          <w:highlight w:val="none"/>
          <w:lang w:eastAsia="zh-CN"/>
        </w:rPr>
        <w:t>单位</w:t>
      </w:r>
      <w:r>
        <w:rPr>
          <w:rFonts w:hint="eastAsia" w:ascii="仿宋_GB2312" w:hAnsi="仿宋" w:eastAsia="仿宋_GB2312" w:cs="仿宋_GB2312"/>
          <w:color w:val="auto"/>
          <w:sz w:val="32"/>
          <w:szCs w:val="32"/>
          <w:highlight w:val="none"/>
        </w:rPr>
        <w:t>发布的指导性教育计划、教学大纲，组织实施教育教学活动。</w:t>
      </w:r>
    </w:p>
    <w:p>
      <w:pPr>
        <w:spacing w:line="336" w:lineRule="auto"/>
        <w:ind w:firstLine="640" w:firstLineChars="200"/>
        <w:rPr>
          <w:rFonts w:ascii="仿宋_GB2312" w:hAnsi="仿宋" w:eastAsia="仿宋_GB2312"/>
          <w:color w:val="auto"/>
          <w:sz w:val="32"/>
          <w:szCs w:val="32"/>
          <w:highlight w:val="none"/>
        </w:rPr>
      </w:pPr>
      <w:r>
        <w:rPr>
          <w:rFonts w:ascii="仿宋_GB2312" w:hAnsi="仿宋" w:eastAsia="仿宋_GB2312" w:cs="仿宋_GB2312"/>
          <w:color w:val="auto"/>
          <w:sz w:val="32"/>
          <w:szCs w:val="32"/>
          <w:highlight w:val="none"/>
        </w:rPr>
        <w:t>5</w:t>
      </w:r>
      <w:r>
        <w:rPr>
          <w:rFonts w:hint="eastAsia" w:ascii="仿宋_GB2312" w:hAnsi="仿宋" w:eastAsia="仿宋_GB2312" w:cs="仿宋_GB2312"/>
          <w:color w:val="auto"/>
          <w:sz w:val="32"/>
          <w:szCs w:val="32"/>
          <w:highlight w:val="none"/>
        </w:rPr>
        <w:t>、负责依据国家教育主管</w:t>
      </w:r>
      <w:r>
        <w:rPr>
          <w:rFonts w:hint="eastAsia" w:ascii="仿宋_GB2312" w:hAnsi="仿宋" w:eastAsia="仿宋_GB2312" w:cs="仿宋_GB2312"/>
          <w:color w:val="auto"/>
          <w:sz w:val="32"/>
          <w:szCs w:val="32"/>
          <w:highlight w:val="none"/>
          <w:lang w:eastAsia="zh-CN"/>
        </w:rPr>
        <w:t>单位</w:t>
      </w:r>
      <w:r>
        <w:rPr>
          <w:rFonts w:hint="eastAsia" w:ascii="仿宋_GB2312" w:hAnsi="仿宋" w:eastAsia="仿宋_GB2312" w:cs="仿宋_GB2312"/>
          <w:color w:val="auto"/>
          <w:sz w:val="32"/>
          <w:szCs w:val="32"/>
          <w:highlight w:val="none"/>
        </w:rPr>
        <w:t>有关教学计划、课程设置等方面的规定，决定和实施本校的教学计划，组织教学评比、集体备课，对学生进行统一考核、考试等。</w:t>
      </w:r>
    </w:p>
    <w:p>
      <w:pPr>
        <w:spacing w:line="336" w:lineRule="auto"/>
        <w:ind w:firstLine="640" w:firstLineChars="200"/>
        <w:rPr>
          <w:rFonts w:ascii="仿宋_GB2312" w:hAnsi="仿宋" w:eastAsia="仿宋_GB2312"/>
          <w:color w:val="auto"/>
          <w:sz w:val="32"/>
          <w:szCs w:val="32"/>
          <w:highlight w:val="none"/>
        </w:rPr>
      </w:pPr>
      <w:r>
        <w:rPr>
          <w:rFonts w:ascii="仿宋_GB2312" w:hAnsi="仿宋" w:eastAsia="仿宋_GB2312" w:cs="仿宋_GB2312"/>
          <w:color w:val="auto"/>
          <w:sz w:val="32"/>
          <w:szCs w:val="32"/>
          <w:highlight w:val="none"/>
        </w:rPr>
        <w:t>6</w:t>
      </w:r>
      <w:r>
        <w:rPr>
          <w:rFonts w:hint="eastAsia" w:ascii="仿宋_GB2312" w:hAnsi="仿宋" w:eastAsia="仿宋_GB2312" w:cs="仿宋_GB2312"/>
          <w:color w:val="auto"/>
          <w:sz w:val="32"/>
          <w:szCs w:val="32"/>
          <w:highlight w:val="none"/>
        </w:rPr>
        <w:t>、负责科学管理、合理使用学校的设施和经费，并积极筹措资金，改善办学条件。</w:t>
      </w:r>
    </w:p>
    <w:p>
      <w:pPr>
        <w:spacing w:line="336" w:lineRule="auto"/>
        <w:ind w:firstLine="640" w:firstLineChars="200"/>
        <w:rPr>
          <w:rFonts w:ascii="仿宋_GB2312" w:hAnsi="仿宋" w:eastAsia="仿宋_GB2312"/>
          <w:color w:val="auto"/>
          <w:sz w:val="32"/>
          <w:szCs w:val="32"/>
          <w:highlight w:val="none"/>
        </w:rPr>
      </w:pPr>
      <w:r>
        <w:rPr>
          <w:rFonts w:ascii="仿宋_GB2312" w:hAnsi="仿宋" w:eastAsia="仿宋_GB2312" w:cs="仿宋_GB2312"/>
          <w:color w:val="auto"/>
          <w:sz w:val="32"/>
          <w:szCs w:val="32"/>
          <w:highlight w:val="none"/>
        </w:rPr>
        <w:t>7</w:t>
      </w:r>
      <w:r>
        <w:rPr>
          <w:rFonts w:hint="eastAsia" w:ascii="仿宋_GB2312" w:hAnsi="仿宋" w:eastAsia="仿宋_GB2312" w:cs="仿宋_GB2312"/>
          <w:color w:val="auto"/>
          <w:sz w:val="32"/>
          <w:szCs w:val="32"/>
          <w:highlight w:val="none"/>
        </w:rPr>
        <w:t>、负责维护学校、师生的合法权益，有权拒绝任何组织和个人对教育教学活动进行非法干涉。</w:t>
      </w:r>
    </w:p>
    <w:p>
      <w:pPr>
        <w:spacing w:line="336" w:lineRule="auto"/>
        <w:ind w:firstLine="640" w:firstLineChars="200"/>
        <w:rPr>
          <w:rFonts w:ascii="仿宋_GB2312" w:hAnsi="仿宋" w:eastAsia="仿宋_GB2312"/>
          <w:color w:val="auto"/>
          <w:sz w:val="32"/>
          <w:szCs w:val="32"/>
          <w:highlight w:val="none"/>
        </w:rPr>
      </w:pPr>
      <w:r>
        <w:rPr>
          <w:rFonts w:hint="eastAsia" w:ascii="仿宋_GB2312" w:hAnsi="仿宋" w:eastAsia="仿宋_GB2312" w:cs="仿宋_GB2312"/>
          <w:color w:val="auto"/>
          <w:sz w:val="32"/>
          <w:szCs w:val="32"/>
          <w:highlight w:val="none"/>
        </w:rPr>
        <w:t>８、依法接受各级教育行政</w:t>
      </w:r>
      <w:r>
        <w:rPr>
          <w:rFonts w:hint="eastAsia" w:ascii="仿宋_GB2312" w:hAnsi="仿宋" w:eastAsia="仿宋_GB2312" w:cs="仿宋_GB2312"/>
          <w:color w:val="auto"/>
          <w:sz w:val="32"/>
          <w:szCs w:val="32"/>
          <w:highlight w:val="none"/>
          <w:lang w:eastAsia="zh-CN"/>
        </w:rPr>
        <w:t>单位</w:t>
      </w:r>
      <w:r>
        <w:rPr>
          <w:rFonts w:hint="eastAsia" w:ascii="仿宋_GB2312" w:hAnsi="仿宋" w:eastAsia="仿宋_GB2312" w:cs="仿宋_GB2312"/>
          <w:color w:val="auto"/>
          <w:sz w:val="32"/>
          <w:szCs w:val="32"/>
          <w:highlight w:val="none"/>
        </w:rPr>
        <w:t>的检查指导和人民群众的监督。</w:t>
      </w:r>
    </w:p>
    <w:p>
      <w:pPr>
        <w:widowControl/>
        <w:ind w:firstLine="640" w:firstLineChars="200"/>
        <w:jc w:val="left"/>
        <w:outlineLvl w:val="1"/>
        <w:rPr>
          <w:rFonts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许昌市第二中学内设机构</w:t>
      </w:r>
      <w:r>
        <w:rPr>
          <w:rFonts w:ascii="仿宋_GB2312" w:hAnsi="仿宋_GB2312" w:eastAsia="仿宋_GB2312" w:cs="仿宋_GB2312"/>
          <w:color w:val="auto"/>
          <w:kern w:val="0"/>
          <w:sz w:val="32"/>
          <w:szCs w:val="32"/>
          <w:highlight w:val="none"/>
        </w:rPr>
        <w:t>5</w:t>
      </w:r>
      <w:r>
        <w:rPr>
          <w:rFonts w:hint="eastAsia" w:ascii="仿宋_GB2312" w:hAnsi="仿宋_GB2312" w:eastAsia="仿宋_GB2312" w:cs="仿宋_GB2312"/>
          <w:color w:val="auto"/>
          <w:kern w:val="0"/>
          <w:sz w:val="32"/>
          <w:szCs w:val="32"/>
          <w:highlight w:val="none"/>
        </w:rPr>
        <w:t>个，包括：办公室、教务科、政教科、总务科、安全科。</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从决算单位构成看，许昌市第二中学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p>
    <w:p>
      <w:pPr>
        <w:widowControl/>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ascii="仿宋_GB2312" w:hAnsi="仿宋_GB2312" w:eastAsia="仿宋_GB2312" w:cs="仿宋_GB2312"/>
          <w:color w:val="auto"/>
          <w:kern w:val="0"/>
          <w:sz w:val="32"/>
          <w:szCs w:val="32"/>
          <w:highlight w:val="none"/>
        </w:rPr>
        <w:t>2021</w:t>
      </w:r>
      <w:r>
        <w:rPr>
          <w:rFonts w:hint="eastAsia" w:ascii="仿宋_GB2312" w:hAnsi="仿宋_GB2312" w:eastAsia="仿宋_GB2312" w:cs="仿宋_GB2312"/>
          <w:color w:val="auto"/>
          <w:kern w:val="0"/>
          <w:sz w:val="32"/>
          <w:szCs w:val="32"/>
          <w:highlight w:val="none"/>
        </w:rPr>
        <w:t>年度决算编制范围的单位共</w:t>
      </w:r>
      <w:r>
        <w:rPr>
          <w:rFonts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rPr>
        <w:t>个，具体是：</w:t>
      </w:r>
    </w:p>
    <w:p>
      <w:pPr>
        <w:widowControl/>
        <w:ind w:firstLine="640" w:firstLineChars="200"/>
        <w:jc w:val="left"/>
        <w:rPr>
          <w:rFonts w:ascii="仿宋_GB2312" w:hAnsi="仿宋_GB2312" w:eastAsia="仿宋_GB2312" w:cs="仿宋_GB2312"/>
          <w:color w:val="auto"/>
          <w:kern w:val="0"/>
          <w:sz w:val="32"/>
          <w:szCs w:val="32"/>
          <w:highlight w:val="none"/>
        </w:rPr>
      </w:pPr>
      <w:r>
        <w:rPr>
          <w:rFonts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rPr>
        <w:t>许昌市第二中学</w:t>
      </w:r>
    </w:p>
    <w:p>
      <w:pPr>
        <w:widowControl/>
        <w:ind w:firstLine="640" w:firstLineChars="200"/>
        <w:jc w:val="left"/>
        <w:rPr>
          <w:rFonts w:ascii="仿宋_GB2312" w:hAnsi="仿宋_GB2312" w:eastAsia="仿宋_GB2312" w:cs="仿宋_GB2312"/>
          <w:color w:val="auto"/>
          <w:kern w:val="0"/>
          <w:sz w:val="32"/>
          <w:szCs w:val="32"/>
          <w:highlight w:val="none"/>
        </w:rPr>
      </w:pPr>
    </w:p>
    <w:p>
      <w:pPr>
        <w:widowControl/>
        <w:jc w:val="left"/>
        <w:rPr>
          <w:rFonts w:ascii="黑体" w:hAnsi="宋体" w:eastAsia="黑体" w:cs="宋体"/>
          <w:color w:val="auto"/>
          <w:kern w:val="0"/>
          <w:sz w:val="28"/>
          <w:szCs w:val="28"/>
          <w:highlight w:val="none"/>
        </w:rPr>
        <w:sectPr>
          <w:footerReference r:id="rId9" w:type="default"/>
          <w:footerReference r:id="rId10"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w:t>
      </w:r>
      <w:r>
        <w:rPr>
          <w:rFonts w:ascii="黑体" w:hAnsi="黑体" w:eastAsia="黑体" w:cs="黑体"/>
          <w:color w:val="auto"/>
          <w:sz w:val="48"/>
          <w:szCs w:val="48"/>
          <w:highlight w:val="none"/>
        </w:rPr>
        <w:t xml:space="preserve">  2021</w:t>
      </w:r>
      <w:r>
        <w:rPr>
          <w:rFonts w:hint="eastAsia" w:ascii="黑体" w:hAnsi="黑体" w:eastAsia="黑体" w:cs="黑体"/>
          <w:color w:val="auto"/>
          <w:sz w:val="48"/>
          <w:szCs w:val="48"/>
          <w:highlight w:val="none"/>
        </w:rPr>
        <w:t>年度单位决算表</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ascii="仿宋_GB2312" w:hAnsi="仿宋_GB2312" w:eastAsia="仿宋_GB2312" w:cs="仿宋_GB2312"/>
          <w:color w:val="auto"/>
          <w:sz w:val="32"/>
          <w:szCs w:val="32"/>
          <w:highlight w:val="none"/>
        </w:rPr>
      </w:pPr>
    </w:p>
    <w:tbl>
      <w:tblPr>
        <w:tblStyle w:val="5"/>
        <w:tblW w:w="14070" w:type="dxa"/>
        <w:tblInd w:w="93" w:type="dxa"/>
        <w:tblLayout w:type="autofit"/>
        <w:tblCellMar>
          <w:top w:w="0" w:type="dxa"/>
          <w:left w:w="108" w:type="dxa"/>
          <w:bottom w:w="0" w:type="dxa"/>
          <w:right w:w="108" w:type="dxa"/>
        </w:tblCellMar>
      </w:tblPr>
      <w:tblGrid>
        <w:gridCol w:w="4662"/>
        <w:gridCol w:w="819"/>
        <w:gridCol w:w="1368"/>
        <w:gridCol w:w="4387"/>
        <w:gridCol w:w="819"/>
        <w:gridCol w:w="2015"/>
      </w:tblGrid>
      <w:tr>
        <w:tblPrEx>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widowControl/>
              <w:jc w:val="center"/>
              <w:textAlignment w:val="bottom"/>
              <w:rPr>
                <w:rFonts w:ascii="宋体" w:cs="宋体"/>
                <w:color w:val="auto"/>
                <w:sz w:val="30"/>
                <w:szCs w:val="30"/>
                <w:highlight w:val="none"/>
              </w:rPr>
            </w:pPr>
            <w:r>
              <w:rPr>
                <w:rFonts w:hint="eastAsia" w:ascii="宋体" w:hAnsi="宋体" w:cs="宋体"/>
                <w:color w:val="auto"/>
                <w:kern w:val="0"/>
                <w:sz w:val="30"/>
                <w:szCs w:val="30"/>
                <w:highlight w:val="none"/>
              </w:rPr>
              <w:t>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widowControl/>
              <w:jc w:val="right"/>
              <w:textAlignment w:val="bottom"/>
              <w:rPr>
                <w:rFonts w:ascii="宋体" w:cs="宋体"/>
                <w:color w:val="auto"/>
                <w:sz w:val="20"/>
                <w:szCs w:val="20"/>
                <w:highlight w:val="none"/>
              </w:rPr>
            </w:pPr>
            <w:r>
              <w:rPr>
                <w:rFonts w:hint="eastAsia" w:ascii="宋体" w:hAnsi="宋体" w:cs="宋体"/>
                <w:color w:val="auto"/>
                <w:kern w:val="0"/>
                <w:sz w:val="20"/>
                <w:szCs w:val="20"/>
                <w:highlight w:val="none"/>
              </w:rPr>
              <w:t>公开</w:t>
            </w:r>
            <w:r>
              <w:rPr>
                <w:rFonts w:ascii="宋体" w:hAnsi="宋体" w:cs="宋体"/>
                <w:color w:val="auto"/>
                <w:kern w:val="0"/>
                <w:sz w:val="20"/>
                <w:szCs w:val="20"/>
                <w:highlight w:val="none"/>
              </w:rPr>
              <w:t>01</w:t>
            </w:r>
            <w:r>
              <w:rPr>
                <w:rFonts w:hint="eastAsia" w:ascii="宋体" w:hAnsi="宋体" w:cs="宋体"/>
                <w:color w:val="auto"/>
                <w:kern w:val="0"/>
                <w:sz w:val="20"/>
                <w:szCs w:val="20"/>
                <w:highlight w:val="none"/>
              </w:rPr>
              <w:t>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：许昌市第二中学</w:t>
            </w: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widowControl/>
              <w:jc w:val="right"/>
              <w:textAlignment w:val="bottom"/>
              <w:rPr>
                <w:rFonts w:asci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金额</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项目</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行次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金额</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栏次</w:t>
            </w:r>
          </w:p>
        </w:tc>
        <w:tc>
          <w:tcPr>
            <w:tcW w:w="0" w:type="auto"/>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栏次</w:t>
            </w:r>
          </w:p>
        </w:tc>
        <w:tc>
          <w:tcPr>
            <w:tcW w:w="0" w:type="auto"/>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一、一般公共预算财政拨款收入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3,216.04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二、政府性基金预算财政拨款收入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三、国有资本经营预算财政拨款收入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四、上级补助收入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五、事业收入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3,497.23</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六、经营收入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七、附属单位上缴收入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八、其他收入</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5.43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451.43</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5.43</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cs="宋体"/>
                <w:b/>
                <w:bCs/>
                <w:color w:val="auto"/>
                <w:sz w:val="20"/>
                <w:szCs w:val="20"/>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0"/>
                <w:szCs w:val="20"/>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0"/>
                <w:szCs w:val="20"/>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0"/>
                <w:szCs w:val="20"/>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0"/>
                <w:szCs w:val="20"/>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0"/>
                <w:szCs w:val="20"/>
                <w:highlight w:val="none"/>
              </w:rPr>
            </w:pPr>
            <w:r>
              <w:rPr>
                <w:rFonts w:ascii="宋体" w:hAnsi="宋体" w:cs="宋体"/>
                <w:color w:val="auto"/>
                <w:kern w:val="0"/>
                <w:sz w:val="20"/>
                <w:szCs w:val="20"/>
                <w:highlight w:val="none"/>
              </w:rPr>
              <w:t>26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0"/>
                <w:szCs w:val="20"/>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auto"/>
                <w:sz w:val="22"/>
                <w:highlight w:val="none"/>
              </w:rPr>
            </w:pPr>
            <w:r>
              <w:rPr>
                <w:rFonts w:hint="eastAsia" w:ascii="宋体" w:hAnsi="宋体" w:cs="宋体"/>
                <w:b/>
                <w:bCs/>
                <w:color w:val="auto"/>
                <w:kern w:val="0"/>
                <w:sz w:val="22"/>
                <w:highlight w:val="none"/>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3,221.47</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b/>
                <w:bCs/>
                <w:color w:val="auto"/>
                <w:sz w:val="22"/>
                <w:highlight w:val="none"/>
              </w:rPr>
            </w:pPr>
            <w:r>
              <w:rPr>
                <w:rFonts w:hint="eastAsia" w:ascii="宋体" w:hAnsi="宋体" w:cs="宋体"/>
                <w:b/>
                <w:bCs/>
                <w:color w:val="auto"/>
                <w:kern w:val="0"/>
                <w:sz w:val="22"/>
                <w:highlight w:val="none"/>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4,042.54</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使用非财政拨款结余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结余分配</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年初结转和结余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821.07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年末结转和结余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60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61</w:t>
            </w:r>
          </w:p>
        </w:tc>
        <w:tc>
          <w:tcPr>
            <w:tcW w:w="0" w:type="auto"/>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auto"/>
                <w:sz w:val="22"/>
                <w:highlight w:val="none"/>
              </w:rPr>
            </w:pPr>
            <w:r>
              <w:rPr>
                <w:rFonts w:hint="eastAsia" w:ascii="宋体" w:hAnsi="宋体" w:cs="宋体"/>
                <w:b/>
                <w:bCs/>
                <w:color w:val="auto"/>
                <w:kern w:val="0"/>
                <w:sz w:val="22"/>
                <w:highlight w:val="none"/>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4,042.54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b/>
                <w:bCs/>
                <w:color w:val="auto"/>
                <w:sz w:val="22"/>
                <w:highlight w:val="none"/>
              </w:rPr>
            </w:pPr>
            <w:r>
              <w:rPr>
                <w:rFonts w:hint="eastAsia" w:ascii="宋体" w:hAnsi="宋体" w:cs="宋体"/>
                <w:b/>
                <w:bCs/>
                <w:color w:val="auto"/>
                <w:kern w:val="0"/>
                <w:sz w:val="22"/>
                <w:highlight w:val="none"/>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62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4,042.54</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eastAsia="zh-CN"/>
              </w:rPr>
              <w:t>单位</w:t>
            </w:r>
            <w:r>
              <w:rPr>
                <w:rFonts w:hint="eastAsia" w:ascii="宋体" w:hAnsi="宋体" w:cs="宋体"/>
                <w:color w:val="auto"/>
                <w:kern w:val="0"/>
                <w:sz w:val="22"/>
                <w:highlight w:val="none"/>
              </w:rPr>
              <w:t>本年度的总收支和年末结转结余情况。本表金额转换为万元时，因四舍五入可能存在尾差。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ascii="仿宋_GB2312" w:hAnsi="仿宋_GB2312" w:eastAsia="仿宋_GB2312" w:cs="仿宋_GB2312"/>
          <w:color w:val="auto"/>
          <w:sz w:val="32"/>
          <w:szCs w:val="32"/>
          <w:highlight w:val="none"/>
        </w:rPr>
      </w:pPr>
    </w:p>
    <w:tbl>
      <w:tblPr>
        <w:tblStyle w:val="5"/>
        <w:tblW w:w="14502" w:type="dxa"/>
        <w:tblInd w:w="93" w:type="dxa"/>
        <w:tblLayout w:type="fixed"/>
        <w:tblCellMar>
          <w:top w:w="0" w:type="dxa"/>
          <w:left w:w="108" w:type="dxa"/>
          <w:bottom w:w="0" w:type="dxa"/>
          <w:right w:w="108" w:type="dxa"/>
        </w:tblCellMar>
      </w:tblPr>
      <w:tblGrid>
        <w:gridCol w:w="2216"/>
        <w:gridCol w:w="236"/>
        <w:gridCol w:w="236"/>
        <w:gridCol w:w="2547"/>
        <w:gridCol w:w="1620"/>
        <w:gridCol w:w="1620"/>
        <w:gridCol w:w="1080"/>
        <w:gridCol w:w="1276"/>
        <w:gridCol w:w="975"/>
        <w:gridCol w:w="1080"/>
        <w:gridCol w:w="1616"/>
      </w:tblGrid>
      <w:tr>
        <w:tblPrEx>
          <w:tblCellMar>
            <w:top w:w="0" w:type="dxa"/>
            <w:left w:w="108" w:type="dxa"/>
            <w:bottom w:w="0" w:type="dxa"/>
            <w:right w:w="108" w:type="dxa"/>
          </w:tblCellMar>
        </w:tblPrEx>
        <w:trPr>
          <w:trHeight w:val="390" w:hRule="atLeast"/>
        </w:trPr>
        <w:tc>
          <w:tcPr>
            <w:tcW w:w="14502" w:type="dxa"/>
            <w:gridSpan w:val="11"/>
            <w:tcBorders>
              <w:top w:val="nil"/>
              <w:left w:val="nil"/>
              <w:bottom w:val="nil"/>
              <w:right w:val="nil"/>
            </w:tcBorders>
            <w:noWrap/>
            <w:vAlign w:val="bottom"/>
          </w:tcPr>
          <w:p>
            <w:pPr>
              <w:widowControl/>
              <w:jc w:val="center"/>
              <w:textAlignment w:val="bottom"/>
              <w:rPr>
                <w:rFonts w:ascii="宋体" w:cs="宋体"/>
                <w:color w:val="auto"/>
                <w:sz w:val="30"/>
                <w:szCs w:val="30"/>
                <w:highlight w:val="none"/>
              </w:rPr>
            </w:pPr>
            <w:r>
              <w:rPr>
                <w:rFonts w:hint="eastAsia" w:ascii="宋体" w:hAnsi="宋体" w:cs="宋体"/>
                <w:color w:val="auto"/>
                <w:kern w:val="0"/>
                <w:sz w:val="30"/>
                <w:szCs w:val="30"/>
                <w:highlight w:val="none"/>
              </w:rPr>
              <w:t>收入决算表</w:t>
            </w:r>
          </w:p>
        </w:tc>
      </w:tr>
      <w:tr>
        <w:tblPrEx>
          <w:tblCellMar>
            <w:top w:w="0" w:type="dxa"/>
            <w:left w:w="108" w:type="dxa"/>
            <w:bottom w:w="0" w:type="dxa"/>
            <w:right w:w="108" w:type="dxa"/>
          </w:tblCellMar>
        </w:tblPrEx>
        <w:trPr>
          <w:trHeight w:val="255" w:hRule="atLeast"/>
        </w:trPr>
        <w:tc>
          <w:tcPr>
            <w:tcW w:w="2216" w:type="dxa"/>
            <w:tcBorders>
              <w:top w:val="nil"/>
              <w:left w:val="nil"/>
              <w:bottom w:val="nil"/>
              <w:right w:val="nil"/>
            </w:tcBorders>
            <w:noWrap/>
            <w:vAlign w:val="bottom"/>
          </w:tcPr>
          <w:p>
            <w:pPr>
              <w:rPr>
                <w:rFonts w:ascii="Arial" w:hAnsi="Arial" w:cs="Arial"/>
                <w:color w:val="auto"/>
                <w:sz w:val="20"/>
                <w:szCs w:val="20"/>
                <w:highlight w:val="none"/>
              </w:rPr>
            </w:pPr>
          </w:p>
        </w:tc>
        <w:tc>
          <w:tcPr>
            <w:tcW w:w="236" w:type="dxa"/>
            <w:tcBorders>
              <w:top w:val="nil"/>
              <w:left w:val="nil"/>
              <w:bottom w:val="nil"/>
              <w:right w:val="nil"/>
            </w:tcBorders>
            <w:noWrap/>
            <w:vAlign w:val="bottom"/>
          </w:tcPr>
          <w:p>
            <w:pPr>
              <w:rPr>
                <w:rFonts w:ascii="Arial" w:hAnsi="Arial" w:cs="Arial"/>
                <w:color w:val="auto"/>
                <w:sz w:val="20"/>
                <w:szCs w:val="20"/>
                <w:highlight w:val="none"/>
              </w:rPr>
            </w:pPr>
          </w:p>
        </w:tc>
        <w:tc>
          <w:tcPr>
            <w:tcW w:w="236" w:type="dxa"/>
            <w:tcBorders>
              <w:top w:val="nil"/>
              <w:left w:val="nil"/>
              <w:bottom w:val="nil"/>
              <w:right w:val="nil"/>
            </w:tcBorders>
            <w:noWrap/>
            <w:vAlign w:val="bottom"/>
          </w:tcPr>
          <w:p>
            <w:pPr>
              <w:rPr>
                <w:rFonts w:ascii="Arial" w:hAnsi="Arial" w:cs="Arial"/>
                <w:color w:val="auto"/>
                <w:sz w:val="20"/>
                <w:szCs w:val="20"/>
                <w:highlight w:val="none"/>
              </w:rPr>
            </w:pPr>
          </w:p>
        </w:tc>
        <w:tc>
          <w:tcPr>
            <w:tcW w:w="2547" w:type="dxa"/>
            <w:tcBorders>
              <w:top w:val="nil"/>
              <w:left w:val="nil"/>
              <w:bottom w:val="nil"/>
              <w:right w:val="nil"/>
            </w:tcBorders>
            <w:noWrap/>
            <w:vAlign w:val="bottom"/>
          </w:tcPr>
          <w:p>
            <w:pPr>
              <w:rPr>
                <w:rFonts w:ascii="Arial" w:hAnsi="Arial" w:cs="Arial"/>
                <w:color w:val="auto"/>
                <w:sz w:val="20"/>
                <w:szCs w:val="20"/>
                <w:highlight w:val="none"/>
              </w:rPr>
            </w:pPr>
          </w:p>
        </w:tc>
        <w:tc>
          <w:tcPr>
            <w:tcW w:w="1620" w:type="dxa"/>
            <w:tcBorders>
              <w:top w:val="nil"/>
              <w:left w:val="nil"/>
              <w:bottom w:val="nil"/>
              <w:right w:val="nil"/>
            </w:tcBorders>
            <w:noWrap/>
            <w:vAlign w:val="bottom"/>
          </w:tcPr>
          <w:p>
            <w:pPr>
              <w:rPr>
                <w:rFonts w:ascii="Arial" w:hAnsi="Arial" w:cs="Arial"/>
                <w:color w:val="auto"/>
                <w:sz w:val="20"/>
                <w:szCs w:val="20"/>
                <w:highlight w:val="none"/>
              </w:rPr>
            </w:pPr>
          </w:p>
        </w:tc>
        <w:tc>
          <w:tcPr>
            <w:tcW w:w="1620" w:type="dxa"/>
            <w:tcBorders>
              <w:top w:val="nil"/>
              <w:left w:val="nil"/>
              <w:bottom w:val="nil"/>
              <w:right w:val="nil"/>
            </w:tcBorders>
            <w:noWrap/>
            <w:vAlign w:val="bottom"/>
          </w:tcPr>
          <w:p>
            <w:pPr>
              <w:rPr>
                <w:rFonts w:ascii="Arial" w:hAnsi="Arial" w:cs="Arial"/>
                <w:color w:val="auto"/>
                <w:sz w:val="20"/>
                <w:szCs w:val="20"/>
                <w:highlight w:val="none"/>
              </w:rPr>
            </w:pPr>
          </w:p>
        </w:tc>
        <w:tc>
          <w:tcPr>
            <w:tcW w:w="1080" w:type="dxa"/>
            <w:tcBorders>
              <w:top w:val="nil"/>
              <w:left w:val="nil"/>
              <w:bottom w:val="nil"/>
              <w:right w:val="nil"/>
            </w:tcBorders>
            <w:noWrap/>
            <w:vAlign w:val="bottom"/>
          </w:tcPr>
          <w:p>
            <w:pPr>
              <w:rPr>
                <w:rFonts w:ascii="Arial" w:hAnsi="Arial" w:cs="Arial"/>
                <w:color w:val="auto"/>
                <w:sz w:val="20"/>
                <w:szCs w:val="20"/>
                <w:highlight w:val="none"/>
              </w:rPr>
            </w:pPr>
          </w:p>
        </w:tc>
        <w:tc>
          <w:tcPr>
            <w:tcW w:w="1276" w:type="dxa"/>
            <w:tcBorders>
              <w:top w:val="nil"/>
              <w:left w:val="nil"/>
              <w:bottom w:val="nil"/>
              <w:right w:val="nil"/>
            </w:tcBorders>
            <w:noWrap/>
            <w:vAlign w:val="bottom"/>
          </w:tcPr>
          <w:p>
            <w:pPr>
              <w:rPr>
                <w:rFonts w:ascii="Arial" w:hAnsi="Arial" w:cs="Arial"/>
                <w:color w:val="auto"/>
                <w:sz w:val="20"/>
                <w:szCs w:val="20"/>
                <w:highlight w:val="none"/>
              </w:rPr>
            </w:pPr>
          </w:p>
        </w:tc>
        <w:tc>
          <w:tcPr>
            <w:tcW w:w="975" w:type="dxa"/>
            <w:tcBorders>
              <w:top w:val="nil"/>
              <w:left w:val="nil"/>
              <w:bottom w:val="nil"/>
              <w:right w:val="nil"/>
            </w:tcBorders>
            <w:noWrap/>
            <w:vAlign w:val="bottom"/>
          </w:tcPr>
          <w:p>
            <w:pPr>
              <w:rPr>
                <w:rFonts w:ascii="Arial" w:hAnsi="Arial" w:cs="Arial"/>
                <w:color w:val="auto"/>
                <w:sz w:val="20"/>
                <w:szCs w:val="20"/>
                <w:highlight w:val="none"/>
              </w:rPr>
            </w:pPr>
          </w:p>
        </w:tc>
        <w:tc>
          <w:tcPr>
            <w:tcW w:w="1080" w:type="dxa"/>
            <w:tcBorders>
              <w:top w:val="nil"/>
              <w:left w:val="nil"/>
              <w:bottom w:val="nil"/>
              <w:right w:val="nil"/>
            </w:tcBorders>
            <w:noWrap/>
            <w:vAlign w:val="bottom"/>
          </w:tcPr>
          <w:p>
            <w:pPr>
              <w:rPr>
                <w:rFonts w:ascii="Arial" w:hAnsi="Arial" w:cs="Arial"/>
                <w:color w:val="auto"/>
                <w:sz w:val="20"/>
                <w:szCs w:val="20"/>
                <w:highlight w:val="none"/>
              </w:rPr>
            </w:pPr>
          </w:p>
        </w:tc>
        <w:tc>
          <w:tcPr>
            <w:tcW w:w="1616" w:type="dxa"/>
            <w:tcBorders>
              <w:top w:val="nil"/>
              <w:left w:val="nil"/>
              <w:bottom w:val="nil"/>
              <w:right w:val="nil"/>
            </w:tcBorders>
            <w:noWrap/>
            <w:vAlign w:val="bottom"/>
          </w:tcPr>
          <w:p>
            <w:pPr>
              <w:widowControl/>
              <w:jc w:val="right"/>
              <w:textAlignment w:val="bottom"/>
              <w:rPr>
                <w:rFonts w:ascii="宋体" w:cs="宋体"/>
                <w:color w:val="auto"/>
                <w:sz w:val="20"/>
                <w:szCs w:val="20"/>
                <w:highlight w:val="none"/>
              </w:rPr>
            </w:pPr>
            <w:r>
              <w:rPr>
                <w:rFonts w:hint="eastAsia" w:ascii="宋体" w:hAnsi="宋体" w:cs="宋体"/>
                <w:color w:val="auto"/>
                <w:kern w:val="0"/>
                <w:sz w:val="20"/>
                <w:szCs w:val="20"/>
                <w:highlight w:val="none"/>
              </w:rPr>
              <w:t>公开</w:t>
            </w:r>
            <w:r>
              <w:rPr>
                <w:rFonts w:ascii="宋体" w:hAnsi="宋体" w:cs="宋体"/>
                <w:color w:val="auto"/>
                <w:kern w:val="0"/>
                <w:sz w:val="20"/>
                <w:szCs w:val="20"/>
                <w:highlight w:val="none"/>
              </w:rPr>
              <w:t>02</w:t>
            </w:r>
            <w:r>
              <w:rPr>
                <w:rFonts w:hint="eastAsia" w:ascii="宋体" w:hAnsi="宋体" w:cs="宋体"/>
                <w:color w:val="auto"/>
                <w:kern w:val="0"/>
                <w:sz w:val="20"/>
                <w:szCs w:val="20"/>
                <w:highlight w:val="none"/>
              </w:rPr>
              <w:t>表</w:t>
            </w:r>
          </w:p>
        </w:tc>
      </w:tr>
      <w:tr>
        <w:tblPrEx>
          <w:tblCellMar>
            <w:top w:w="0" w:type="dxa"/>
            <w:left w:w="108" w:type="dxa"/>
            <w:bottom w:w="0" w:type="dxa"/>
            <w:right w:w="108" w:type="dxa"/>
          </w:tblCellMar>
        </w:tblPrEx>
        <w:trPr>
          <w:trHeight w:val="255" w:hRule="atLeast"/>
        </w:trPr>
        <w:tc>
          <w:tcPr>
            <w:tcW w:w="2216" w:type="dxa"/>
            <w:tcBorders>
              <w:top w:val="nil"/>
              <w:left w:val="nil"/>
              <w:bottom w:val="nil"/>
              <w:right w:val="nil"/>
            </w:tcBorders>
            <w:noWrap/>
            <w:vAlign w:val="bottom"/>
          </w:tcPr>
          <w:p>
            <w:pPr>
              <w:widowControl/>
              <w:jc w:val="left"/>
              <w:textAlignment w:val="bottom"/>
              <w:rPr>
                <w:rFonts w:asci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：许昌市第二中学</w:t>
            </w:r>
          </w:p>
        </w:tc>
        <w:tc>
          <w:tcPr>
            <w:tcW w:w="236" w:type="dxa"/>
            <w:tcBorders>
              <w:top w:val="nil"/>
              <w:left w:val="nil"/>
              <w:bottom w:val="nil"/>
              <w:right w:val="nil"/>
            </w:tcBorders>
            <w:noWrap/>
            <w:vAlign w:val="bottom"/>
          </w:tcPr>
          <w:p>
            <w:pPr>
              <w:rPr>
                <w:rFonts w:ascii="Arial" w:hAnsi="Arial" w:cs="Arial"/>
                <w:color w:val="auto"/>
                <w:sz w:val="20"/>
                <w:szCs w:val="20"/>
                <w:highlight w:val="none"/>
              </w:rPr>
            </w:pPr>
          </w:p>
        </w:tc>
        <w:tc>
          <w:tcPr>
            <w:tcW w:w="236" w:type="dxa"/>
            <w:tcBorders>
              <w:top w:val="nil"/>
              <w:left w:val="nil"/>
              <w:bottom w:val="nil"/>
              <w:right w:val="nil"/>
            </w:tcBorders>
            <w:noWrap/>
            <w:vAlign w:val="bottom"/>
          </w:tcPr>
          <w:p>
            <w:pPr>
              <w:rPr>
                <w:rFonts w:ascii="Arial" w:hAnsi="Arial" w:cs="Arial"/>
                <w:color w:val="auto"/>
                <w:sz w:val="20"/>
                <w:szCs w:val="20"/>
                <w:highlight w:val="none"/>
              </w:rPr>
            </w:pPr>
          </w:p>
        </w:tc>
        <w:tc>
          <w:tcPr>
            <w:tcW w:w="2547" w:type="dxa"/>
            <w:tcBorders>
              <w:top w:val="nil"/>
              <w:left w:val="nil"/>
              <w:bottom w:val="nil"/>
              <w:right w:val="nil"/>
            </w:tcBorders>
            <w:noWrap/>
            <w:vAlign w:val="bottom"/>
          </w:tcPr>
          <w:p>
            <w:pPr>
              <w:rPr>
                <w:rFonts w:ascii="Arial" w:hAnsi="Arial" w:cs="Arial"/>
                <w:color w:val="auto"/>
                <w:sz w:val="20"/>
                <w:szCs w:val="20"/>
                <w:highlight w:val="none"/>
              </w:rPr>
            </w:pPr>
          </w:p>
        </w:tc>
        <w:tc>
          <w:tcPr>
            <w:tcW w:w="1620" w:type="dxa"/>
            <w:tcBorders>
              <w:top w:val="nil"/>
              <w:left w:val="nil"/>
              <w:bottom w:val="nil"/>
              <w:right w:val="nil"/>
            </w:tcBorders>
            <w:noWrap/>
            <w:vAlign w:val="bottom"/>
          </w:tcPr>
          <w:p>
            <w:pPr>
              <w:rPr>
                <w:rFonts w:ascii="Arial" w:hAnsi="Arial" w:cs="Arial"/>
                <w:color w:val="auto"/>
                <w:sz w:val="20"/>
                <w:szCs w:val="20"/>
                <w:highlight w:val="none"/>
              </w:rPr>
            </w:pPr>
          </w:p>
        </w:tc>
        <w:tc>
          <w:tcPr>
            <w:tcW w:w="1620" w:type="dxa"/>
            <w:tcBorders>
              <w:top w:val="nil"/>
              <w:left w:val="nil"/>
              <w:bottom w:val="nil"/>
              <w:right w:val="nil"/>
            </w:tcBorders>
            <w:noWrap/>
            <w:vAlign w:val="bottom"/>
          </w:tcPr>
          <w:p>
            <w:pPr>
              <w:rPr>
                <w:rFonts w:ascii="Arial" w:hAnsi="Arial" w:cs="Arial"/>
                <w:color w:val="auto"/>
                <w:sz w:val="20"/>
                <w:szCs w:val="20"/>
                <w:highlight w:val="none"/>
              </w:rPr>
            </w:pPr>
          </w:p>
        </w:tc>
        <w:tc>
          <w:tcPr>
            <w:tcW w:w="1080" w:type="dxa"/>
            <w:tcBorders>
              <w:top w:val="nil"/>
              <w:left w:val="nil"/>
              <w:bottom w:val="nil"/>
              <w:right w:val="nil"/>
            </w:tcBorders>
            <w:noWrap/>
            <w:vAlign w:val="bottom"/>
          </w:tcPr>
          <w:p>
            <w:pPr>
              <w:rPr>
                <w:rFonts w:ascii="Arial" w:hAnsi="Arial" w:cs="Arial"/>
                <w:color w:val="auto"/>
                <w:sz w:val="20"/>
                <w:szCs w:val="20"/>
                <w:highlight w:val="none"/>
              </w:rPr>
            </w:pPr>
          </w:p>
        </w:tc>
        <w:tc>
          <w:tcPr>
            <w:tcW w:w="1276" w:type="dxa"/>
            <w:tcBorders>
              <w:top w:val="nil"/>
              <w:left w:val="nil"/>
              <w:bottom w:val="nil"/>
              <w:right w:val="nil"/>
            </w:tcBorders>
            <w:noWrap/>
            <w:vAlign w:val="bottom"/>
          </w:tcPr>
          <w:p>
            <w:pPr>
              <w:rPr>
                <w:rFonts w:ascii="Arial" w:hAnsi="Arial" w:cs="Arial"/>
                <w:color w:val="auto"/>
                <w:sz w:val="20"/>
                <w:szCs w:val="20"/>
                <w:highlight w:val="none"/>
              </w:rPr>
            </w:pPr>
          </w:p>
        </w:tc>
        <w:tc>
          <w:tcPr>
            <w:tcW w:w="975" w:type="dxa"/>
            <w:tcBorders>
              <w:top w:val="nil"/>
              <w:left w:val="nil"/>
              <w:bottom w:val="nil"/>
              <w:right w:val="nil"/>
            </w:tcBorders>
            <w:noWrap/>
            <w:vAlign w:val="bottom"/>
          </w:tcPr>
          <w:p>
            <w:pPr>
              <w:rPr>
                <w:rFonts w:ascii="Arial" w:hAnsi="Arial" w:cs="Arial"/>
                <w:color w:val="auto"/>
                <w:sz w:val="20"/>
                <w:szCs w:val="20"/>
                <w:highlight w:val="none"/>
              </w:rPr>
            </w:pPr>
          </w:p>
        </w:tc>
        <w:tc>
          <w:tcPr>
            <w:tcW w:w="1080" w:type="dxa"/>
            <w:tcBorders>
              <w:top w:val="nil"/>
              <w:left w:val="nil"/>
              <w:bottom w:val="nil"/>
              <w:right w:val="nil"/>
            </w:tcBorders>
            <w:noWrap/>
            <w:vAlign w:val="bottom"/>
          </w:tcPr>
          <w:p>
            <w:pPr>
              <w:rPr>
                <w:rFonts w:ascii="Arial" w:hAnsi="Arial" w:cs="Arial"/>
                <w:color w:val="auto"/>
                <w:sz w:val="20"/>
                <w:szCs w:val="20"/>
                <w:highlight w:val="none"/>
              </w:rPr>
            </w:pPr>
          </w:p>
        </w:tc>
        <w:tc>
          <w:tcPr>
            <w:tcW w:w="1616" w:type="dxa"/>
            <w:tcBorders>
              <w:top w:val="nil"/>
              <w:left w:val="nil"/>
              <w:bottom w:val="nil"/>
              <w:right w:val="nil"/>
            </w:tcBorders>
            <w:noWrap/>
            <w:vAlign w:val="bottom"/>
          </w:tcPr>
          <w:p>
            <w:pPr>
              <w:widowControl/>
              <w:jc w:val="right"/>
              <w:textAlignment w:val="bottom"/>
              <w:rPr>
                <w:rFonts w:asci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5235"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项目</w:t>
            </w:r>
          </w:p>
        </w:tc>
        <w:tc>
          <w:tcPr>
            <w:tcW w:w="162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本年收入合计</w:t>
            </w:r>
          </w:p>
        </w:tc>
        <w:tc>
          <w:tcPr>
            <w:tcW w:w="162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财政拨款收入</w:t>
            </w:r>
          </w:p>
        </w:tc>
        <w:tc>
          <w:tcPr>
            <w:tcW w:w="10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上级补助收入</w:t>
            </w:r>
          </w:p>
        </w:tc>
        <w:tc>
          <w:tcPr>
            <w:tcW w:w="1276"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事业收入</w:t>
            </w:r>
          </w:p>
        </w:tc>
        <w:tc>
          <w:tcPr>
            <w:tcW w:w="97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经营收入</w:t>
            </w:r>
          </w:p>
        </w:tc>
        <w:tc>
          <w:tcPr>
            <w:tcW w:w="10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附属单位上缴收入</w:t>
            </w:r>
          </w:p>
        </w:tc>
        <w:tc>
          <w:tcPr>
            <w:tcW w:w="1616"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其他收入</w:t>
            </w:r>
          </w:p>
        </w:tc>
      </w:tr>
      <w:tr>
        <w:tblPrEx>
          <w:tblCellMar>
            <w:top w:w="0" w:type="dxa"/>
            <w:left w:w="108" w:type="dxa"/>
            <w:bottom w:w="0" w:type="dxa"/>
            <w:right w:w="108" w:type="dxa"/>
          </w:tblCellMar>
        </w:tblPrEx>
        <w:trPr>
          <w:trHeight w:val="312" w:hRule="atLeast"/>
        </w:trPr>
        <w:tc>
          <w:tcPr>
            <w:tcW w:w="2688" w:type="dxa"/>
            <w:gridSpan w:val="3"/>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功能分类科目编码</w:t>
            </w:r>
          </w:p>
        </w:tc>
        <w:tc>
          <w:tcPr>
            <w:tcW w:w="254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科目名称</w:t>
            </w:r>
          </w:p>
        </w:tc>
        <w:tc>
          <w:tcPr>
            <w:tcW w:w="162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2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0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27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0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1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r>
      <w:tr>
        <w:tblPrEx>
          <w:tblCellMar>
            <w:top w:w="0" w:type="dxa"/>
            <w:left w:w="108" w:type="dxa"/>
            <w:bottom w:w="0" w:type="dxa"/>
            <w:right w:w="108" w:type="dxa"/>
          </w:tblCellMar>
        </w:tblPrEx>
        <w:trPr>
          <w:trHeight w:val="312" w:hRule="atLeast"/>
        </w:trPr>
        <w:tc>
          <w:tcPr>
            <w:tcW w:w="2688"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auto"/>
                <w:sz w:val="22"/>
                <w:highlight w:val="none"/>
              </w:rPr>
            </w:pPr>
          </w:p>
        </w:tc>
        <w:tc>
          <w:tcPr>
            <w:tcW w:w="2547"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2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2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0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27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0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1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r>
      <w:tr>
        <w:tblPrEx>
          <w:tblCellMar>
            <w:top w:w="0" w:type="dxa"/>
            <w:left w:w="108" w:type="dxa"/>
            <w:bottom w:w="0" w:type="dxa"/>
            <w:right w:w="108" w:type="dxa"/>
          </w:tblCellMar>
        </w:tblPrEx>
        <w:trPr>
          <w:trHeight w:val="312" w:hRule="atLeast"/>
        </w:trPr>
        <w:tc>
          <w:tcPr>
            <w:tcW w:w="2688"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auto"/>
                <w:sz w:val="22"/>
                <w:highlight w:val="none"/>
              </w:rPr>
            </w:pPr>
          </w:p>
        </w:tc>
        <w:tc>
          <w:tcPr>
            <w:tcW w:w="2547"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2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2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0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27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0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16"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5235"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栏次</w:t>
            </w:r>
          </w:p>
        </w:tc>
        <w:tc>
          <w:tcPr>
            <w:tcW w:w="162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w:t>
            </w:r>
          </w:p>
        </w:tc>
        <w:tc>
          <w:tcPr>
            <w:tcW w:w="162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w:t>
            </w:r>
          </w:p>
        </w:tc>
        <w:tc>
          <w:tcPr>
            <w:tcW w:w="108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w:t>
            </w:r>
          </w:p>
        </w:tc>
        <w:tc>
          <w:tcPr>
            <w:tcW w:w="1276"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w:t>
            </w:r>
          </w:p>
        </w:tc>
        <w:tc>
          <w:tcPr>
            <w:tcW w:w="97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w:t>
            </w:r>
          </w:p>
        </w:tc>
        <w:tc>
          <w:tcPr>
            <w:tcW w:w="108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6</w:t>
            </w:r>
          </w:p>
        </w:tc>
        <w:tc>
          <w:tcPr>
            <w:tcW w:w="1616"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7</w:t>
            </w:r>
          </w:p>
        </w:tc>
      </w:tr>
      <w:tr>
        <w:tblPrEx>
          <w:tblCellMar>
            <w:top w:w="0" w:type="dxa"/>
            <w:left w:w="108" w:type="dxa"/>
            <w:bottom w:w="0" w:type="dxa"/>
            <w:right w:w="108" w:type="dxa"/>
          </w:tblCellMar>
        </w:tblPrEx>
        <w:trPr>
          <w:trHeight w:val="308" w:hRule="atLeast"/>
        </w:trPr>
        <w:tc>
          <w:tcPr>
            <w:tcW w:w="5235" w:type="dxa"/>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合计</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auto"/>
                <w:sz w:val="22"/>
                <w:highlight w:val="none"/>
              </w:rPr>
            </w:pPr>
            <w:r>
              <w:rPr>
                <w:rFonts w:ascii="宋体" w:hAnsi="宋体" w:cs="宋体"/>
                <w:b/>
                <w:bCs/>
                <w:color w:val="auto"/>
                <w:kern w:val="0"/>
                <w:sz w:val="22"/>
                <w:highlight w:val="none"/>
              </w:rPr>
              <w:t>3,221.47</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auto"/>
                <w:sz w:val="22"/>
                <w:highlight w:val="none"/>
              </w:rPr>
            </w:pPr>
            <w:r>
              <w:rPr>
                <w:rFonts w:ascii="宋体" w:hAnsi="宋体" w:cs="宋体"/>
                <w:b/>
                <w:bCs/>
                <w:color w:val="auto"/>
                <w:kern w:val="0"/>
                <w:sz w:val="22"/>
                <w:highlight w:val="none"/>
              </w:rPr>
              <w:t>3,216.04</w:t>
            </w:r>
          </w:p>
        </w:tc>
        <w:tc>
          <w:tcPr>
            <w:tcW w:w="1080" w:type="dxa"/>
            <w:tcBorders>
              <w:top w:val="nil"/>
              <w:left w:val="nil"/>
              <w:bottom w:val="single" w:color="000000" w:sz="4" w:space="0"/>
              <w:right w:val="single" w:color="000000" w:sz="4" w:space="0"/>
            </w:tcBorders>
            <w:noWrap/>
            <w:vAlign w:val="center"/>
          </w:tcPr>
          <w:p>
            <w:pPr>
              <w:jc w:val="right"/>
              <w:rPr>
                <w:rFonts w:ascii="宋体" w:cs="宋体"/>
                <w:b/>
                <w:bCs/>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b/>
                <w:bCs/>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b/>
                <w:bCs/>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b/>
                <w:bCs/>
                <w:color w:val="auto"/>
                <w:sz w:val="22"/>
                <w:highlight w:val="none"/>
              </w:rPr>
            </w:pPr>
          </w:p>
        </w:tc>
        <w:tc>
          <w:tcPr>
            <w:tcW w:w="1616"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auto"/>
                <w:sz w:val="22"/>
                <w:highlight w:val="none"/>
              </w:rPr>
            </w:pPr>
            <w:r>
              <w:rPr>
                <w:rFonts w:ascii="宋体" w:hAnsi="宋体" w:cs="宋体"/>
                <w:b/>
                <w:bCs/>
                <w:color w:val="auto"/>
                <w:kern w:val="0"/>
                <w:sz w:val="22"/>
                <w:highlight w:val="none"/>
              </w:rPr>
              <w:t>5.43</w:t>
            </w: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201</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一般公共服务支出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20129</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群众团体事务</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2012906</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工会事务</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教育支出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2,702.47</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2,702.47</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20502</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普通教育</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2,687.98</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2,687.98</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2050203</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初中教育</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2,472.80</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2,472.80</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2050299</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其他普通教育支出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215.18</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215.18</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20599</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其他教育支出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14.49</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14.49</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2059999</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其他教育支出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14.49</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14.49</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社会保障和就业支出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425.11</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425.11</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20805</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行政事业单位养老支出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402.96</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402.96</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2080502</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事业单位离退休</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253.07</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253.07</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2080505</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机关事业单位基本养老保险缴费支出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149.90</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149.90</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20808</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抚恤</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22.15</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22.15</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2080801</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死亡抚恤</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22.15</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22.15</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210</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卫生健康支出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21011</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行政事业单位医疗</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2101102</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事业单位医疗</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229</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其他支出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5.43</w:t>
            </w:r>
          </w:p>
        </w:tc>
        <w:tc>
          <w:tcPr>
            <w:tcW w:w="162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5.43</w:t>
            </w: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22999</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其他支出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5.43</w:t>
            </w:r>
          </w:p>
        </w:tc>
        <w:tc>
          <w:tcPr>
            <w:tcW w:w="162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5.43</w:t>
            </w:r>
          </w:p>
        </w:tc>
      </w:tr>
      <w:tr>
        <w:tblPrEx>
          <w:tblCellMar>
            <w:top w:w="0" w:type="dxa"/>
            <w:left w:w="108" w:type="dxa"/>
            <w:bottom w:w="0" w:type="dxa"/>
            <w:right w:w="108" w:type="dxa"/>
          </w:tblCellMar>
        </w:tblPrEx>
        <w:trPr>
          <w:trHeight w:val="308" w:hRule="atLeast"/>
        </w:trPr>
        <w:tc>
          <w:tcPr>
            <w:tcW w:w="2688" w:type="dxa"/>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2299999</w:t>
            </w:r>
          </w:p>
        </w:tc>
        <w:tc>
          <w:tcPr>
            <w:tcW w:w="2547" w:type="dxa"/>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其他支出</w:t>
            </w:r>
          </w:p>
        </w:tc>
        <w:tc>
          <w:tcPr>
            <w:tcW w:w="162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5.43</w:t>
            </w:r>
          </w:p>
        </w:tc>
        <w:tc>
          <w:tcPr>
            <w:tcW w:w="162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276"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975"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616"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5.43</w:t>
            </w:r>
          </w:p>
        </w:tc>
      </w:tr>
      <w:tr>
        <w:tblPrEx>
          <w:tblCellMar>
            <w:top w:w="0" w:type="dxa"/>
            <w:left w:w="108" w:type="dxa"/>
            <w:bottom w:w="0" w:type="dxa"/>
            <w:right w:w="108" w:type="dxa"/>
          </w:tblCellMar>
        </w:tblPrEx>
        <w:trPr>
          <w:trHeight w:val="308" w:hRule="atLeast"/>
        </w:trPr>
        <w:tc>
          <w:tcPr>
            <w:tcW w:w="14502" w:type="dxa"/>
            <w:gridSpan w:val="11"/>
            <w:tcBorders>
              <w:top w:val="nil"/>
              <w:left w:val="nil"/>
              <w:bottom w:val="nil"/>
              <w:right w:val="nil"/>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eastAsia="zh-CN"/>
              </w:rPr>
              <w:t>单位</w:t>
            </w:r>
            <w:r>
              <w:rPr>
                <w:rFonts w:hint="eastAsia" w:ascii="宋体" w:hAnsi="宋体" w:cs="宋体"/>
                <w:color w:val="auto"/>
                <w:kern w:val="0"/>
                <w:sz w:val="22"/>
                <w:highlight w:val="none"/>
              </w:rPr>
              <w:t>本年度取得的各项收入情况。本表金额转换为万元时，因四舍五入可能存在尾差。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95" w:type="dxa"/>
        <w:tblInd w:w="93" w:type="dxa"/>
        <w:tblLayout w:type="autofit"/>
        <w:tblCellMar>
          <w:top w:w="0" w:type="dxa"/>
          <w:left w:w="108" w:type="dxa"/>
          <w:bottom w:w="0" w:type="dxa"/>
          <w:right w:w="108" w:type="dxa"/>
        </w:tblCellMar>
      </w:tblPr>
      <w:tblGrid>
        <w:gridCol w:w="2018"/>
        <w:gridCol w:w="221"/>
        <w:gridCol w:w="221"/>
        <w:gridCol w:w="3586"/>
        <w:gridCol w:w="1643"/>
        <w:gridCol w:w="1643"/>
        <w:gridCol w:w="900"/>
        <w:gridCol w:w="1305"/>
        <w:gridCol w:w="900"/>
        <w:gridCol w:w="1644"/>
      </w:tblGrid>
      <w:tr>
        <w:tblPrEx>
          <w:tblCellMar>
            <w:top w:w="0" w:type="dxa"/>
            <w:left w:w="108" w:type="dxa"/>
            <w:bottom w:w="0" w:type="dxa"/>
            <w:right w:w="108" w:type="dxa"/>
          </w:tblCellMar>
        </w:tblPrEx>
        <w:trPr>
          <w:trHeight w:val="390" w:hRule="atLeast"/>
        </w:trPr>
        <w:tc>
          <w:tcPr>
            <w:tcW w:w="13695" w:type="dxa"/>
            <w:gridSpan w:val="10"/>
            <w:tcBorders>
              <w:top w:val="nil"/>
              <w:left w:val="nil"/>
              <w:bottom w:val="nil"/>
              <w:right w:val="nil"/>
            </w:tcBorders>
            <w:noWrap/>
            <w:vAlign w:val="bottom"/>
          </w:tcPr>
          <w:p>
            <w:pPr>
              <w:widowControl/>
              <w:jc w:val="center"/>
              <w:textAlignment w:val="bottom"/>
              <w:rPr>
                <w:rFonts w:ascii="宋体" w:cs="宋体"/>
                <w:color w:val="auto"/>
                <w:sz w:val="30"/>
                <w:szCs w:val="30"/>
                <w:highlight w:val="none"/>
              </w:rPr>
            </w:pPr>
            <w:r>
              <w:rPr>
                <w:rFonts w:hint="eastAsia" w:ascii="宋体" w:hAnsi="宋体" w:cs="宋体"/>
                <w:color w:val="auto"/>
                <w:kern w:val="0"/>
                <w:sz w:val="30"/>
                <w:szCs w:val="30"/>
                <w:highlight w:val="none"/>
              </w:rPr>
              <w:t>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widowControl/>
              <w:jc w:val="right"/>
              <w:textAlignment w:val="bottom"/>
              <w:rPr>
                <w:rFonts w:ascii="宋体" w:cs="宋体"/>
                <w:color w:val="auto"/>
                <w:sz w:val="20"/>
                <w:szCs w:val="20"/>
                <w:highlight w:val="none"/>
              </w:rPr>
            </w:pPr>
            <w:r>
              <w:rPr>
                <w:rFonts w:hint="eastAsia" w:ascii="宋体" w:hAnsi="宋体" w:cs="宋体"/>
                <w:color w:val="auto"/>
                <w:kern w:val="0"/>
                <w:sz w:val="20"/>
                <w:szCs w:val="20"/>
                <w:highlight w:val="none"/>
              </w:rPr>
              <w:t>公开</w:t>
            </w:r>
            <w:r>
              <w:rPr>
                <w:rFonts w:ascii="宋体" w:hAnsi="宋体" w:cs="宋体"/>
                <w:color w:val="auto"/>
                <w:kern w:val="0"/>
                <w:sz w:val="20"/>
                <w:szCs w:val="20"/>
                <w:highlight w:val="none"/>
              </w:rPr>
              <w:t>03</w:t>
            </w:r>
            <w:r>
              <w:rPr>
                <w:rFonts w:hint="eastAsia" w:ascii="宋体" w:hAnsi="宋体" w:cs="宋体"/>
                <w:color w:val="auto"/>
                <w:kern w:val="0"/>
                <w:sz w:val="20"/>
                <w:szCs w:val="20"/>
                <w:highlight w:val="none"/>
              </w:rPr>
              <w:t>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：许昌市第二中学</w:t>
            </w: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widowControl/>
              <w:jc w:val="right"/>
              <w:textAlignment w:val="bottom"/>
              <w:rPr>
                <w:rFonts w:asci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项目</w:t>
            </w:r>
          </w:p>
        </w:tc>
        <w:tc>
          <w:tcPr>
            <w:tcW w:w="180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本年支出合计</w:t>
            </w:r>
          </w:p>
        </w:tc>
        <w:tc>
          <w:tcPr>
            <w:tcW w:w="180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基本支出</w:t>
            </w:r>
          </w:p>
        </w:tc>
        <w:tc>
          <w:tcPr>
            <w:tcW w:w="97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项目支出</w:t>
            </w:r>
          </w:p>
        </w:tc>
        <w:tc>
          <w:tcPr>
            <w:tcW w:w="142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上缴上级支出</w:t>
            </w:r>
          </w:p>
        </w:tc>
        <w:tc>
          <w:tcPr>
            <w:tcW w:w="97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经营支出</w:t>
            </w:r>
          </w:p>
        </w:tc>
        <w:tc>
          <w:tcPr>
            <w:tcW w:w="180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对附属单位补助支出</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科目名称</w:t>
            </w: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42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auto"/>
                <w:sz w:val="22"/>
                <w:highlight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42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auto"/>
                <w:sz w:val="22"/>
                <w:highlight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42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975"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80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栏次</w:t>
            </w:r>
          </w:p>
        </w:tc>
        <w:tc>
          <w:tcPr>
            <w:tcW w:w="180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w:t>
            </w:r>
          </w:p>
        </w:tc>
        <w:tc>
          <w:tcPr>
            <w:tcW w:w="180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w:t>
            </w:r>
          </w:p>
        </w:tc>
        <w:tc>
          <w:tcPr>
            <w:tcW w:w="97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w:t>
            </w:r>
          </w:p>
        </w:tc>
        <w:tc>
          <w:tcPr>
            <w:tcW w:w="142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w:t>
            </w:r>
          </w:p>
        </w:tc>
        <w:tc>
          <w:tcPr>
            <w:tcW w:w="97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w:t>
            </w:r>
          </w:p>
        </w:tc>
        <w:tc>
          <w:tcPr>
            <w:tcW w:w="180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auto"/>
                <w:sz w:val="22"/>
                <w:highlight w:val="none"/>
              </w:rPr>
            </w:pPr>
            <w:r>
              <w:rPr>
                <w:rFonts w:ascii="宋体" w:hAnsi="宋体" w:cs="宋体"/>
                <w:b/>
                <w:bCs/>
                <w:color w:val="auto"/>
                <w:kern w:val="0"/>
                <w:sz w:val="22"/>
                <w:highlight w:val="none"/>
              </w:rPr>
              <w:t>4,042.54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auto"/>
                <w:sz w:val="22"/>
                <w:highlight w:val="none"/>
              </w:rPr>
            </w:pPr>
            <w:r>
              <w:rPr>
                <w:rFonts w:ascii="宋体" w:hAnsi="宋体" w:cs="宋体"/>
                <w:b/>
                <w:bCs/>
                <w:color w:val="auto"/>
                <w:kern w:val="0"/>
                <w:sz w:val="22"/>
                <w:highlight w:val="none"/>
              </w:rPr>
              <w:t>3,351.93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auto"/>
                <w:sz w:val="22"/>
                <w:highlight w:val="none"/>
              </w:rPr>
            </w:pPr>
            <w:r>
              <w:rPr>
                <w:rFonts w:ascii="宋体" w:hAnsi="宋体" w:cs="宋体"/>
                <w:b/>
                <w:bCs/>
                <w:color w:val="auto"/>
                <w:kern w:val="0"/>
                <w:sz w:val="22"/>
                <w:highlight w:val="none"/>
              </w:rPr>
              <w:t>690.61</w:t>
            </w: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3,497.23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2,806.61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690.61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普通教育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3,480.34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2,806.61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673.72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2050203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初中教育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2,849.18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2,806.61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42.57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2050299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其他普通教育支出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631.15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631.15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特殊教育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2.40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2.40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2050701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特殊学校教育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2.40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2.40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其他教育支出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451.43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451.43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429.28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429.28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2080502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事业单位离退休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262.66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262.66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166.61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166.61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22.15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22.15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2080801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死亡抚恤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22.15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22.15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其他支出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5.43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5.43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22999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其他支出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5.43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5.43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2299999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5.43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5.43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eastAsia="zh-CN"/>
              </w:rPr>
              <w:t>单位</w:t>
            </w:r>
            <w:r>
              <w:rPr>
                <w:rFonts w:hint="eastAsia" w:ascii="宋体" w:hAnsi="宋体" w:cs="宋体"/>
                <w:color w:val="auto"/>
                <w:kern w:val="0"/>
                <w:sz w:val="22"/>
                <w:highlight w:val="none"/>
              </w:rPr>
              <w:t>本年度各项支出情况。本表金额转换为万元时，因四舍五入可能存在尾差。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340" w:type="dxa"/>
        <w:tblInd w:w="93" w:type="dxa"/>
        <w:tblLayout w:type="autofit"/>
        <w:tblCellMar>
          <w:top w:w="0" w:type="dxa"/>
          <w:left w:w="108" w:type="dxa"/>
          <w:bottom w:w="0" w:type="dxa"/>
          <w:right w:w="108" w:type="dxa"/>
        </w:tblCellMar>
      </w:tblPr>
      <w:tblGrid>
        <w:gridCol w:w="3270"/>
        <w:gridCol w:w="570"/>
        <w:gridCol w:w="1485"/>
        <w:gridCol w:w="3660"/>
        <w:gridCol w:w="570"/>
        <w:gridCol w:w="1096"/>
        <w:gridCol w:w="1335"/>
        <w:gridCol w:w="1020"/>
        <w:gridCol w:w="1616"/>
      </w:tblGrid>
      <w:tr>
        <w:tblPrEx>
          <w:tblCellMar>
            <w:top w:w="0" w:type="dxa"/>
            <w:left w:w="108" w:type="dxa"/>
            <w:bottom w:w="0" w:type="dxa"/>
            <w:right w:w="108" w:type="dxa"/>
          </w:tblCellMar>
        </w:tblPrEx>
        <w:trPr>
          <w:trHeight w:val="390" w:hRule="atLeast"/>
        </w:trPr>
        <w:tc>
          <w:tcPr>
            <w:tcW w:w="14340" w:type="dxa"/>
            <w:gridSpan w:val="9"/>
            <w:tcBorders>
              <w:top w:val="nil"/>
              <w:left w:val="nil"/>
              <w:bottom w:val="nil"/>
              <w:right w:val="nil"/>
            </w:tcBorders>
            <w:noWrap/>
            <w:vAlign w:val="bottom"/>
          </w:tcPr>
          <w:p>
            <w:pPr>
              <w:widowControl/>
              <w:jc w:val="center"/>
              <w:textAlignment w:val="bottom"/>
              <w:rPr>
                <w:rFonts w:ascii="宋体" w:cs="宋体"/>
                <w:color w:val="auto"/>
                <w:sz w:val="30"/>
                <w:szCs w:val="30"/>
                <w:highlight w:val="none"/>
              </w:rPr>
            </w:pPr>
            <w:r>
              <w:rPr>
                <w:rFonts w:hint="eastAsia" w:ascii="宋体" w:hAnsi="宋体" w:cs="宋体"/>
                <w:color w:val="auto"/>
                <w:kern w:val="0"/>
                <w:sz w:val="30"/>
                <w:szCs w:val="30"/>
                <w:highlight w:val="none"/>
              </w:rPr>
              <w:t>财政拨款收入支出决算总表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widowControl/>
              <w:jc w:val="right"/>
              <w:textAlignment w:val="bottom"/>
              <w:rPr>
                <w:rFonts w:ascii="宋体" w:cs="宋体"/>
                <w:color w:val="auto"/>
                <w:sz w:val="20"/>
                <w:szCs w:val="20"/>
                <w:highlight w:val="none"/>
              </w:rPr>
            </w:pPr>
            <w:r>
              <w:rPr>
                <w:rFonts w:hint="eastAsia" w:ascii="宋体" w:hAnsi="宋体" w:cs="宋体"/>
                <w:color w:val="auto"/>
                <w:kern w:val="0"/>
                <w:sz w:val="20"/>
                <w:szCs w:val="20"/>
                <w:highlight w:val="none"/>
              </w:rPr>
              <w:t>公开</w:t>
            </w:r>
            <w:r>
              <w:rPr>
                <w:rFonts w:ascii="宋体" w:hAnsi="宋体" w:cs="宋体"/>
                <w:color w:val="auto"/>
                <w:kern w:val="0"/>
                <w:sz w:val="20"/>
                <w:szCs w:val="20"/>
                <w:highlight w:val="none"/>
              </w:rPr>
              <w:t>04</w:t>
            </w:r>
            <w:r>
              <w:rPr>
                <w:rFonts w:hint="eastAsia" w:ascii="宋体" w:hAnsi="宋体" w:cs="宋体"/>
                <w:color w:val="auto"/>
                <w:kern w:val="0"/>
                <w:sz w:val="20"/>
                <w:szCs w:val="20"/>
                <w:highlight w:val="none"/>
              </w:rPr>
              <w:t>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：许昌市第二中学</w:t>
            </w: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widowControl/>
              <w:jc w:val="right"/>
              <w:textAlignment w:val="bottom"/>
              <w:rPr>
                <w:rFonts w:asci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收</w:t>
            </w:r>
            <w:r>
              <w:rPr>
                <w:rFonts w:ascii="宋体" w:hAnsi="宋体" w:cs="宋体"/>
                <w:color w:val="auto"/>
                <w:kern w:val="0"/>
                <w:sz w:val="22"/>
                <w:highlight w:val="none"/>
              </w:rPr>
              <w:t xml:space="preserve">     </w:t>
            </w:r>
            <w:r>
              <w:rPr>
                <w:rFonts w:hint="eastAsia" w:ascii="宋体" w:hAnsi="宋体" w:cs="宋体"/>
                <w:color w:val="auto"/>
                <w:kern w:val="0"/>
                <w:sz w:val="22"/>
                <w:highlight w:val="none"/>
              </w:rPr>
              <w:t>入</w:t>
            </w:r>
          </w:p>
        </w:tc>
        <w:tc>
          <w:tcPr>
            <w:tcW w:w="0" w:type="auto"/>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支</w:t>
            </w:r>
            <w:r>
              <w:rPr>
                <w:rFonts w:ascii="宋体" w:hAnsi="宋体" w:cs="宋体"/>
                <w:color w:val="auto"/>
                <w:kern w:val="0"/>
                <w:sz w:val="22"/>
                <w:highlight w:val="none"/>
              </w:rPr>
              <w:t xml:space="preserve">     </w:t>
            </w:r>
            <w:r>
              <w:rPr>
                <w:rFonts w:hint="eastAsia" w:ascii="宋体" w:hAnsi="宋体" w:cs="宋体"/>
                <w:color w:val="auto"/>
                <w:kern w:val="0"/>
                <w:sz w:val="22"/>
                <w:highlight w:val="none"/>
              </w:rPr>
              <w:t>出</w:t>
            </w:r>
          </w:p>
        </w:tc>
      </w:tr>
      <w:tr>
        <w:tblPrEx>
          <w:tblCellMar>
            <w:top w:w="0" w:type="dxa"/>
            <w:left w:w="108" w:type="dxa"/>
            <w:bottom w:w="0" w:type="dxa"/>
            <w:right w:w="108" w:type="dxa"/>
          </w:tblCellMar>
        </w:tblPrEx>
        <w:trPr>
          <w:trHeight w:val="312" w:hRule="atLeast"/>
        </w:trPr>
        <w:tc>
          <w:tcPr>
            <w:tcW w:w="3270"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项目</w:t>
            </w:r>
          </w:p>
        </w:tc>
        <w:tc>
          <w:tcPr>
            <w:tcW w:w="57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行次</w:t>
            </w:r>
          </w:p>
        </w:tc>
        <w:tc>
          <w:tcPr>
            <w:tcW w:w="148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金额</w:t>
            </w:r>
          </w:p>
        </w:tc>
        <w:tc>
          <w:tcPr>
            <w:tcW w:w="36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项目</w:t>
            </w:r>
          </w:p>
        </w:tc>
        <w:tc>
          <w:tcPr>
            <w:tcW w:w="57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行次</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合计</w:t>
            </w:r>
          </w:p>
        </w:tc>
        <w:tc>
          <w:tcPr>
            <w:tcW w:w="133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一般公共预算财政拨款</w:t>
            </w:r>
          </w:p>
        </w:tc>
        <w:tc>
          <w:tcPr>
            <w:tcW w:w="102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政府性基金预算财政拨款</w:t>
            </w:r>
          </w:p>
        </w:tc>
        <w:tc>
          <w:tcPr>
            <w:tcW w:w="12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国有资本经营预算财政拨款</w:t>
            </w:r>
          </w:p>
        </w:tc>
      </w:tr>
      <w:tr>
        <w:tblPrEx>
          <w:tblCellMar>
            <w:top w:w="0" w:type="dxa"/>
            <w:left w:w="108" w:type="dxa"/>
            <w:bottom w:w="0" w:type="dxa"/>
            <w:right w:w="108"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auto"/>
                <w:sz w:val="22"/>
                <w:highlight w:val="none"/>
              </w:rPr>
            </w:pPr>
          </w:p>
        </w:tc>
        <w:tc>
          <w:tcPr>
            <w:tcW w:w="57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485"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366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57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335"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02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26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栏次</w:t>
            </w:r>
          </w:p>
        </w:tc>
        <w:tc>
          <w:tcPr>
            <w:tcW w:w="0" w:type="auto"/>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栏次</w:t>
            </w:r>
          </w:p>
        </w:tc>
        <w:tc>
          <w:tcPr>
            <w:tcW w:w="0" w:type="auto"/>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一、一般公共预算财政拨款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3,216.04</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一、一般公共服务支出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二、外交支出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三、国有资本经营财政拨款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三、国防支出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四、公共安全支出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五、教育支出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3,497.23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3,497.23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六、科学技术支出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七、文化旅游体育与传媒支出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八、社会保障和就业支出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451.43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451.43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九、卫生健康支出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十、节能环保支出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十一、城乡社区支出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十二、农林水支出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十三、交通运输支出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十四、资源勘探工业信息等支出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十五、商业服务业等支出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十六、金融支出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十七、援助其他地区支出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十八、自然资源海洋气象等支出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十九、住房保障支出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二十、粮油物资储备支出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二十一、国有资本经营预算支出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二十二、灾害防治及应急管理支出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二十三、其他支出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ascii="宋体" w:cs="宋体"/>
                <w:b/>
                <w:bCs/>
                <w:color w:val="auto"/>
                <w:sz w:val="20"/>
                <w:szCs w:val="20"/>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24</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二十四、债务还本支出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0"/>
                <w:szCs w:val="20"/>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二十五、债务付息支出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0"/>
                <w:szCs w:val="20"/>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二十六、抗疫特别国债安排的支出</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auto"/>
                <w:sz w:val="22"/>
                <w:highlight w:val="none"/>
              </w:rPr>
            </w:pPr>
            <w:r>
              <w:rPr>
                <w:rFonts w:hint="eastAsia" w:ascii="宋体" w:hAnsi="宋体" w:cs="宋体"/>
                <w:b/>
                <w:bCs/>
                <w:color w:val="auto"/>
                <w:kern w:val="0"/>
                <w:sz w:val="22"/>
                <w:highlight w:val="none"/>
              </w:rPr>
              <w:t>本年收入合计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3,216.04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b/>
                <w:bCs/>
                <w:color w:val="auto"/>
                <w:sz w:val="22"/>
                <w:highlight w:val="none"/>
              </w:rPr>
            </w:pPr>
            <w:r>
              <w:rPr>
                <w:rFonts w:hint="eastAsia" w:ascii="宋体" w:hAnsi="宋体" w:cs="宋体"/>
                <w:b/>
                <w:bCs/>
                <w:color w:val="auto"/>
                <w:kern w:val="0"/>
                <w:sz w:val="22"/>
                <w:highlight w:val="none"/>
              </w:rPr>
              <w:t>本年支出合计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4,037.11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4,037.11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年初财政拨款结转和结余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821.07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年末财政拨款结转和结余</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60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一般公共预算财政拨款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29</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821.07</w:t>
            </w:r>
          </w:p>
        </w:tc>
        <w:tc>
          <w:tcPr>
            <w:tcW w:w="0" w:type="auto"/>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61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政府性基金预算财政拨款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62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国有资本经营预算财政拨款</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63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b/>
                <w:bCs/>
                <w:color w:val="auto"/>
                <w:sz w:val="22"/>
                <w:highlight w:val="none"/>
              </w:rPr>
            </w:pPr>
            <w:r>
              <w:rPr>
                <w:rFonts w:hint="eastAsia" w:ascii="宋体" w:hAnsi="宋体" w:cs="宋体"/>
                <w:b/>
                <w:bCs/>
                <w:color w:val="auto"/>
                <w:kern w:val="0"/>
                <w:sz w:val="22"/>
                <w:highlight w:val="none"/>
              </w:rPr>
              <w:t>总计</w:t>
            </w:r>
          </w:p>
        </w:tc>
        <w:tc>
          <w:tcPr>
            <w:tcW w:w="0" w:type="auto"/>
            <w:tcBorders>
              <w:top w:val="nil"/>
              <w:left w:val="nil"/>
              <w:bottom w:val="single" w:color="000000" w:sz="8"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4,037.11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b/>
                <w:bCs/>
                <w:color w:val="auto"/>
                <w:sz w:val="22"/>
                <w:highlight w:val="none"/>
              </w:rPr>
            </w:pPr>
            <w:r>
              <w:rPr>
                <w:rFonts w:hint="eastAsia" w:ascii="宋体" w:hAnsi="宋体" w:cs="宋体"/>
                <w:b/>
                <w:bCs/>
                <w:color w:val="auto"/>
                <w:kern w:val="0"/>
                <w:sz w:val="22"/>
                <w:highlight w:val="none"/>
              </w:rPr>
              <w:t>总计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64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4,037.11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4,037.11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585" w:hRule="atLeast"/>
        </w:trPr>
        <w:tc>
          <w:tcPr>
            <w:tcW w:w="14340" w:type="dxa"/>
            <w:gridSpan w:val="9"/>
            <w:tcBorders>
              <w:top w:val="nil"/>
              <w:left w:val="nil"/>
              <w:bottom w:val="nil"/>
              <w:right w:val="nil"/>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eastAsia="zh-CN"/>
              </w:rPr>
              <w:t>单位</w:t>
            </w:r>
            <w:r>
              <w:rPr>
                <w:rFonts w:hint="eastAsia" w:ascii="宋体" w:hAnsi="宋体" w:cs="宋体"/>
                <w:color w:val="auto"/>
                <w:kern w:val="0"/>
                <w:sz w:val="22"/>
                <w:highlight w:val="none"/>
              </w:rPr>
              <w:t>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670" w:type="dxa"/>
        <w:tblInd w:w="93" w:type="dxa"/>
        <w:tblLayout w:type="autofit"/>
        <w:tblCellMar>
          <w:top w:w="0" w:type="dxa"/>
          <w:left w:w="108" w:type="dxa"/>
          <w:bottom w:w="0" w:type="dxa"/>
          <w:right w:w="108" w:type="dxa"/>
        </w:tblCellMar>
      </w:tblPr>
      <w:tblGrid>
        <w:gridCol w:w="2216"/>
        <w:gridCol w:w="222"/>
        <w:gridCol w:w="222"/>
        <w:gridCol w:w="3956"/>
        <w:gridCol w:w="2250"/>
        <w:gridCol w:w="2250"/>
        <w:gridCol w:w="2250"/>
      </w:tblGrid>
      <w:tr>
        <w:tblPrEx>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noWrap/>
            <w:vAlign w:val="bottom"/>
          </w:tcPr>
          <w:p>
            <w:pPr>
              <w:widowControl/>
              <w:jc w:val="center"/>
              <w:textAlignment w:val="bottom"/>
              <w:rPr>
                <w:rFonts w:ascii="宋体" w:cs="宋体"/>
                <w:color w:val="auto"/>
                <w:sz w:val="30"/>
                <w:szCs w:val="30"/>
                <w:highlight w:val="none"/>
              </w:rPr>
            </w:pPr>
            <w:r>
              <w:rPr>
                <w:rFonts w:hint="eastAsia" w:ascii="宋体" w:hAnsi="宋体" w:cs="宋体"/>
                <w:color w:val="auto"/>
                <w:kern w:val="0"/>
                <w:sz w:val="30"/>
                <w:szCs w:val="30"/>
                <w:highlight w:val="none"/>
              </w:rPr>
              <w:t>一般公共预算财政拨款支出决算表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widowControl/>
              <w:jc w:val="right"/>
              <w:textAlignment w:val="bottom"/>
              <w:rPr>
                <w:rFonts w:ascii="宋体" w:cs="宋体"/>
                <w:color w:val="auto"/>
                <w:sz w:val="20"/>
                <w:szCs w:val="20"/>
                <w:highlight w:val="none"/>
              </w:rPr>
            </w:pPr>
            <w:r>
              <w:rPr>
                <w:rFonts w:hint="eastAsia" w:ascii="宋体" w:hAnsi="宋体" w:cs="宋体"/>
                <w:color w:val="auto"/>
                <w:kern w:val="0"/>
                <w:sz w:val="20"/>
                <w:szCs w:val="20"/>
                <w:highlight w:val="none"/>
              </w:rPr>
              <w:t>公开</w:t>
            </w:r>
            <w:r>
              <w:rPr>
                <w:rFonts w:ascii="宋体" w:hAnsi="宋体" w:cs="宋体"/>
                <w:color w:val="auto"/>
                <w:kern w:val="0"/>
                <w:sz w:val="20"/>
                <w:szCs w:val="20"/>
                <w:highlight w:val="none"/>
              </w:rPr>
              <w:t>05</w:t>
            </w:r>
            <w:r>
              <w:rPr>
                <w:rFonts w:hint="eastAsia" w:ascii="宋体" w:hAnsi="宋体" w:cs="宋体"/>
                <w:color w:val="auto"/>
                <w:kern w:val="0"/>
                <w:sz w:val="20"/>
                <w:szCs w:val="20"/>
                <w:highlight w:val="none"/>
              </w:rPr>
              <w:t>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：许昌市第二中学</w:t>
            </w: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widowControl/>
              <w:jc w:val="right"/>
              <w:textAlignment w:val="bottom"/>
              <w:rPr>
                <w:rFonts w:asci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项目</w:t>
            </w:r>
          </w:p>
        </w:tc>
        <w:tc>
          <w:tcPr>
            <w:tcW w:w="6750"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本年支出</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科目名称</w:t>
            </w:r>
          </w:p>
        </w:tc>
        <w:tc>
          <w:tcPr>
            <w:tcW w:w="225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小计</w:t>
            </w:r>
          </w:p>
        </w:tc>
        <w:tc>
          <w:tcPr>
            <w:tcW w:w="225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基本支出</w:t>
            </w:r>
          </w:p>
        </w:tc>
        <w:tc>
          <w:tcPr>
            <w:tcW w:w="225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项目支出</w:t>
            </w: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auto"/>
                <w:sz w:val="22"/>
                <w:highlight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auto"/>
                <w:sz w:val="22"/>
                <w:highlight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225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合计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auto"/>
                <w:sz w:val="22"/>
                <w:highlight w:val="none"/>
              </w:rPr>
            </w:pPr>
            <w:r>
              <w:rPr>
                <w:rFonts w:ascii="宋体" w:hAnsi="宋体" w:cs="宋体"/>
                <w:b/>
                <w:bCs/>
                <w:color w:val="auto"/>
                <w:kern w:val="0"/>
                <w:sz w:val="22"/>
                <w:highlight w:val="none"/>
              </w:rPr>
              <w:t>4,037.11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auto"/>
                <w:sz w:val="22"/>
                <w:highlight w:val="none"/>
              </w:rPr>
            </w:pPr>
            <w:r>
              <w:rPr>
                <w:rFonts w:ascii="宋体" w:hAnsi="宋体" w:cs="宋体"/>
                <w:b/>
                <w:bCs/>
                <w:color w:val="auto"/>
                <w:kern w:val="0"/>
                <w:sz w:val="22"/>
                <w:highlight w:val="none"/>
              </w:rPr>
              <w:t>3,346.50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b/>
                <w:bCs/>
                <w:color w:val="auto"/>
                <w:sz w:val="22"/>
                <w:highlight w:val="none"/>
              </w:rPr>
            </w:pPr>
            <w:r>
              <w:rPr>
                <w:rFonts w:ascii="宋体" w:hAnsi="宋体" w:cs="宋体"/>
                <w:b/>
                <w:bCs/>
                <w:color w:val="auto"/>
                <w:kern w:val="0"/>
                <w:sz w:val="22"/>
                <w:highlight w:val="none"/>
              </w:rPr>
              <w:t>690.61</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一般公共服务支出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20129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群众团体事务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2012906</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工会事务</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3,497.23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2,806.61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690.61</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普通教育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3,480.34</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2,806.61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673.72</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2050203</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初中教育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2,849.18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2,806.61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42.57</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2050299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其他普通教育支出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631.15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631.15</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20507</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特殊教育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2.40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2.40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2050701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特殊学校教育</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2.40</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2.40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其他教育支出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14.49</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2059999</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其他教育支出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14.49</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14.49</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社会保障和就业支出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451.43</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451.43</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行政事业单位养老支出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429.28</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429.28</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2080502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事业单位离退休</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262.66</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262.66</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2080505</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机关事业单位基本养老保险缴费支出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166.61</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166.61</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20808</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22.15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22.15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2080801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死亡抚恤</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22.15</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22.15</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210</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卫生健康支出</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21011</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行政事业单位医疗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2101102</w:t>
            </w:r>
          </w:p>
        </w:tc>
        <w:tc>
          <w:tcPr>
            <w:tcW w:w="0" w:type="auto"/>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事业单位医疗</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72.52</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eastAsia="zh-CN"/>
              </w:rPr>
              <w:t>单位</w:t>
            </w:r>
            <w:r>
              <w:rPr>
                <w:rFonts w:hint="eastAsia" w:ascii="宋体" w:hAnsi="宋体" w:cs="宋体"/>
                <w:color w:val="auto"/>
                <w:kern w:val="0"/>
                <w:sz w:val="22"/>
                <w:highlight w:val="none"/>
              </w:rPr>
              <w:t>本年度一般公共预算财政拨款支出情况。本套报表金额单位转换时可能存在尾数误差。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horzAnchor="margin" w:tblpXSpec="center" w:tblpY="-312"/>
        <w:tblW w:w="15228" w:type="dxa"/>
        <w:tblInd w:w="0" w:type="dxa"/>
        <w:tblLayout w:type="fixed"/>
        <w:tblCellMar>
          <w:top w:w="0" w:type="dxa"/>
          <w:left w:w="108" w:type="dxa"/>
          <w:bottom w:w="0" w:type="dxa"/>
          <w:right w:w="108" w:type="dxa"/>
        </w:tblCellMar>
      </w:tblPr>
      <w:tblGrid>
        <w:gridCol w:w="915"/>
        <w:gridCol w:w="1301"/>
        <w:gridCol w:w="1399"/>
        <w:gridCol w:w="1260"/>
        <w:gridCol w:w="857"/>
        <w:gridCol w:w="223"/>
        <w:gridCol w:w="13"/>
        <w:gridCol w:w="1326"/>
        <w:gridCol w:w="821"/>
        <w:gridCol w:w="1260"/>
        <w:gridCol w:w="600"/>
        <w:gridCol w:w="480"/>
        <w:gridCol w:w="405"/>
        <w:gridCol w:w="766"/>
        <w:gridCol w:w="809"/>
        <w:gridCol w:w="993"/>
        <w:gridCol w:w="1800"/>
      </w:tblGrid>
      <w:tr>
        <w:tblPrEx>
          <w:tblCellMar>
            <w:top w:w="0" w:type="dxa"/>
            <w:left w:w="108" w:type="dxa"/>
            <w:bottom w:w="0" w:type="dxa"/>
            <w:right w:w="108" w:type="dxa"/>
          </w:tblCellMar>
        </w:tblPrEx>
        <w:trPr>
          <w:trHeight w:val="390" w:hRule="atLeast"/>
        </w:trPr>
        <w:tc>
          <w:tcPr>
            <w:tcW w:w="15228" w:type="dxa"/>
            <w:gridSpan w:val="17"/>
            <w:tcBorders>
              <w:top w:val="nil"/>
              <w:left w:val="nil"/>
              <w:bottom w:val="nil"/>
              <w:right w:val="nil"/>
            </w:tcBorders>
            <w:noWrap/>
            <w:vAlign w:val="bottom"/>
          </w:tcPr>
          <w:p>
            <w:pPr>
              <w:widowControl/>
              <w:jc w:val="center"/>
              <w:textAlignment w:val="bottom"/>
              <w:rPr>
                <w:rFonts w:ascii="宋体" w:cs="宋体"/>
                <w:color w:val="auto"/>
                <w:sz w:val="30"/>
                <w:szCs w:val="30"/>
                <w:highlight w:val="none"/>
              </w:rPr>
            </w:pPr>
            <w:r>
              <w:rPr>
                <w:rFonts w:hint="eastAsia" w:ascii="宋体" w:hAnsi="宋体" w:cs="宋体"/>
                <w:color w:val="auto"/>
                <w:kern w:val="0"/>
                <w:sz w:val="30"/>
                <w:szCs w:val="30"/>
                <w:highlight w:val="none"/>
              </w:rPr>
              <w:t>一般公共预算财政拨款基本支出决算表</w:t>
            </w:r>
          </w:p>
        </w:tc>
      </w:tr>
      <w:tr>
        <w:tblPrEx>
          <w:tblCellMar>
            <w:top w:w="0" w:type="dxa"/>
            <w:left w:w="108" w:type="dxa"/>
            <w:bottom w:w="0" w:type="dxa"/>
            <w:right w:w="108" w:type="dxa"/>
          </w:tblCellMar>
        </w:tblPrEx>
        <w:trPr>
          <w:trHeight w:val="255" w:hRule="atLeast"/>
        </w:trPr>
        <w:tc>
          <w:tcPr>
            <w:tcW w:w="2216" w:type="dxa"/>
            <w:gridSpan w:val="2"/>
            <w:tcBorders>
              <w:top w:val="nil"/>
              <w:left w:val="nil"/>
              <w:bottom w:val="nil"/>
              <w:right w:val="nil"/>
            </w:tcBorders>
            <w:noWrap/>
            <w:vAlign w:val="bottom"/>
          </w:tcPr>
          <w:p>
            <w:pPr>
              <w:rPr>
                <w:rFonts w:ascii="Arial" w:hAnsi="Arial" w:cs="Arial"/>
                <w:color w:val="auto"/>
                <w:sz w:val="20"/>
                <w:szCs w:val="20"/>
                <w:highlight w:val="none"/>
              </w:rPr>
            </w:pPr>
          </w:p>
        </w:tc>
        <w:tc>
          <w:tcPr>
            <w:tcW w:w="3516" w:type="dxa"/>
            <w:gridSpan w:val="3"/>
            <w:tcBorders>
              <w:top w:val="nil"/>
              <w:left w:val="nil"/>
              <w:bottom w:val="nil"/>
              <w:right w:val="nil"/>
            </w:tcBorders>
            <w:noWrap/>
            <w:vAlign w:val="bottom"/>
          </w:tcPr>
          <w:p>
            <w:pPr>
              <w:rPr>
                <w:rFonts w:ascii="Arial" w:hAnsi="Arial" w:cs="Arial"/>
                <w:color w:val="auto"/>
                <w:sz w:val="20"/>
                <w:szCs w:val="20"/>
                <w:highlight w:val="none"/>
              </w:rPr>
            </w:pPr>
          </w:p>
        </w:tc>
        <w:tc>
          <w:tcPr>
            <w:tcW w:w="236" w:type="dxa"/>
            <w:gridSpan w:val="2"/>
            <w:tcBorders>
              <w:top w:val="nil"/>
              <w:left w:val="nil"/>
              <w:bottom w:val="nil"/>
              <w:right w:val="nil"/>
            </w:tcBorders>
            <w:noWrap/>
            <w:vAlign w:val="bottom"/>
          </w:tcPr>
          <w:p>
            <w:pPr>
              <w:rPr>
                <w:rFonts w:ascii="Arial" w:hAnsi="Arial" w:cs="Arial"/>
                <w:color w:val="auto"/>
                <w:sz w:val="20"/>
                <w:szCs w:val="20"/>
                <w:highlight w:val="none"/>
              </w:rPr>
            </w:pPr>
          </w:p>
        </w:tc>
        <w:tc>
          <w:tcPr>
            <w:tcW w:w="1326" w:type="dxa"/>
            <w:tcBorders>
              <w:top w:val="nil"/>
              <w:left w:val="nil"/>
              <w:bottom w:val="nil"/>
              <w:right w:val="nil"/>
            </w:tcBorders>
            <w:noWrap/>
            <w:vAlign w:val="bottom"/>
          </w:tcPr>
          <w:p>
            <w:pPr>
              <w:rPr>
                <w:rFonts w:ascii="Arial" w:hAnsi="Arial" w:cs="Arial"/>
                <w:color w:val="auto"/>
                <w:sz w:val="20"/>
                <w:szCs w:val="20"/>
                <w:highlight w:val="none"/>
              </w:rPr>
            </w:pPr>
          </w:p>
        </w:tc>
        <w:tc>
          <w:tcPr>
            <w:tcW w:w="2681" w:type="dxa"/>
            <w:gridSpan w:val="3"/>
            <w:tcBorders>
              <w:top w:val="nil"/>
              <w:left w:val="nil"/>
              <w:bottom w:val="nil"/>
              <w:right w:val="nil"/>
            </w:tcBorders>
            <w:noWrap/>
            <w:vAlign w:val="bottom"/>
          </w:tcPr>
          <w:p>
            <w:pPr>
              <w:rPr>
                <w:rFonts w:ascii="Arial" w:hAnsi="Arial" w:cs="Arial"/>
                <w:color w:val="auto"/>
                <w:sz w:val="20"/>
                <w:szCs w:val="20"/>
                <w:highlight w:val="none"/>
              </w:rPr>
            </w:pPr>
          </w:p>
        </w:tc>
        <w:tc>
          <w:tcPr>
            <w:tcW w:w="885" w:type="dxa"/>
            <w:gridSpan w:val="2"/>
            <w:tcBorders>
              <w:top w:val="nil"/>
              <w:left w:val="nil"/>
              <w:bottom w:val="nil"/>
              <w:right w:val="nil"/>
            </w:tcBorders>
            <w:noWrap/>
            <w:vAlign w:val="bottom"/>
          </w:tcPr>
          <w:p>
            <w:pPr>
              <w:rPr>
                <w:rFonts w:ascii="Arial" w:hAnsi="Arial" w:cs="Arial"/>
                <w:color w:val="auto"/>
                <w:sz w:val="20"/>
                <w:szCs w:val="20"/>
                <w:highlight w:val="none"/>
              </w:rPr>
            </w:pPr>
          </w:p>
        </w:tc>
        <w:tc>
          <w:tcPr>
            <w:tcW w:w="766" w:type="dxa"/>
            <w:tcBorders>
              <w:top w:val="nil"/>
              <w:left w:val="nil"/>
              <w:bottom w:val="nil"/>
              <w:right w:val="nil"/>
            </w:tcBorders>
            <w:noWrap/>
            <w:vAlign w:val="bottom"/>
          </w:tcPr>
          <w:p>
            <w:pPr>
              <w:rPr>
                <w:rFonts w:ascii="Arial" w:hAnsi="Arial" w:cs="Arial"/>
                <w:color w:val="auto"/>
                <w:sz w:val="20"/>
                <w:szCs w:val="20"/>
                <w:highlight w:val="none"/>
              </w:rPr>
            </w:pPr>
          </w:p>
        </w:tc>
        <w:tc>
          <w:tcPr>
            <w:tcW w:w="1802" w:type="dxa"/>
            <w:gridSpan w:val="2"/>
            <w:tcBorders>
              <w:top w:val="nil"/>
              <w:left w:val="nil"/>
              <w:bottom w:val="nil"/>
              <w:right w:val="nil"/>
            </w:tcBorders>
            <w:noWrap/>
            <w:vAlign w:val="bottom"/>
          </w:tcPr>
          <w:p>
            <w:pPr>
              <w:rPr>
                <w:rFonts w:ascii="Arial" w:hAnsi="Arial" w:cs="Arial"/>
                <w:color w:val="auto"/>
                <w:sz w:val="20"/>
                <w:szCs w:val="20"/>
                <w:highlight w:val="none"/>
              </w:rPr>
            </w:pPr>
          </w:p>
        </w:tc>
        <w:tc>
          <w:tcPr>
            <w:tcW w:w="1800" w:type="dxa"/>
            <w:tcBorders>
              <w:top w:val="nil"/>
              <w:left w:val="nil"/>
              <w:bottom w:val="nil"/>
              <w:right w:val="nil"/>
            </w:tcBorders>
            <w:noWrap/>
            <w:vAlign w:val="bottom"/>
          </w:tcPr>
          <w:p>
            <w:pPr>
              <w:widowControl/>
              <w:jc w:val="right"/>
              <w:textAlignment w:val="bottom"/>
              <w:rPr>
                <w:rFonts w:ascii="宋体" w:cs="宋体"/>
                <w:color w:val="auto"/>
                <w:sz w:val="18"/>
                <w:szCs w:val="18"/>
                <w:highlight w:val="none"/>
              </w:rPr>
            </w:pPr>
            <w:r>
              <w:rPr>
                <w:rFonts w:hint="eastAsia" w:ascii="宋体" w:hAnsi="宋体" w:cs="宋体"/>
                <w:color w:val="auto"/>
                <w:kern w:val="0"/>
                <w:sz w:val="18"/>
                <w:szCs w:val="18"/>
                <w:highlight w:val="none"/>
              </w:rPr>
              <w:t>公开</w:t>
            </w:r>
            <w:r>
              <w:rPr>
                <w:rFonts w:ascii="宋体" w:hAnsi="宋体" w:cs="宋体"/>
                <w:color w:val="auto"/>
                <w:kern w:val="0"/>
                <w:sz w:val="18"/>
                <w:szCs w:val="18"/>
                <w:highlight w:val="none"/>
              </w:rPr>
              <w:t>06</w:t>
            </w:r>
            <w:r>
              <w:rPr>
                <w:rFonts w:hint="eastAsia" w:ascii="宋体" w:hAnsi="宋体" w:cs="宋体"/>
                <w:color w:val="auto"/>
                <w:kern w:val="0"/>
                <w:sz w:val="18"/>
                <w:szCs w:val="18"/>
                <w:highlight w:val="none"/>
              </w:rPr>
              <w:t>表</w:t>
            </w:r>
          </w:p>
        </w:tc>
      </w:tr>
      <w:tr>
        <w:tblPrEx>
          <w:tblCellMar>
            <w:top w:w="0" w:type="dxa"/>
            <w:left w:w="108" w:type="dxa"/>
            <w:bottom w:w="0" w:type="dxa"/>
            <w:right w:w="108" w:type="dxa"/>
          </w:tblCellMar>
        </w:tblPrEx>
        <w:trPr>
          <w:trHeight w:val="255" w:hRule="atLeast"/>
        </w:trPr>
        <w:tc>
          <w:tcPr>
            <w:tcW w:w="2216" w:type="dxa"/>
            <w:gridSpan w:val="2"/>
            <w:tcBorders>
              <w:top w:val="nil"/>
              <w:left w:val="nil"/>
              <w:bottom w:val="nil"/>
              <w:right w:val="nil"/>
            </w:tcBorders>
            <w:noWrap/>
            <w:vAlign w:val="bottom"/>
          </w:tcPr>
          <w:p>
            <w:pPr>
              <w:widowControl/>
              <w:jc w:val="left"/>
              <w:textAlignment w:val="bottom"/>
              <w:rPr>
                <w:rFonts w:asci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：许昌市第二中学</w:t>
            </w:r>
          </w:p>
        </w:tc>
        <w:tc>
          <w:tcPr>
            <w:tcW w:w="3516" w:type="dxa"/>
            <w:gridSpan w:val="3"/>
            <w:tcBorders>
              <w:top w:val="nil"/>
              <w:left w:val="nil"/>
              <w:bottom w:val="nil"/>
              <w:right w:val="nil"/>
            </w:tcBorders>
            <w:noWrap/>
            <w:vAlign w:val="bottom"/>
          </w:tcPr>
          <w:p>
            <w:pPr>
              <w:rPr>
                <w:rFonts w:ascii="Arial" w:hAnsi="Arial" w:cs="Arial"/>
                <w:color w:val="auto"/>
                <w:sz w:val="20"/>
                <w:szCs w:val="20"/>
                <w:highlight w:val="none"/>
              </w:rPr>
            </w:pPr>
          </w:p>
        </w:tc>
        <w:tc>
          <w:tcPr>
            <w:tcW w:w="236" w:type="dxa"/>
            <w:gridSpan w:val="2"/>
            <w:tcBorders>
              <w:top w:val="nil"/>
              <w:left w:val="nil"/>
              <w:bottom w:val="nil"/>
              <w:right w:val="nil"/>
            </w:tcBorders>
            <w:noWrap/>
            <w:vAlign w:val="bottom"/>
          </w:tcPr>
          <w:p>
            <w:pPr>
              <w:rPr>
                <w:rFonts w:ascii="Arial" w:hAnsi="Arial" w:cs="Arial"/>
                <w:color w:val="auto"/>
                <w:sz w:val="20"/>
                <w:szCs w:val="20"/>
                <w:highlight w:val="none"/>
              </w:rPr>
            </w:pPr>
          </w:p>
        </w:tc>
        <w:tc>
          <w:tcPr>
            <w:tcW w:w="1326" w:type="dxa"/>
            <w:tcBorders>
              <w:top w:val="nil"/>
              <w:left w:val="nil"/>
              <w:bottom w:val="nil"/>
              <w:right w:val="nil"/>
            </w:tcBorders>
            <w:noWrap/>
            <w:vAlign w:val="bottom"/>
          </w:tcPr>
          <w:p>
            <w:pPr>
              <w:rPr>
                <w:rFonts w:ascii="Arial" w:hAnsi="Arial" w:cs="Arial"/>
                <w:color w:val="auto"/>
                <w:sz w:val="20"/>
                <w:szCs w:val="20"/>
                <w:highlight w:val="none"/>
              </w:rPr>
            </w:pPr>
          </w:p>
        </w:tc>
        <w:tc>
          <w:tcPr>
            <w:tcW w:w="2681" w:type="dxa"/>
            <w:gridSpan w:val="3"/>
            <w:tcBorders>
              <w:top w:val="nil"/>
              <w:left w:val="nil"/>
              <w:bottom w:val="nil"/>
              <w:right w:val="nil"/>
            </w:tcBorders>
            <w:noWrap/>
            <w:vAlign w:val="bottom"/>
          </w:tcPr>
          <w:p>
            <w:pPr>
              <w:rPr>
                <w:rFonts w:ascii="Arial" w:hAnsi="Arial" w:cs="Arial"/>
                <w:color w:val="auto"/>
                <w:sz w:val="20"/>
                <w:szCs w:val="20"/>
                <w:highlight w:val="none"/>
              </w:rPr>
            </w:pPr>
          </w:p>
        </w:tc>
        <w:tc>
          <w:tcPr>
            <w:tcW w:w="885" w:type="dxa"/>
            <w:gridSpan w:val="2"/>
            <w:tcBorders>
              <w:top w:val="nil"/>
              <w:left w:val="nil"/>
              <w:bottom w:val="nil"/>
              <w:right w:val="nil"/>
            </w:tcBorders>
            <w:noWrap/>
            <w:vAlign w:val="bottom"/>
          </w:tcPr>
          <w:p>
            <w:pPr>
              <w:rPr>
                <w:rFonts w:ascii="Arial" w:hAnsi="Arial" w:cs="Arial"/>
                <w:color w:val="auto"/>
                <w:sz w:val="20"/>
                <w:szCs w:val="20"/>
                <w:highlight w:val="none"/>
              </w:rPr>
            </w:pPr>
          </w:p>
        </w:tc>
        <w:tc>
          <w:tcPr>
            <w:tcW w:w="766" w:type="dxa"/>
            <w:tcBorders>
              <w:top w:val="nil"/>
              <w:left w:val="nil"/>
              <w:bottom w:val="nil"/>
              <w:right w:val="nil"/>
            </w:tcBorders>
            <w:noWrap/>
            <w:vAlign w:val="bottom"/>
          </w:tcPr>
          <w:p>
            <w:pPr>
              <w:rPr>
                <w:rFonts w:ascii="Arial" w:hAnsi="Arial" w:cs="Arial"/>
                <w:color w:val="auto"/>
                <w:sz w:val="20"/>
                <w:szCs w:val="20"/>
                <w:highlight w:val="none"/>
              </w:rPr>
            </w:pPr>
          </w:p>
        </w:tc>
        <w:tc>
          <w:tcPr>
            <w:tcW w:w="1802" w:type="dxa"/>
            <w:gridSpan w:val="2"/>
            <w:tcBorders>
              <w:top w:val="nil"/>
              <w:left w:val="nil"/>
              <w:bottom w:val="nil"/>
              <w:right w:val="nil"/>
            </w:tcBorders>
            <w:noWrap/>
            <w:vAlign w:val="bottom"/>
          </w:tcPr>
          <w:p>
            <w:pPr>
              <w:rPr>
                <w:rFonts w:ascii="Arial" w:hAnsi="Arial" w:cs="Arial"/>
                <w:color w:val="auto"/>
                <w:sz w:val="20"/>
                <w:szCs w:val="20"/>
                <w:highlight w:val="none"/>
              </w:rPr>
            </w:pPr>
          </w:p>
        </w:tc>
        <w:tc>
          <w:tcPr>
            <w:tcW w:w="1800" w:type="dxa"/>
            <w:tcBorders>
              <w:top w:val="nil"/>
              <w:left w:val="nil"/>
              <w:bottom w:val="nil"/>
              <w:right w:val="nil"/>
            </w:tcBorders>
            <w:noWrap/>
            <w:vAlign w:val="bottom"/>
          </w:tcPr>
          <w:p>
            <w:pPr>
              <w:widowControl/>
              <w:jc w:val="right"/>
              <w:textAlignment w:val="bottom"/>
              <w:rPr>
                <w:rFonts w:ascii="宋体" w:cs="宋体"/>
                <w:color w:val="auto"/>
                <w:sz w:val="18"/>
                <w:szCs w:val="18"/>
                <w:highlight w:val="none"/>
              </w:rPr>
            </w:pPr>
            <w:r>
              <w:rPr>
                <w:rFonts w:hint="eastAsia" w:ascii="宋体" w:hAnsi="宋体" w:cs="宋体"/>
                <w:color w:val="auto"/>
                <w:kern w:val="0"/>
                <w:sz w:val="18"/>
                <w:szCs w:val="18"/>
                <w:highlight w:val="none"/>
              </w:rPr>
              <w:t>金额单位：万元</w:t>
            </w:r>
          </w:p>
        </w:tc>
      </w:tr>
      <w:tr>
        <w:tblPrEx>
          <w:tblCellMar>
            <w:top w:w="0" w:type="dxa"/>
            <w:left w:w="108" w:type="dxa"/>
            <w:bottom w:w="0" w:type="dxa"/>
            <w:right w:w="108" w:type="dxa"/>
          </w:tblCellMar>
        </w:tblPrEx>
        <w:trPr>
          <w:trHeight w:val="270" w:hRule="atLeast"/>
        </w:trPr>
        <w:tc>
          <w:tcPr>
            <w:tcW w:w="4875"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人员经费</w:t>
            </w:r>
          </w:p>
        </w:tc>
        <w:tc>
          <w:tcPr>
            <w:tcW w:w="10353" w:type="dxa"/>
            <w:gridSpan w:val="1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公用经费</w:t>
            </w:r>
          </w:p>
        </w:tc>
      </w:tr>
      <w:tr>
        <w:tblPrEx>
          <w:tblCellMar>
            <w:top w:w="0" w:type="dxa"/>
            <w:left w:w="108" w:type="dxa"/>
            <w:bottom w:w="0" w:type="dxa"/>
            <w:right w:w="108" w:type="dxa"/>
          </w:tblCellMar>
        </w:tblPrEx>
        <w:trPr>
          <w:trHeight w:val="312" w:hRule="atLeast"/>
        </w:trPr>
        <w:tc>
          <w:tcPr>
            <w:tcW w:w="915"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科目编码</w:t>
            </w:r>
          </w:p>
        </w:tc>
        <w:tc>
          <w:tcPr>
            <w:tcW w:w="2700"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科目名称</w:t>
            </w:r>
          </w:p>
        </w:tc>
        <w:tc>
          <w:tcPr>
            <w:tcW w:w="12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决算数</w:t>
            </w:r>
          </w:p>
        </w:tc>
        <w:tc>
          <w:tcPr>
            <w:tcW w:w="1080"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科目编码</w:t>
            </w:r>
          </w:p>
        </w:tc>
        <w:tc>
          <w:tcPr>
            <w:tcW w:w="2160" w:type="dxa"/>
            <w:gridSpan w:val="3"/>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科目名称</w:t>
            </w:r>
          </w:p>
        </w:tc>
        <w:tc>
          <w:tcPr>
            <w:tcW w:w="126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决算数</w:t>
            </w:r>
          </w:p>
        </w:tc>
        <w:tc>
          <w:tcPr>
            <w:tcW w:w="1080"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科目编码</w:t>
            </w:r>
          </w:p>
        </w:tc>
        <w:tc>
          <w:tcPr>
            <w:tcW w:w="1980" w:type="dxa"/>
            <w:gridSpan w:val="3"/>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科目名称</w:t>
            </w:r>
          </w:p>
        </w:tc>
        <w:tc>
          <w:tcPr>
            <w:tcW w:w="2793"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决算数</w:t>
            </w:r>
          </w:p>
        </w:tc>
      </w:tr>
      <w:tr>
        <w:tblPrEx>
          <w:tblCellMar>
            <w:top w:w="0" w:type="dxa"/>
            <w:left w:w="108" w:type="dxa"/>
            <w:bottom w:w="0" w:type="dxa"/>
            <w:right w:w="108" w:type="dxa"/>
          </w:tblCellMar>
        </w:tblPrEx>
        <w:trPr>
          <w:trHeight w:val="312" w:hRule="atLeast"/>
        </w:trPr>
        <w:tc>
          <w:tcPr>
            <w:tcW w:w="915"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auto"/>
                <w:sz w:val="22"/>
                <w:highlight w:val="none"/>
              </w:rPr>
            </w:pPr>
          </w:p>
        </w:tc>
        <w:tc>
          <w:tcPr>
            <w:tcW w:w="2700" w:type="dxa"/>
            <w:gridSpan w:val="2"/>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26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080" w:type="dxa"/>
            <w:gridSpan w:val="2"/>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2160" w:type="dxa"/>
            <w:gridSpan w:val="3"/>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26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080" w:type="dxa"/>
            <w:gridSpan w:val="2"/>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980" w:type="dxa"/>
            <w:gridSpan w:val="3"/>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2793" w:type="dxa"/>
            <w:gridSpan w:val="2"/>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301</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工资福利支出</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2,802.02</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商品和服务支出</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249.30</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307</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债务利息及费用支出</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30101</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基本工资</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824.00</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30201</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办公费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41.35</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30701</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国内债务付息</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30102</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津贴补贴</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976.37</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30202</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印刷费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30702</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国外债务付息</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30103</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奖金</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150.45</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30203</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咨询费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资本性支出</w:t>
            </w:r>
          </w:p>
        </w:tc>
        <w:tc>
          <w:tcPr>
            <w:tcW w:w="279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4.46</w:t>
            </w: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30106</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伙食补助费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30204</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手续费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31001</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房屋建筑物购建</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30107</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绩效工资</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400.90</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30205</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水费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4.83</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31002</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办公设备购置</w:t>
            </w:r>
          </w:p>
        </w:tc>
        <w:tc>
          <w:tcPr>
            <w:tcW w:w="279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4.46</w:t>
            </w: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30108</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机关事业单位基本养老保险缴费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188.17</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30206</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电费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20.61</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31003</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专用设备购置</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30109</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职业年金缴费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30207</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邮电费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0.86</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31005</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基础设施建设</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30110</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职工基本医疗保险缴费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88.83</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30208</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取暖费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31006</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大型修缮</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54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30111</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公务员医疗补助缴费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30209</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物业管理费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2.37</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31007</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信息网络及软件购置更新</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30112</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其他社会保障缴费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6.64</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30211</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差旅费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2.60</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31008</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物资储备</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30113</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住房公积金</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166.65</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30212</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因公出国（境）费用</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31009</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土地补偿</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30114</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医疗费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30213</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维修（护）费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40.25</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31010</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安置补助</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54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30199</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其他工资福利支出</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30214</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租赁费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31011</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地上附着物和青苗补偿</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303</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对个人和家庭的补助</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290.71</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30215</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会议费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31012</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拆迁补偿</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30301</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离休费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10.95</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30216</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培训费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8.30</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31013</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公务用车购置</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30302</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退休费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250.10</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30217</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公务接待费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31019</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其他交通工具购置</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30303</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退职（役）费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30218</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专用材料费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1.68</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31021</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文物和陈列品购置</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30304</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抚恤金</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22.15</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30224</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被装购置费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31022</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无形资产购置</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30305</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生活补助</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5.89</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30225</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专用燃料费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31099</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其他资本性支出</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30306</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救济费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30226</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劳务费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66.23</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399</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其他支出</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30307</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医疗费补助</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1.62</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30227</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委托业务费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39906</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赠与</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30308</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助学金</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30228</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工会经费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15.93</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39907</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国家赔偿费用支出</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54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30309</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奖励金</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30229</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福利费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21.77</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39908</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对民间非营利组织和群众性自治组织补贴</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30310</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个人农业生产补贴</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30231</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公务用车运行维护费</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1.47</w:t>
            </w: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39999</w:t>
            </w:r>
          </w:p>
        </w:tc>
        <w:tc>
          <w:tcPr>
            <w:tcW w:w="198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其他支出</w:t>
            </w: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30311</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代缴社会保险费</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30239</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其他交通费用</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0.16</w:t>
            </w:r>
          </w:p>
        </w:tc>
        <w:tc>
          <w:tcPr>
            <w:tcW w:w="1080" w:type="dxa"/>
            <w:gridSpan w:val="2"/>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1980" w:type="dxa"/>
            <w:gridSpan w:val="3"/>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30399</w:t>
            </w:r>
          </w:p>
        </w:tc>
        <w:tc>
          <w:tcPr>
            <w:tcW w:w="270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其他对个人和家庭的补助</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30240</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税金及附加费用</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20.89</w:t>
            </w:r>
          </w:p>
        </w:tc>
        <w:tc>
          <w:tcPr>
            <w:tcW w:w="1080" w:type="dxa"/>
            <w:gridSpan w:val="2"/>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1980" w:type="dxa"/>
            <w:gridSpan w:val="3"/>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915" w:type="dxa"/>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2700" w:type="dxa"/>
            <w:gridSpan w:val="2"/>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30299</w:t>
            </w:r>
          </w:p>
        </w:tc>
        <w:tc>
          <w:tcPr>
            <w:tcW w:w="2160" w:type="dxa"/>
            <w:gridSpan w:val="3"/>
            <w:tcBorders>
              <w:top w:val="nil"/>
              <w:left w:val="nil"/>
              <w:bottom w:val="single" w:color="000000" w:sz="4" w:space="0"/>
              <w:right w:val="single" w:color="000000" w:sz="4" w:space="0"/>
            </w:tcBorders>
            <w:noWrap/>
            <w:vAlign w:val="center"/>
          </w:tcPr>
          <w:p>
            <w:pPr>
              <w:widowControl/>
              <w:jc w:val="left"/>
              <w:textAlignment w:val="center"/>
              <w:rPr>
                <w:rFonts w:ascii="宋体" w:cs="宋体"/>
                <w:color w:val="auto"/>
                <w:sz w:val="22"/>
                <w:highlight w:val="none"/>
              </w:rPr>
            </w:pPr>
            <w:r>
              <w:rPr>
                <w:rFonts w:ascii="宋体" w:hAnsi="宋体" w:cs="宋体"/>
                <w:color w:val="auto"/>
                <w:kern w:val="0"/>
                <w:sz w:val="22"/>
                <w:highlight w:val="none"/>
              </w:rPr>
              <w:t xml:space="preserve">  </w:t>
            </w:r>
            <w:r>
              <w:rPr>
                <w:rFonts w:hint="eastAsia" w:ascii="宋体" w:hAnsi="宋体" w:cs="宋体"/>
                <w:color w:val="auto"/>
                <w:kern w:val="0"/>
                <w:sz w:val="22"/>
                <w:highlight w:val="none"/>
              </w:rPr>
              <w:t>其他商品和服务支出</w:t>
            </w:r>
          </w:p>
        </w:tc>
        <w:tc>
          <w:tcPr>
            <w:tcW w:w="1260" w:type="dxa"/>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1080" w:type="dxa"/>
            <w:gridSpan w:val="2"/>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1980" w:type="dxa"/>
            <w:gridSpan w:val="3"/>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2793" w:type="dxa"/>
            <w:gridSpan w:val="2"/>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270" w:hRule="atLeast"/>
        </w:trPr>
        <w:tc>
          <w:tcPr>
            <w:tcW w:w="3615" w:type="dxa"/>
            <w:gridSpan w:val="3"/>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人员经费合计</w:t>
            </w:r>
          </w:p>
        </w:tc>
        <w:tc>
          <w:tcPr>
            <w:tcW w:w="1260" w:type="dxa"/>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3,092.73</w:t>
            </w:r>
          </w:p>
        </w:tc>
        <w:tc>
          <w:tcPr>
            <w:tcW w:w="7560" w:type="dxa"/>
            <w:gridSpan w:val="11"/>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公用经费合计</w:t>
            </w:r>
          </w:p>
        </w:tc>
        <w:tc>
          <w:tcPr>
            <w:tcW w:w="2793"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253.77</w:t>
            </w:r>
          </w:p>
        </w:tc>
      </w:tr>
      <w:tr>
        <w:tblPrEx>
          <w:tblCellMar>
            <w:top w:w="0" w:type="dxa"/>
            <w:left w:w="108" w:type="dxa"/>
            <w:bottom w:w="0" w:type="dxa"/>
            <w:right w:w="108" w:type="dxa"/>
          </w:tblCellMar>
        </w:tblPrEx>
        <w:trPr>
          <w:trHeight w:val="270" w:hRule="atLeast"/>
        </w:trPr>
        <w:tc>
          <w:tcPr>
            <w:tcW w:w="15228" w:type="dxa"/>
            <w:gridSpan w:val="17"/>
            <w:tcBorders>
              <w:top w:val="nil"/>
              <w:left w:val="nil"/>
              <w:bottom w:val="nil"/>
              <w:right w:val="nil"/>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eastAsia="zh-CN"/>
              </w:rPr>
              <w:t>单位</w:t>
            </w:r>
            <w:r>
              <w:rPr>
                <w:rFonts w:hint="eastAsia" w:ascii="宋体" w:hAnsi="宋体" w:cs="宋体"/>
                <w:color w:val="auto"/>
                <w:kern w:val="0"/>
                <w:sz w:val="22"/>
                <w:highlight w:val="none"/>
              </w:rPr>
              <w:t>本年度一般公共预算财政拨款基本支出明细情况。本表金额转换为万元时，因四舍五入可能存在尾差。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95" w:type="dxa"/>
        <w:tblInd w:w="93" w:type="dxa"/>
        <w:tblLayout w:type="autofit"/>
        <w:tblCellMar>
          <w:top w:w="0" w:type="dxa"/>
          <w:left w:w="108" w:type="dxa"/>
          <w:bottom w:w="0" w:type="dxa"/>
          <w:right w:w="108" w:type="dxa"/>
        </w:tblCellMar>
      </w:tblPr>
      <w:tblGrid>
        <w:gridCol w:w="2105"/>
        <w:gridCol w:w="1344"/>
        <w:gridCol w:w="632"/>
        <w:gridCol w:w="1217"/>
        <w:gridCol w:w="1344"/>
        <w:gridCol w:w="1344"/>
        <w:gridCol w:w="632"/>
        <w:gridCol w:w="961"/>
        <w:gridCol w:w="632"/>
        <w:gridCol w:w="1047"/>
        <w:gridCol w:w="1103"/>
        <w:gridCol w:w="1539"/>
      </w:tblGrid>
      <w:tr>
        <w:tblPrEx>
          <w:tblCellMar>
            <w:top w:w="0" w:type="dxa"/>
            <w:left w:w="108" w:type="dxa"/>
            <w:bottom w:w="0" w:type="dxa"/>
            <w:right w:w="108" w:type="dxa"/>
          </w:tblCellMar>
        </w:tblPrEx>
        <w:trPr>
          <w:trHeight w:val="540" w:hRule="atLeast"/>
        </w:trPr>
        <w:tc>
          <w:tcPr>
            <w:tcW w:w="13395" w:type="dxa"/>
            <w:gridSpan w:val="12"/>
            <w:tcBorders>
              <w:top w:val="nil"/>
              <w:left w:val="nil"/>
              <w:bottom w:val="nil"/>
              <w:right w:val="nil"/>
            </w:tcBorders>
            <w:noWrap/>
            <w:vAlign w:val="bottom"/>
          </w:tcPr>
          <w:p>
            <w:pPr>
              <w:widowControl/>
              <w:jc w:val="center"/>
              <w:textAlignment w:val="bottom"/>
              <w:rPr>
                <w:rFonts w:ascii="宋体" w:cs="宋体"/>
                <w:color w:val="auto"/>
                <w:sz w:val="44"/>
                <w:szCs w:val="44"/>
                <w:highlight w:val="none"/>
              </w:rPr>
            </w:pPr>
            <w:r>
              <w:rPr>
                <w:rFonts w:hint="eastAsia" w:ascii="宋体" w:hAnsi="宋体" w:cs="宋体"/>
                <w:color w:val="auto"/>
                <w:kern w:val="0"/>
                <w:sz w:val="44"/>
                <w:szCs w:val="44"/>
                <w:highlight w:val="none"/>
              </w:rPr>
              <w:t>一般公共预算财政拨款“三公”经费支出决算表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widowControl/>
              <w:jc w:val="right"/>
              <w:textAlignment w:val="bottom"/>
              <w:rPr>
                <w:rFonts w:ascii="宋体" w:cs="宋体"/>
                <w:color w:val="auto"/>
                <w:sz w:val="20"/>
                <w:szCs w:val="20"/>
                <w:highlight w:val="none"/>
              </w:rPr>
            </w:pPr>
            <w:r>
              <w:rPr>
                <w:rFonts w:hint="eastAsia" w:ascii="宋体" w:hAnsi="宋体" w:cs="宋体"/>
                <w:color w:val="auto"/>
                <w:kern w:val="0"/>
                <w:sz w:val="20"/>
                <w:szCs w:val="20"/>
                <w:highlight w:val="none"/>
              </w:rPr>
              <w:t>公开</w:t>
            </w:r>
            <w:r>
              <w:rPr>
                <w:rFonts w:ascii="宋体" w:hAnsi="宋体" w:cs="宋体"/>
                <w:color w:val="auto"/>
                <w:kern w:val="0"/>
                <w:sz w:val="20"/>
                <w:szCs w:val="20"/>
                <w:highlight w:val="none"/>
              </w:rPr>
              <w:t>07</w:t>
            </w:r>
            <w:r>
              <w:rPr>
                <w:rFonts w:hint="eastAsia" w:ascii="宋体" w:hAnsi="宋体" w:cs="宋体"/>
                <w:color w:val="auto"/>
                <w:kern w:val="0"/>
                <w:sz w:val="20"/>
                <w:szCs w:val="20"/>
                <w:highlight w:val="none"/>
              </w:rPr>
              <w:t>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：许昌市第二中学</w:t>
            </w: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widowControl/>
              <w:jc w:val="right"/>
              <w:textAlignment w:val="bottom"/>
              <w:rPr>
                <w:rFonts w:asci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756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预算数</w:t>
            </w:r>
          </w:p>
        </w:tc>
        <w:tc>
          <w:tcPr>
            <w:tcW w:w="5835"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决算数</w:t>
            </w:r>
          </w:p>
        </w:tc>
      </w:tr>
      <w:tr>
        <w:tblPrEx>
          <w:tblCellMar>
            <w:top w:w="0" w:type="dxa"/>
            <w:left w:w="108" w:type="dxa"/>
            <w:bottom w:w="0" w:type="dxa"/>
            <w:right w:w="108"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合计</w:t>
            </w:r>
          </w:p>
        </w:tc>
        <w:tc>
          <w:tcPr>
            <w:tcW w:w="141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因公出国（境）费</w:t>
            </w:r>
          </w:p>
        </w:tc>
        <w:tc>
          <w:tcPr>
            <w:tcW w:w="3330"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公务用车购置及运行费</w:t>
            </w:r>
          </w:p>
        </w:tc>
        <w:tc>
          <w:tcPr>
            <w:tcW w:w="141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公务接待费</w:t>
            </w:r>
          </w:p>
        </w:tc>
        <w:tc>
          <w:tcPr>
            <w:tcW w:w="64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合计</w:t>
            </w:r>
          </w:p>
        </w:tc>
        <w:tc>
          <w:tcPr>
            <w:tcW w:w="100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因公出国（境）费</w:t>
            </w:r>
          </w:p>
        </w:tc>
        <w:tc>
          <w:tcPr>
            <w:tcW w:w="2895"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公务用车购置及运行费</w:t>
            </w:r>
          </w:p>
        </w:tc>
        <w:tc>
          <w:tcPr>
            <w:tcW w:w="129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公务接待费</w:t>
            </w:r>
          </w:p>
        </w:tc>
      </w:tr>
      <w:tr>
        <w:tblPrEx>
          <w:tblCellMar>
            <w:top w:w="0" w:type="dxa"/>
            <w:left w:w="108" w:type="dxa"/>
            <w:bottom w:w="0" w:type="dxa"/>
            <w:right w:w="108" w:type="dxa"/>
          </w:tblCellMar>
        </w:tblPrEx>
        <w:trPr>
          <w:trHeight w:val="615" w:hRule="atLeast"/>
        </w:trPr>
        <w:tc>
          <w:tcPr>
            <w:tcW w:w="1410"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auto"/>
                <w:sz w:val="22"/>
                <w:highlight w:val="none"/>
              </w:rPr>
            </w:pPr>
          </w:p>
        </w:tc>
        <w:tc>
          <w:tcPr>
            <w:tcW w:w="141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小计</w:t>
            </w:r>
          </w:p>
        </w:tc>
        <w:tc>
          <w:tcPr>
            <w:tcW w:w="127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公务用车购置费</w:t>
            </w:r>
          </w:p>
        </w:tc>
        <w:tc>
          <w:tcPr>
            <w:tcW w:w="141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公务用车运行费</w:t>
            </w:r>
          </w:p>
        </w:tc>
        <w:tc>
          <w:tcPr>
            <w:tcW w:w="141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645"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005"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小计</w:t>
            </w:r>
          </w:p>
        </w:tc>
        <w:tc>
          <w:tcPr>
            <w:tcW w:w="109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公务用车购置费</w:t>
            </w:r>
          </w:p>
        </w:tc>
        <w:tc>
          <w:tcPr>
            <w:tcW w:w="115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公务用车运行费</w:t>
            </w:r>
          </w:p>
        </w:tc>
        <w:tc>
          <w:tcPr>
            <w:tcW w:w="129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1410"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w:t>
            </w:r>
          </w:p>
        </w:tc>
        <w:tc>
          <w:tcPr>
            <w:tcW w:w="141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w:t>
            </w:r>
          </w:p>
        </w:tc>
        <w:tc>
          <w:tcPr>
            <w:tcW w:w="127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w:t>
            </w:r>
          </w:p>
        </w:tc>
        <w:tc>
          <w:tcPr>
            <w:tcW w:w="141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w:t>
            </w:r>
          </w:p>
        </w:tc>
        <w:tc>
          <w:tcPr>
            <w:tcW w:w="141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6</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7</w:t>
            </w:r>
          </w:p>
        </w:tc>
        <w:tc>
          <w:tcPr>
            <w:tcW w:w="100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8</w:t>
            </w:r>
          </w:p>
        </w:tc>
        <w:tc>
          <w:tcPr>
            <w:tcW w:w="64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9</w:t>
            </w:r>
          </w:p>
        </w:tc>
        <w:tc>
          <w:tcPr>
            <w:tcW w:w="109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10</w:t>
            </w:r>
          </w:p>
        </w:tc>
        <w:tc>
          <w:tcPr>
            <w:tcW w:w="1155"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11</w:t>
            </w:r>
          </w:p>
        </w:tc>
        <w:tc>
          <w:tcPr>
            <w:tcW w:w="1290" w:type="dxa"/>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8.47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1.47</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7.00</w:t>
            </w: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widowControl/>
              <w:jc w:val="right"/>
              <w:textAlignment w:val="center"/>
              <w:rPr>
                <w:rFonts w:ascii="宋体" w:cs="宋体"/>
                <w:color w:val="auto"/>
                <w:sz w:val="22"/>
                <w:highlight w:val="none"/>
              </w:rPr>
            </w:pPr>
            <w:r>
              <w:rPr>
                <w:rFonts w:ascii="宋体" w:hAnsi="宋体" w:cs="宋体"/>
                <w:color w:val="auto"/>
                <w:kern w:val="0"/>
                <w:sz w:val="22"/>
                <w:highlight w:val="none"/>
              </w:rPr>
              <w:t>1.47</w:t>
            </w: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615" w:hRule="atLeast"/>
        </w:trPr>
        <w:tc>
          <w:tcPr>
            <w:tcW w:w="13395" w:type="dxa"/>
            <w:gridSpan w:val="12"/>
            <w:tcBorders>
              <w:top w:val="nil"/>
              <w:left w:val="nil"/>
              <w:bottom w:val="nil"/>
              <w:right w:val="nil"/>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eastAsia="zh-CN"/>
              </w:rPr>
              <w:t>单位</w:t>
            </w:r>
            <w:r>
              <w:rPr>
                <w:rFonts w:hint="eastAsia" w:ascii="宋体" w:hAnsi="宋体" w:cs="宋体"/>
                <w:color w:val="auto"/>
                <w:kern w:val="0"/>
                <w:sz w:val="22"/>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590" w:type="dxa"/>
        <w:tblInd w:w="93" w:type="dxa"/>
        <w:tblLayout w:type="autofit"/>
        <w:tblCellMar>
          <w:top w:w="0" w:type="dxa"/>
          <w:left w:w="108" w:type="dxa"/>
          <w:bottom w:w="0" w:type="dxa"/>
          <w:right w:w="108" w:type="dxa"/>
        </w:tblCellMar>
      </w:tblPr>
      <w:tblGrid>
        <w:gridCol w:w="2424"/>
        <w:gridCol w:w="243"/>
        <w:gridCol w:w="243"/>
        <w:gridCol w:w="1199"/>
        <w:gridCol w:w="1837"/>
        <w:gridCol w:w="1837"/>
        <w:gridCol w:w="1837"/>
        <w:gridCol w:w="1066"/>
        <w:gridCol w:w="1066"/>
        <w:gridCol w:w="1838"/>
      </w:tblGrid>
      <w:tr>
        <w:tblPrEx>
          <w:tblCellMar>
            <w:top w:w="0" w:type="dxa"/>
            <w:left w:w="108" w:type="dxa"/>
            <w:bottom w:w="0" w:type="dxa"/>
            <w:right w:w="108" w:type="dxa"/>
          </w:tblCellMar>
        </w:tblPrEx>
        <w:trPr>
          <w:trHeight w:val="390" w:hRule="atLeast"/>
        </w:trPr>
        <w:tc>
          <w:tcPr>
            <w:tcW w:w="13590" w:type="dxa"/>
            <w:gridSpan w:val="10"/>
            <w:tcBorders>
              <w:top w:val="nil"/>
              <w:left w:val="nil"/>
              <w:bottom w:val="nil"/>
              <w:right w:val="nil"/>
            </w:tcBorders>
            <w:noWrap/>
            <w:vAlign w:val="bottom"/>
          </w:tcPr>
          <w:p>
            <w:pPr>
              <w:widowControl/>
              <w:jc w:val="center"/>
              <w:textAlignment w:val="bottom"/>
              <w:rPr>
                <w:rFonts w:ascii="宋体" w:cs="宋体"/>
                <w:color w:val="auto"/>
                <w:sz w:val="30"/>
                <w:szCs w:val="30"/>
                <w:highlight w:val="none"/>
              </w:rPr>
            </w:pPr>
            <w:r>
              <w:rPr>
                <w:rFonts w:hint="eastAsia" w:ascii="宋体" w:hAnsi="宋体" w:cs="宋体"/>
                <w:color w:val="auto"/>
                <w:kern w:val="0"/>
                <w:sz w:val="30"/>
                <w:szCs w:val="30"/>
                <w:highlight w:val="none"/>
              </w:rPr>
              <w:t>政府性基金预算财政拨款收入支出决算表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widowControl/>
              <w:jc w:val="right"/>
              <w:textAlignment w:val="bottom"/>
              <w:rPr>
                <w:rFonts w:ascii="宋体" w:cs="宋体"/>
                <w:color w:val="auto"/>
                <w:sz w:val="20"/>
                <w:szCs w:val="20"/>
                <w:highlight w:val="none"/>
              </w:rPr>
            </w:pPr>
            <w:r>
              <w:rPr>
                <w:rFonts w:hint="eastAsia" w:ascii="宋体" w:hAnsi="宋体" w:cs="宋体"/>
                <w:color w:val="auto"/>
                <w:kern w:val="0"/>
                <w:sz w:val="20"/>
                <w:szCs w:val="20"/>
                <w:highlight w:val="none"/>
              </w:rPr>
              <w:t>公开</w:t>
            </w:r>
            <w:r>
              <w:rPr>
                <w:rFonts w:ascii="宋体" w:hAnsi="宋体" w:cs="宋体"/>
                <w:color w:val="auto"/>
                <w:kern w:val="0"/>
                <w:sz w:val="20"/>
                <w:szCs w:val="20"/>
                <w:highlight w:val="none"/>
              </w:rPr>
              <w:t>08</w:t>
            </w:r>
            <w:r>
              <w:rPr>
                <w:rFonts w:hint="eastAsia" w:ascii="宋体" w:hAnsi="宋体" w:cs="宋体"/>
                <w:color w:val="auto"/>
                <w:kern w:val="0"/>
                <w:sz w:val="20"/>
                <w:szCs w:val="20"/>
                <w:highlight w:val="none"/>
              </w:rPr>
              <w:t>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ascii="宋体" w:cs="宋体"/>
                <w:color w:val="auto"/>
                <w:sz w:val="20"/>
                <w:szCs w:val="20"/>
                <w:highlight w:val="none"/>
              </w:rPr>
            </w:pPr>
            <w:r>
              <w:rPr>
                <w:rFonts w:hint="eastAsia" w:ascii="宋体" w:hAnsi="宋体" w:cs="宋体"/>
                <w:color w:val="auto"/>
                <w:kern w:val="0"/>
                <w:sz w:val="20"/>
                <w:szCs w:val="20"/>
                <w:highlight w:val="none"/>
                <w:lang w:eastAsia="zh-CN"/>
              </w:rPr>
              <w:t>单位</w:t>
            </w:r>
            <w:r>
              <w:rPr>
                <w:rFonts w:hint="eastAsia" w:ascii="宋体" w:hAnsi="宋体" w:cs="宋体"/>
                <w:color w:val="auto"/>
                <w:kern w:val="0"/>
                <w:sz w:val="20"/>
                <w:szCs w:val="20"/>
                <w:highlight w:val="none"/>
              </w:rPr>
              <w:t>：许昌市第二中学</w:t>
            </w: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rPr>
                <w:rFonts w:ascii="Arial" w:hAnsi="Arial" w:cs="Arial"/>
                <w:color w:val="auto"/>
                <w:sz w:val="20"/>
                <w:szCs w:val="20"/>
                <w:highlight w:val="none"/>
              </w:rPr>
            </w:pPr>
          </w:p>
        </w:tc>
        <w:tc>
          <w:tcPr>
            <w:tcW w:w="0" w:type="auto"/>
            <w:tcBorders>
              <w:top w:val="nil"/>
              <w:left w:val="nil"/>
              <w:bottom w:val="nil"/>
              <w:right w:val="nil"/>
            </w:tcBorders>
            <w:noWrap/>
            <w:vAlign w:val="bottom"/>
          </w:tcPr>
          <w:p>
            <w:pPr>
              <w:widowControl/>
              <w:jc w:val="right"/>
              <w:textAlignment w:val="bottom"/>
              <w:rPr>
                <w:rFonts w:ascii="宋体" w:cs="宋体"/>
                <w:color w:val="auto"/>
                <w:sz w:val="20"/>
                <w:szCs w:val="20"/>
                <w:highlight w:val="none"/>
              </w:rPr>
            </w:pPr>
            <w:r>
              <w:rPr>
                <w:rFonts w:hint="eastAsia" w:ascii="宋体" w:hAnsi="宋体" w:cs="宋体"/>
                <w:color w:val="auto"/>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项目</w:t>
            </w:r>
          </w:p>
        </w:tc>
        <w:tc>
          <w:tcPr>
            <w:tcW w:w="16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年初结转和结余</w:t>
            </w:r>
          </w:p>
        </w:tc>
        <w:tc>
          <w:tcPr>
            <w:tcW w:w="16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本年收入</w:t>
            </w:r>
          </w:p>
        </w:tc>
        <w:tc>
          <w:tcPr>
            <w:tcW w:w="3630"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本年支出</w:t>
            </w:r>
          </w:p>
        </w:tc>
        <w:tc>
          <w:tcPr>
            <w:tcW w:w="168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年末结转和结余</w:t>
            </w:r>
          </w:p>
        </w:tc>
      </w:tr>
      <w:tr>
        <w:tblPrEx>
          <w:tblCellMar>
            <w:top w:w="0" w:type="dxa"/>
            <w:left w:w="108" w:type="dxa"/>
            <w:bottom w:w="0" w:type="dxa"/>
            <w:right w:w="108" w:type="dxa"/>
          </w:tblCellMar>
        </w:tblPrEx>
        <w:trPr>
          <w:trHeight w:val="312" w:hRule="atLeast"/>
        </w:trPr>
        <w:tc>
          <w:tcPr>
            <w:tcW w:w="990" w:type="dxa"/>
            <w:gridSpan w:val="3"/>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科目名称</w:t>
            </w: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8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小计</w:t>
            </w:r>
          </w:p>
        </w:tc>
        <w:tc>
          <w:tcPr>
            <w:tcW w:w="97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基本支出</w:t>
            </w:r>
          </w:p>
        </w:tc>
        <w:tc>
          <w:tcPr>
            <w:tcW w:w="97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项目支出</w:t>
            </w: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auto"/>
                <w:sz w:val="22"/>
                <w:highlight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975"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975"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r>
      <w:tr>
        <w:tblPrEx>
          <w:tblCellMar>
            <w:top w:w="0" w:type="dxa"/>
            <w:left w:w="108" w:type="dxa"/>
            <w:bottom w:w="0" w:type="dxa"/>
            <w:right w:w="108" w:type="dxa"/>
          </w:tblCellMar>
        </w:tblPrEx>
        <w:trPr>
          <w:trHeight w:val="312" w:hRule="atLeast"/>
        </w:trPr>
        <w:tc>
          <w:tcPr>
            <w:tcW w:w="990" w:type="dxa"/>
            <w:gridSpan w:val="3"/>
            <w:vMerge w:val="continue"/>
            <w:tcBorders>
              <w:top w:val="nil"/>
              <w:left w:val="single" w:color="000000" w:sz="4" w:space="0"/>
              <w:bottom w:val="single" w:color="000000" w:sz="4" w:space="0"/>
              <w:right w:val="single" w:color="000000" w:sz="4" w:space="0"/>
            </w:tcBorders>
            <w:noWrap/>
            <w:vAlign w:val="center"/>
          </w:tcPr>
          <w:p>
            <w:pPr>
              <w:jc w:val="center"/>
              <w:rPr>
                <w:rFonts w:ascii="宋体" w:cs="宋体"/>
                <w:color w:val="auto"/>
                <w:sz w:val="22"/>
                <w:highlight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80"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975"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975" w:type="dxa"/>
            <w:vMerge w:val="continue"/>
            <w:tcBorders>
              <w:top w:val="nil"/>
              <w:left w:val="nil"/>
              <w:bottom w:val="single" w:color="000000" w:sz="4" w:space="0"/>
              <w:right w:val="single" w:color="000000" w:sz="4" w:space="0"/>
            </w:tcBorders>
            <w:noWrap/>
            <w:vAlign w:val="center"/>
          </w:tcPr>
          <w:p>
            <w:pPr>
              <w:jc w:val="center"/>
              <w:rPr>
                <w:rFonts w:ascii="宋体" w:cs="宋体"/>
                <w:color w:val="auto"/>
                <w:sz w:val="22"/>
                <w:highlight w:val="none"/>
              </w:rPr>
            </w:pPr>
          </w:p>
        </w:tc>
        <w:tc>
          <w:tcPr>
            <w:tcW w:w="168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ascii="宋体" w:hAnsi="宋体" w:cs="宋体"/>
                <w:color w:val="auto"/>
                <w:kern w:val="0"/>
                <w:sz w:val="22"/>
                <w:highlight w:val="none"/>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cs="宋体"/>
                <w:color w:val="auto"/>
                <w:sz w:val="22"/>
                <w:highlight w:val="none"/>
              </w:rPr>
            </w:pPr>
            <w:r>
              <w:rPr>
                <w:rFonts w:hint="eastAsia" w:ascii="宋体" w:hAnsi="宋体" w:cs="宋体"/>
                <w:color w:val="auto"/>
                <w:kern w:val="0"/>
                <w:sz w:val="22"/>
                <w:highlight w:val="none"/>
              </w:rPr>
              <w:t>合计</w:t>
            </w: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b/>
                <w:bCs/>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lef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asci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ascii="宋体" w:cs="宋体"/>
                <w:color w:val="auto"/>
                <w:sz w:val="22"/>
                <w:highlight w:val="none"/>
              </w:rPr>
            </w:pPr>
            <w:r>
              <w:rPr>
                <w:rFonts w:hint="eastAsia" w:ascii="宋体" w:hAnsi="宋体" w:cs="宋体"/>
                <w:color w:val="auto"/>
                <w:kern w:val="0"/>
                <w:sz w:val="22"/>
                <w:highlight w:val="none"/>
              </w:rPr>
              <w:t>注：本表反映</w:t>
            </w:r>
            <w:r>
              <w:rPr>
                <w:rFonts w:hint="eastAsia" w:ascii="宋体" w:hAnsi="宋体" w:cs="宋体"/>
                <w:color w:val="auto"/>
                <w:kern w:val="0"/>
                <w:sz w:val="22"/>
                <w:highlight w:val="none"/>
                <w:lang w:eastAsia="zh-CN"/>
              </w:rPr>
              <w:t>单位</w:t>
            </w:r>
            <w:r>
              <w:rPr>
                <w:rFonts w:hint="eastAsia" w:ascii="宋体" w:hAnsi="宋体" w:cs="宋体"/>
                <w:color w:val="auto"/>
                <w:kern w:val="0"/>
                <w:sz w:val="22"/>
                <w:highlight w:val="none"/>
              </w:rPr>
              <w:t>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auto"/>
          <w:sz w:val="22"/>
          <w:highlight w:val="none"/>
        </w:rPr>
        <w:t>说明：我</w:t>
      </w:r>
      <w:r>
        <w:rPr>
          <w:rFonts w:hint="eastAsia" w:ascii="宋体" w:hAnsi="宋体" w:cs="宋体"/>
          <w:color w:val="auto"/>
          <w:sz w:val="22"/>
          <w:highlight w:val="none"/>
          <w:lang w:eastAsia="zh-CN"/>
        </w:rPr>
        <w:t>单位</w:t>
      </w:r>
      <w:r>
        <w:rPr>
          <w:rFonts w:hint="eastAsia" w:ascii="宋体" w:hAnsi="宋体" w:cs="宋体"/>
          <w:color w:val="auto"/>
          <w:sz w:val="22"/>
          <w:highlight w:val="none"/>
        </w:rPr>
        <w:t>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w:t>
      </w:r>
      <w:r>
        <w:rPr>
          <w:rFonts w:ascii="黑体" w:hAnsi="黑体" w:eastAsia="黑体" w:cs="黑体"/>
          <w:color w:val="auto"/>
          <w:sz w:val="48"/>
          <w:szCs w:val="48"/>
          <w:highlight w:val="none"/>
        </w:rPr>
        <w:t xml:space="preserve"> 2021</w:t>
      </w:r>
      <w:r>
        <w:rPr>
          <w:rFonts w:hint="eastAsia" w:ascii="黑体" w:hAnsi="黑体" w:eastAsia="黑体" w:cs="黑体"/>
          <w:color w:val="auto"/>
          <w:sz w:val="48"/>
          <w:szCs w:val="48"/>
          <w:highlight w:val="none"/>
        </w:rPr>
        <w:t>年度单位决算情况说明</w:t>
      </w:r>
    </w:p>
    <w:p>
      <w:pPr>
        <w:widowControl/>
        <w:jc w:val="left"/>
        <w:rPr>
          <w:rFonts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ascii="仿宋_GB2312" w:hAnsi="仿宋_GB2312" w:eastAsia="仿宋_GB2312" w:cs="仿宋_GB2312"/>
          <w:color w:val="auto"/>
          <w:sz w:val="32"/>
          <w:szCs w:val="32"/>
          <w:highlight w:val="none"/>
        </w:rPr>
        <w:t>4042.54</w:t>
      </w:r>
      <w:r>
        <w:rPr>
          <w:rFonts w:hint="eastAsia" w:ascii="仿宋_GB2312" w:hAnsi="仿宋_GB2312" w:eastAsia="仿宋_GB2312" w:cs="仿宋_GB2312"/>
          <w:color w:val="auto"/>
          <w:sz w:val="32"/>
          <w:szCs w:val="32"/>
          <w:highlight w:val="none"/>
        </w:rPr>
        <w:t>万元。与上年度相比，收、支总计各减少</w:t>
      </w:r>
      <w:r>
        <w:rPr>
          <w:rFonts w:ascii="仿宋_GB2312" w:hAnsi="仿宋_GB2312" w:eastAsia="仿宋_GB2312" w:cs="仿宋_GB2312"/>
          <w:color w:val="auto"/>
          <w:sz w:val="32"/>
          <w:szCs w:val="32"/>
          <w:highlight w:val="none"/>
        </w:rPr>
        <w:t>595.16</w:t>
      </w:r>
      <w:r>
        <w:rPr>
          <w:rFonts w:hint="eastAsia" w:ascii="仿宋_GB2312" w:hAnsi="仿宋_GB2312" w:eastAsia="仿宋_GB2312" w:cs="仿宋_GB2312"/>
          <w:color w:val="auto"/>
          <w:sz w:val="32"/>
          <w:szCs w:val="32"/>
          <w:highlight w:val="none"/>
        </w:rPr>
        <w:t>万元，下降</w:t>
      </w:r>
      <w:r>
        <w:rPr>
          <w:rFonts w:ascii="仿宋_GB2312" w:hAnsi="仿宋_GB2312" w:eastAsia="仿宋_GB2312" w:cs="仿宋_GB2312"/>
          <w:color w:val="auto"/>
          <w:sz w:val="32"/>
          <w:szCs w:val="32"/>
          <w:highlight w:val="none"/>
        </w:rPr>
        <w:t>12.83%</w:t>
      </w:r>
      <w:r>
        <w:rPr>
          <w:rFonts w:hint="eastAsia" w:ascii="仿宋_GB2312" w:hAnsi="仿宋_GB2312" w:eastAsia="仿宋_GB2312" w:cs="仿宋_GB2312"/>
          <w:color w:val="auto"/>
          <w:sz w:val="32"/>
          <w:szCs w:val="32"/>
          <w:highlight w:val="none"/>
        </w:rPr>
        <w:t>。主要原因是</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年拨付有人民路校区维修改建资金。</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ascii="仿宋_GB2312" w:hAnsi="仿宋_GB2312" w:eastAsia="仿宋_GB2312" w:cs="仿宋_GB2312"/>
          <w:color w:val="auto"/>
          <w:sz w:val="32"/>
          <w:szCs w:val="32"/>
          <w:highlight w:val="none"/>
        </w:rPr>
        <w:t>3221.47</w:t>
      </w:r>
      <w:r>
        <w:rPr>
          <w:rFonts w:hint="eastAsia" w:ascii="仿宋_GB2312" w:hAnsi="仿宋_GB2312" w:eastAsia="仿宋_GB2312" w:cs="仿宋_GB2312"/>
          <w:color w:val="auto"/>
          <w:sz w:val="32"/>
          <w:szCs w:val="32"/>
          <w:highlight w:val="none"/>
        </w:rPr>
        <w:t>万元，其中：财政拨款收入</w:t>
      </w:r>
      <w:r>
        <w:rPr>
          <w:rFonts w:ascii="仿宋_GB2312" w:hAnsi="仿宋_GB2312" w:eastAsia="仿宋_GB2312" w:cs="仿宋_GB2312"/>
          <w:color w:val="auto"/>
          <w:sz w:val="32"/>
          <w:szCs w:val="32"/>
          <w:highlight w:val="none"/>
        </w:rPr>
        <w:t>3216.04</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99.83%</w:t>
      </w:r>
      <w:r>
        <w:rPr>
          <w:rFonts w:hint="eastAsia" w:ascii="仿宋_GB2312" w:hAnsi="仿宋_GB2312" w:eastAsia="仿宋_GB2312" w:cs="仿宋_GB2312"/>
          <w:color w:val="auto"/>
          <w:sz w:val="32"/>
          <w:szCs w:val="32"/>
          <w:highlight w:val="none"/>
        </w:rPr>
        <w:t>；上级补助收入</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；事业收入</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；经营收入</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；附属单位上缴收入</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；其他收入</w:t>
      </w:r>
      <w:r>
        <w:rPr>
          <w:rFonts w:ascii="仿宋_GB2312" w:hAnsi="仿宋_GB2312" w:eastAsia="仿宋_GB2312" w:cs="仿宋_GB2312"/>
          <w:color w:val="auto"/>
          <w:sz w:val="32"/>
          <w:szCs w:val="32"/>
          <w:highlight w:val="none"/>
        </w:rPr>
        <w:t>5.43</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0.17%</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ascii="仿宋_GB2312" w:hAnsi="仿宋_GB2312" w:eastAsia="仿宋_GB2312" w:cs="仿宋_GB2312"/>
          <w:color w:val="auto"/>
          <w:sz w:val="32"/>
          <w:szCs w:val="32"/>
          <w:highlight w:val="none"/>
        </w:rPr>
        <w:t>4042.54</w:t>
      </w:r>
      <w:r>
        <w:rPr>
          <w:rFonts w:hint="eastAsia" w:ascii="仿宋_GB2312" w:hAnsi="仿宋_GB2312" w:eastAsia="仿宋_GB2312" w:cs="仿宋_GB2312"/>
          <w:color w:val="auto"/>
          <w:sz w:val="32"/>
          <w:szCs w:val="32"/>
          <w:highlight w:val="none"/>
        </w:rPr>
        <w:t>万元，其中：基本支出</w:t>
      </w:r>
      <w:r>
        <w:rPr>
          <w:rFonts w:ascii="仿宋_GB2312" w:hAnsi="仿宋_GB2312" w:eastAsia="仿宋_GB2312" w:cs="仿宋_GB2312"/>
          <w:color w:val="auto"/>
          <w:sz w:val="32"/>
          <w:szCs w:val="32"/>
          <w:highlight w:val="none"/>
        </w:rPr>
        <w:t>3351.93</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82.92%</w:t>
      </w:r>
      <w:r>
        <w:rPr>
          <w:rFonts w:hint="eastAsia" w:ascii="仿宋_GB2312" w:hAnsi="仿宋_GB2312" w:eastAsia="仿宋_GB2312" w:cs="仿宋_GB2312"/>
          <w:color w:val="auto"/>
          <w:sz w:val="32"/>
          <w:szCs w:val="32"/>
          <w:highlight w:val="none"/>
        </w:rPr>
        <w:t>；项目支出</w:t>
      </w:r>
      <w:r>
        <w:rPr>
          <w:rFonts w:ascii="仿宋_GB2312" w:hAnsi="仿宋_GB2312" w:eastAsia="仿宋_GB2312" w:cs="仿宋_GB2312"/>
          <w:color w:val="auto"/>
          <w:sz w:val="32"/>
          <w:szCs w:val="32"/>
          <w:highlight w:val="none"/>
        </w:rPr>
        <w:t>690.61</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17.08%</w:t>
      </w:r>
      <w:r>
        <w:rPr>
          <w:rFonts w:hint="eastAsia" w:ascii="仿宋_GB2312" w:hAnsi="仿宋_GB2312" w:eastAsia="仿宋_GB2312" w:cs="仿宋_GB2312"/>
          <w:color w:val="auto"/>
          <w:sz w:val="32"/>
          <w:szCs w:val="32"/>
          <w:highlight w:val="none"/>
        </w:rPr>
        <w:t>；上缴上级支出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；经营支出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；对附属单位补助支出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万元，占</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ascii="仿宋_GB2312" w:hAnsi="仿宋_GB2312" w:eastAsia="仿宋_GB2312" w:cs="仿宋_GB2312"/>
          <w:color w:val="auto"/>
          <w:sz w:val="32"/>
          <w:szCs w:val="32"/>
          <w:highlight w:val="none"/>
        </w:rPr>
        <w:t>4037.11</w:t>
      </w:r>
      <w:r>
        <w:rPr>
          <w:rFonts w:hint="eastAsia" w:ascii="仿宋_GB2312" w:hAnsi="仿宋_GB2312" w:eastAsia="仿宋_GB2312" w:cs="仿宋_GB2312"/>
          <w:color w:val="auto"/>
          <w:sz w:val="32"/>
          <w:szCs w:val="32"/>
          <w:highlight w:val="none"/>
        </w:rPr>
        <w:t>万元。与上年度相比，财政拨款收、支总计各减少</w:t>
      </w:r>
      <w:r>
        <w:rPr>
          <w:rFonts w:ascii="仿宋_GB2312" w:hAnsi="仿宋_GB2312" w:eastAsia="仿宋_GB2312" w:cs="仿宋_GB2312"/>
          <w:color w:val="auto"/>
          <w:sz w:val="32"/>
          <w:szCs w:val="32"/>
          <w:highlight w:val="none"/>
        </w:rPr>
        <w:t>564.34</w:t>
      </w:r>
      <w:r>
        <w:rPr>
          <w:rFonts w:hint="eastAsia" w:ascii="仿宋_GB2312" w:hAnsi="仿宋_GB2312" w:eastAsia="仿宋_GB2312" w:cs="仿宋_GB2312"/>
          <w:color w:val="auto"/>
          <w:sz w:val="32"/>
          <w:szCs w:val="32"/>
          <w:highlight w:val="none"/>
        </w:rPr>
        <w:t>万元，下降</w:t>
      </w:r>
      <w:r>
        <w:rPr>
          <w:rFonts w:ascii="仿宋_GB2312" w:hAnsi="仿宋_GB2312" w:eastAsia="仿宋_GB2312" w:cs="仿宋_GB2312"/>
          <w:color w:val="auto"/>
          <w:sz w:val="32"/>
          <w:szCs w:val="32"/>
          <w:highlight w:val="none"/>
        </w:rPr>
        <w:t>12.26%</w:t>
      </w:r>
      <w:r>
        <w:rPr>
          <w:rFonts w:hint="eastAsia" w:ascii="仿宋_GB2312" w:hAnsi="仿宋_GB2312" w:eastAsia="仿宋_GB2312" w:cs="仿宋_GB2312"/>
          <w:color w:val="auto"/>
          <w:sz w:val="32"/>
          <w:szCs w:val="32"/>
          <w:highlight w:val="none"/>
        </w:rPr>
        <w:t>。主要原因是</w:t>
      </w:r>
      <w:r>
        <w:rPr>
          <w:rFonts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rPr>
        <w:t>年拨付有人民路校区维修改建资金。</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ascii="仿宋_GB2312" w:hAnsi="仿宋_GB2312" w:eastAsia="仿宋_GB2312" w:cs="仿宋_GB2312"/>
          <w:color w:val="auto"/>
          <w:sz w:val="32"/>
          <w:szCs w:val="32"/>
          <w:highlight w:val="none"/>
        </w:rPr>
        <w:t>4037.11</w:t>
      </w:r>
      <w:r>
        <w:rPr>
          <w:rFonts w:hint="eastAsia" w:ascii="仿宋_GB2312" w:hAnsi="仿宋_GB2312" w:eastAsia="仿宋_GB2312" w:cs="仿宋_GB2312"/>
          <w:color w:val="auto"/>
          <w:sz w:val="32"/>
          <w:szCs w:val="32"/>
          <w:highlight w:val="none"/>
        </w:rPr>
        <w:t>万元，占支出合计的</w:t>
      </w:r>
      <w:r>
        <w:rPr>
          <w:rFonts w:ascii="仿宋_GB2312" w:hAnsi="仿宋_GB2312" w:eastAsia="仿宋_GB2312" w:cs="仿宋_GB2312"/>
          <w:color w:val="auto"/>
          <w:sz w:val="32"/>
          <w:szCs w:val="32"/>
          <w:highlight w:val="none"/>
        </w:rPr>
        <w:t>99.87%</w:t>
      </w:r>
      <w:r>
        <w:rPr>
          <w:rFonts w:hint="eastAsia" w:ascii="仿宋_GB2312" w:hAnsi="仿宋_GB2312" w:eastAsia="仿宋_GB2312" w:cs="仿宋_GB2312"/>
          <w:color w:val="auto"/>
          <w:sz w:val="32"/>
          <w:szCs w:val="32"/>
          <w:highlight w:val="none"/>
        </w:rPr>
        <w:t>。与上年度相比，一般公共预算财政拨款支出增加</w:t>
      </w:r>
      <w:r>
        <w:rPr>
          <w:rFonts w:ascii="仿宋_GB2312" w:hAnsi="仿宋_GB2312" w:eastAsia="仿宋_GB2312" w:cs="仿宋_GB2312"/>
          <w:color w:val="auto"/>
          <w:sz w:val="32"/>
          <w:szCs w:val="32"/>
          <w:highlight w:val="none"/>
        </w:rPr>
        <w:t>247.51</w:t>
      </w:r>
      <w:r>
        <w:rPr>
          <w:rFonts w:hint="eastAsia" w:ascii="仿宋_GB2312" w:hAnsi="仿宋_GB2312" w:eastAsia="仿宋_GB2312" w:cs="仿宋_GB2312"/>
          <w:color w:val="auto"/>
          <w:sz w:val="32"/>
          <w:szCs w:val="32"/>
          <w:highlight w:val="none"/>
        </w:rPr>
        <w:t>万元，增长</w:t>
      </w:r>
      <w:r>
        <w:rPr>
          <w:rFonts w:ascii="仿宋_GB2312" w:hAnsi="仿宋_GB2312" w:eastAsia="仿宋_GB2312" w:cs="仿宋_GB2312"/>
          <w:color w:val="auto"/>
          <w:sz w:val="32"/>
          <w:szCs w:val="32"/>
          <w:highlight w:val="none"/>
        </w:rPr>
        <w:t>6.53%</w:t>
      </w:r>
      <w:r>
        <w:rPr>
          <w:rFonts w:hint="eastAsia" w:ascii="仿宋_GB2312" w:hAnsi="仿宋_GB2312" w:eastAsia="仿宋_GB2312" w:cs="仿宋_GB2312"/>
          <w:color w:val="auto"/>
          <w:sz w:val="32"/>
          <w:szCs w:val="32"/>
          <w:highlight w:val="none"/>
        </w:rPr>
        <w:t>。主要原因是</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年使用了上年结余资金支出，加快了资金支付进度，年末减少财政资金结余。</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ascii="仿宋_GB2312" w:hAnsi="仿宋_GB2312" w:eastAsia="仿宋_GB2312" w:cs="仿宋_GB2312"/>
          <w:color w:val="auto"/>
          <w:sz w:val="32"/>
          <w:szCs w:val="32"/>
          <w:highlight w:val="none"/>
        </w:rPr>
        <w:t>4037.11</w:t>
      </w:r>
      <w:r>
        <w:rPr>
          <w:rFonts w:hint="eastAsia" w:ascii="仿宋_GB2312" w:hAnsi="仿宋_GB2312" w:eastAsia="仿宋_GB2312" w:cs="仿宋_GB2312"/>
          <w:color w:val="auto"/>
          <w:sz w:val="32"/>
          <w:szCs w:val="32"/>
          <w:highlight w:val="none"/>
        </w:rPr>
        <w:t>万元，主要用于以下方面：一般公共服务（类）支出15.93万元，占0.39</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；教育（类）支出3497.23万元，占86.63</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；社会保障和就业（类）支出451.43万元，占11.18</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；卫生健康（类）支出72.52万元，占1.80</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年度一般公共预算财政拨款支出年初预算为</w:t>
      </w:r>
      <w:r>
        <w:rPr>
          <w:rFonts w:ascii="仿宋_GB2312" w:hAnsi="仿宋_GB2312" w:eastAsia="仿宋_GB2312" w:cs="仿宋_GB2312"/>
          <w:color w:val="auto"/>
          <w:sz w:val="32"/>
          <w:szCs w:val="32"/>
          <w:highlight w:val="none"/>
        </w:rPr>
        <w:t>3094.3</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4037.11</w:t>
      </w:r>
      <w:r>
        <w:rPr>
          <w:rFonts w:hint="eastAsia" w:ascii="仿宋_GB2312" w:hAnsi="仿宋_GB2312" w:eastAsia="仿宋_GB2312" w:cs="仿宋_GB2312"/>
          <w:color w:val="auto"/>
          <w:sz w:val="32"/>
          <w:szCs w:val="32"/>
          <w:highlight w:val="none"/>
        </w:rPr>
        <w:t>万元，完成年初预算的</w:t>
      </w:r>
      <w:r>
        <w:rPr>
          <w:rFonts w:ascii="仿宋_GB2312" w:hAnsi="仿宋_GB2312" w:eastAsia="仿宋_GB2312" w:cs="仿宋_GB2312"/>
          <w:color w:val="auto"/>
          <w:sz w:val="32"/>
          <w:szCs w:val="32"/>
          <w:highlight w:val="none"/>
        </w:rPr>
        <w:t>130.47%</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rPr>
        <w:t>．</w:t>
      </w:r>
      <w:r>
        <w:rPr>
          <w:rFonts w:hint="eastAsia" w:ascii="仿宋_GB2312" w:hAnsi="宋体" w:eastAsia="仿宋_GB2312" w:cs="仿宋_GB2312"/>
          <w:b/>
          <w:bCs/>
          <w:color w:val="auto"/>
          <w:sz w:val="32"/>
          <w:szCs w:val="32"/>
          <w:highlight w:val="none"/>
        </w:rPr>
        <w:t>教育支出（类）普通教育（款）初中教育（项）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2548.91</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2849.18</w:t>
      </w:r>
      <w:r>
        <w:rPr>
          <w:rFonts w:hint="eastAsia" w:ascii="仿宋_GB2312" w:hAnsi="仿宋_GB2312" w:eastAsia="仿宋_GB2312" w:cs="仿宋_GB2312"/>
          <w:color w:val="auto"/>
          <w:sz w:val="32"/>
          <w:szCs w:val="32"/>
          <w:highlight w:val="none"/>
        </w:rPr>
        <w:t>万元，完成年初预算的</w:t>
      </w:r>
      <w:r>
        <w:rPr>
          <w:rFonts w:ascii="仿宋_GB2312" w:hAnsi="仿宋_GB2312" w:eastAsia="仿宋_GB2312" w:cs="仿宋_GB2312"/>
          <w:color w:val="auto"/>
          <w:sz w:val="32"/>
          <w:szCs w:val="32"/>
          <w:highlight w:val="none"/>
        </w:rPr>
        <w:t>111.78%</w:t>
      </w:r>
      <w:r>
        <w:rPr>
          <w:rFonts w:hint="eastAsia" w:ascii="仿宋_GB2312" w:hAnsi="仿宋_GB2312" w:eastAsia="仿宋_GB2312" w:cs="仿宋_GB2312"/>
          <w:color w:val="auto"/>
          <w:sz w:val="32"/>
          <w:szCs w:val="32"/>
          <w:highlight w:val="none"/>
        </w:rPr>
        <w:t>。决算数与年初预算数存在差异的主要原因是</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年使用了上年结余资金支出，加快了资金支付进度，年末减少财政资金结余。</w:t>
      </w:r>
    </w:p>
    <w:p>
      <w:pPr>
        <w:widowControl/>
        <w:spacing w:line="590" w:lineRule="exact"/>
        <w:ind w:firstLine="643" w:firstLineChars="200"/>
        <w:rPr>
          <w:rFonts w:ascii="仿宋_GB2312" w:hAnsi="宋体" w:eastAsia="仿宋_GB2312" w:cs="仿宋_GB2312"/>
          <w:b/>
          <w:bCs/>
          <w:color w:val="auto"/>
          <w:sz w:val="32"/>
          <w:szCs w:val="32"/>
          <w:highlight w:val="none"/>
        </w:rPr>
      </w:pPr>
      <w:r>
        <w:rPr>
          <w:rFonts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rPr>
        <w:t>．</w:t>
      </w:r>
      <w:r>
        <w:rPr>
          <w:rFonts w:hint="eastAsia" w:ascii="仿宋_GB2312" w:hAnsi="宋体" w:eastAsia="仿宋_GB2312" w:cs="仿宋_GB2312"/>
          <w:b/>
          <w:bCs/>
          <w:color w:val="auto"/>
          <w:sz w:val="32"/>
          <w:szCs w:val="32"/>
          <w:highlight w:val="none"/>
        </w:rPr>
        <w:t>教育支出（类）普通教育（款）其他普通教育支出（项）。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631.15</w:t>
      </w:r>
      <w:r>
        <w:rPr>
          <w:rFonts w:hint="eastAsia" w:ascii="仿宋_GB2312" w:hAnsi="仿宋_GB2312" w:eastAsia="仿宋_GB2312" w:cs="仿宋_GB2312"/>
          <w:color w:val="auto"/>
          <w:sz w:val="32"/>
          <w:szCs w:val="32"/>
          <w:highlight w:val="none"/>
        </w:rPr>
        <w:t>万元。决算数与年初预算数存在差异的主要原因是城市义务教育经费保障改革中央、省级资金支出、市直学校保安经费支出没有纳入年初预算。</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宋体" w:eastAsia="仿宋_GB2312" w:cs="仿宋_GB2312"/>
          <w:b/>
          <w:bCs/>
          <w:color w:val="auto"/>
          <w:sz w:val="32"/>
          <w:szCs w:val="32"/>
          <w:highlight w:val="none"/>
        </w:rPr>
        <w:t xml:space="preserve">3. </w:t>
      </w:r>
      <w:r>
        <w:rPr>
          <w:rFonts w:hint="eastAsia" w:ascii="仿宋_GB2312" w:hAnsi="宋体" w:eastAsia="仿宋_GB2312" w:cs="仿宋_GB2312"/>
          <w:b/>
          <w:bCs/>
          <w:color w:val="auto"/>
          <w:sz w:val="32"/>
          <w:szCs w:val="32"/>
          <w:highlight w:val="none"/>
        </w:rPr>
        <w:t>教育支出（类）特殊教育（款）特殊学校教育（项）。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2.4</w:t>
      </w:r>
      <w:r>
        <w:rPr>
          <w:rFonts w:hint="eastAsia" w:ascii="仿宋_GB2312" w:hAnsi="仿宋_GB2312" w:eastAsia="仿宋_GB2312" w:cs="仿宋_GB2312"/>
          <w:color w:val="auto"/>
          <w:sz w:val="32"/>
          <w:szCs w:val="32"/>
          <w:highlight w:val="none"/>
        </w:rPr>
        <w:t>万元。决算数与年初预算数存在差异的主要原因是年初没有安排此支出。</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宋体" w:eastAsia="仿宋_GB2312" w:cs="仿宋_GB2312"/>
          <w:b/>
          <w:bCs/>
          <w:color w:val="auto"/>
          <w:sz w:val="32"/>
          <w:szCs w:val="32"/>
          <w:highlight w:val="none"/>
        </w:rPr>
        <w:t xml:space="preserve">4. </w:t>
      </w:r>
      <w:r>
        <w:rPr>
          <w:rFonts w:hint="eastAsia" w:ascii="仿宋_GB2312" w:hAnsi="宋体" w:eastAsia="仿宋_GB2312" w:cs="仿宋_GB2312"/>
          <w:b/>
          <w:bCs/>
          <w:color w:val="auto"/>
          <w:sz w:val="32"/>
          <w:szCs w:val="32"/>
          <w:highlight w:val="none"/>
        </w:rPr>
        <w:t>教育支出（类）其他教育支出（款）其他教育支出（项）。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14.49</w:t>
      </w:r>
      <w:r>
        <w:rPr>
          <w:rFonts w:hint="eastAsia" w:ascii="仿宋_GB2312" w:hAnsi="仿宋_GB2312" w:eastAsia="仿宋_GB2312" w:cs="仿宋_GB2312"/>
          <w:color w:val="auto"/>
          <w:sz w:val="32"/>
          <w:szCs w:val="32"/>
          <w:highlight w:val="none"/>
        </w:rPr>
        <w:t>万元。决算数与年初预算数存在差异的主要原因是年初没有安排此支出。</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color w:val="auto"/>
          <w:sz w:val="32"/>
          <w:szCs w:val="32"/>
          <w:highlight w:val="none"/>
        </w:rPr>
        <w:t>5</w:t>
      </w:r>
      <w:r>
        <w:rPr>
          <w:rFonts w:hint="eastAsia" w:ascii="仿宋_GB2312" w:hAnsi="仿宋_GB2312" w:eastAsia="仿宋_GB2312" w:cs="仿宋_GB2312"/>
          <w:color w:val="auto"/>
          <w:sz w:val="32"/>
          <w:szCs w:val="32"/>
          <w:highlight w:val="none"/>
        </w:rPr>
        <w:t>、</w:t>
      </w:r>
      <w:r>
        <w:rPr>
          <w:rFonts w:hint="eastAsia" w:ascii="仿宋_GB2312" w:hAnsi="宋体" w:eastAsia="仿宋_GB2312" w:cs="仿宋_GB2312"/>
          <w:b/>
          <w:bCs/>
          <w:color w:val="auto"/>
          <w:sz w:val="32"/>
          <w:szCs w:val="32"/>
          <w:highlight w:val="none"/>
        </w:rPr>
        <w:t>社会保障和就业支出（类）行政事业单位离退休（款）事业单位离退休（项）。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259.36</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262.66</w:t>
      </w:r>
      <w:r>
        <w:rPr>
          <w:rFonts w:hint="eastAsia" w:ascii="仿宋_GB2312" w:hAnsi="仿宋_GB2312" w:eastAsia="仿宋_GB2312" w:cs="仿宋_GB2312"/>
          <w:color w:val="auto"/>
          <w:sz w:val="32"/>
          <w:szCs w:val="32"/>
          <w:highlight w:val="none"/>
        </w:rPr>
        <w:t>万元，完成年初预算</w:t>
      </w:r>
      <w:r>
        <w:rPr>
          <w:rFonts w:ascii="仿宋_GB2312" w:hAnsi="仿宋_GB2312" w:eastAsia="仿宋_GB2312" w:cs="仿宋_GB2312"/>
          <w:color w:val="auto"/>
          <w:sz w:val="32"/>
          <w:szCs w:val="32"/>
          <w:highlight w:val="none"/>
        </w:rPr>
        <w:t>101.27%</w:t>
      </w:r>
      <w:r>
        <w:rPr>
          <w:rFonts w:hint="eastAsia" w:ascii="仿宋_GB2312" w:hAnsi="仿宋_GB2312" w:eastAsia="仿宋_GB2312" w:cs="仿宋_GB2312"/>
          <w:color w:val="auto"/>
          <w:sz w:val="32"/>
          <w:szCs w:val="32"/>
          <w:highlight w:val="none"/>
        </w:rPr>
        <w:t>。决算数与年初预算数存在差异的主要原因是</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年有新增退休人员。</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color w:val="auto"/>
          <w:sz w:val="32"/>
          <w:szCs w:val="32"/>
          <w:highlight w:val="none"/>
        </w:rPr>
        <w:t>6</w:t>
      </w:r>
      <w:r>
        <w:rPr>
          <w:rFonts w:hint="eastAsia" w:ascii="仿宋_GB2312" w:hAnsi="仿宋_GB2312" w:eastAsia="仿宋_GB2312" w:cs="仿宋_GB2312"/>
          <w:color w:val="auto"/>
          <w:sz w:val="32"/>
          <w:szCs w:val="32"/>
          <w:highlight w:val="none"/>
        </w:rPr>
        <w:t>、</w:t>
      </w:r>
      <w:r>
        <w:rPr>
          <w:rFonts w:hint="eastAsia" w:ascii="仿宋_GB2312" w:hAnsi="宋体" w:eastAsia="仿宋_GB2312" w:cs="仿宋_GB2312"/>
          <w:b/>
          <w:bCs/>
          <w:color w:val="auto"/>
          <w:sz w:val="32"/>
          <w:szCs w:val="32"/>
          <w:highlight w:val="none"/>
        </w:rPr>
        <w:t>社会保障和就业支出（类）行政事业单位离退休（款）机关事业单位基本养老保险缴费支出（项）。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183.06</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166.61</w:t>
      </w:r>
      <w:r>
        <w:rPr>
          <w:rFonts w:hint="eastAsia" w:ascii="仿宋_GB2312" w:hAnsi="仿宋_GB2312" w:eastAsia="仿宋_GB2312" w:cs="仿宋_GB2312"/>
          <w:color w:val="auto"/>
          <w:sz w:val="32"/>
          <w:szCs w:val="32"/>
          <w:highlight w:val="none"/>
        </w:rPr>
        <w:t>万元，完成年初预算</w:t>
      </w:r>
      <w:r>
        <w:rPr>
          <w:rFonts w:ascii="仿宋_GB2312" w:hAnsi="仿宋_GB2312" w:eastAsia="仿宋_GB2312" w:cs="仿宋_GB2312"/>
          <w:color w:val="auto"/>
          <w:sz w:val="32"/>
          <w:szCs w:val="32"/>
          <w:highlight w:val="none"/>
        </w:rPr>
        <w:t>91.01%</w:t>
      </w:r>
      <w:r>
        <w:rPr>
          <w:rFonts w:hint="eastAsia" w:ascii="仿宋_GB2312" w:hAnsi="仿宋_GB2312" w:eastAsia="仿宋_GB2312" w:cs="仿宋_GB2312"/>
          <w:color w:val="auto"/>
          <w:sz w:val="32"/>
          <w:szCs w:val="32"/>
          <w:highlight w:val="none"/>
        </w:rPr>
        <w:t>。决算数与年初预算数存在差异的主要原因是</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年有调出人员及退休人员，而新进人员缴费基数低。</w:t>
      </w:r>
    </w:p>
    <w:p>
      <w:pPr>
        <w:adjustRightInd w:val="0"/>
        <w:snapToGrid w:val="0"/>
        <w:spacing w:line="360" w:lineRule="auto"/>
        <w:ind w:firstLine="643" w:firstLineChars="200"/>
        <w:rPr>
          <w:rFonts w:ascii="仿宋_GB2312" w:hAnsi="宋体" w:eastAsia="仿宋_GB2312"/>
          <w:b/>
          <w:bCs/>
          <w:color w:val="auto"/>
          <w:sz w:val="32"/>
          <w:szCs w:val="32"/>
          <w:highlight w:val="none"/>
        </w:rPr>
      </w:pPr>
      <w:r>
        <w:rPr>
          <w:rFonts w:ascii="仿宋_GB2312" w:hAnsi="仿宋_GB2312" w:eastAsia="仿宋_GB2312" w:cs="仿宋_GB2312"/>
          <w:b/>
          <w:color w:val="auto"/>
          <w:sz w:val="32"/>
          <w:szCs w:val="32"/>
          <w:highlight w:val="none"/>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社会保障和就业支出（类）抚恤（款）死亡抚恤（项）。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22.15</w:t>
      </w:r>
      <w:r>
        <w:rPr>
          <w:rFonts w:hint="eastAsia" w:ascii="仿宋_GB2312" w:hAnsi="仿宋_GB2312" w:eastAsia="仿宋_GB2312" w:cs="仿宋_GB2312"/>
          <w:color w:val="auto"/>
          <w:sz w:val="32"/>
          <w:szCs w:val="32"/>
          <w:highlight w:val="none"/>
        </w:rPr>
        <w:t>万元。决算数与年初预算数存在差异的主要原因是</w:t>
      </w:r>
      <w:r>
        <w:rPr>
          <w:rFonts w:ascii="仿宋_GB2312" w:hAnsi="宋体" w:eastAsia="仿宋_GB2312" w:cs="仿宋_GB2312"/>
          <w:color w:val="auto"/>
          <w:sz w:val="32"/>
          <w:szCs w:val="32"/>
          <w:highlight w:val="none"/>
        </w:rPr>
        <w:t>2021</w:t>
      </w:r>
      <w:r>
        <w:rPr>
          <w:rFonts w:hint="eastAsia" w:ascii="仿宋_GB2312" w:hAnsi="宋体" w:eastAsia="仿宋_GB2312" w:cs="仿宋_GB2312"/>
          <w:color w:val="auto"/>
          <w:sz w:val="32"/>
          <w:szCs w:val="32"/>
          <w:highlight w:val="none"/>
        </w:rPr>
        <w:t>年有离退休人员去世。</w:t>
      </w:r>
    </w:p>
    <w:p>
      <w:pPr>
        <w:adjustRightInd w:val="0"/>
        <w:snapToGrid w:val="0"/>
        <w:spacing w:line="360" w:lineRule="auto"/>
        <w:ind w:firstLine="643" w:firstLineChars="200"/>
        <w:rPr>
          <w:rFonts w:ascii="仿宋_GB2312" w:hAnsi="宋体" w:eastAsia="仿宋_GB2312"/>
          <w:b/>
          <w:bCs/>
          <w:color w:val="auto"/>
          <w:sz w:val="32"/>
          <w:szCs w:val="32"/>
          <w:highlight w:val="none"/>
        </w:rPr>
      </w:pPr>
      <w:r>
        <w:rPr>
          <w:rFonts w:ascii="仿宋_GB2312" w:hAnsi="仿宋_GB2312" w:eastAsia="仿宋_GB2312" w:cs="仿宋_GB2312"/>
          <w:b/>
          <w:color w:val="auto"/>
          <w:sz w:val="32"/>
          <w:szCs w:val="32"/>
          <w:highlight w:val="none"/>
        </w:rPr>
        <w:t>8</w:t>
      </w:r>
      <w:r>
        <w:rPr>
          <w:rFonts w:hint="eastAsia" w:ascii="仿宋_GB2312" w:hAnsi="仿宋_GB2312" w:eastAsia="仿宋_GB2312" w:cs="仿宋_GB2312"/>
          <w:b/>
          <w:color w:val="auto"/>
          <w:sz w:val="32"/>
          <w:szCs w:val="32"/>
          <w:highlight w:val="none"/>
        </w:rPr>
        <w:t>、卫生健康支出</w:t>
      </w:r>
      <w:r>
        <w:rPr>
          <w:rFonts w:hint="eastAsia" w:ascii="仿宋_GB2312" w:hAnsi="仿宋_GB2312" w:eastAsia="仿宋_GB2312" w:cs="仿宋_GB2312"/>
          <w:b/>
          <w:bCs/>
          <w:color w:val="auto"/>
          <w:sz w:val="32"/>
          <w:szCs w:val="32"/>
          <w:highlight w:val="none"/>
        </w:rPr>
        <w:t>（类）行政事业单位医疗（款）事业单位医疗（项）。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87.04</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72.52</w:t>
      </w:r>
      <w:r>
        <w:rPr>
          <w:rFonts w:hint="eastAsia" w:ascii="仿宋_GB2312" w:hAnsi="仿宋_GB2312" w:eastAsia="仿宋_GB2312" w:cs="仿宋_GB2312"/>
          <w:color w:val="auto"/>
          <w:sz w:val="32"/>
          <w:szCs w:val="32"/>
          <w:highlight w:val="none"/>
        </w:rPr>
        <w:t>万元，完成年初预算</w:t>
      </w:r>
      <w:r>
        <w:rPr>
          <w:rFonts w:ascii="仿宋_GB2312" w:hAnsi="仿宋_GB2312" w:eastAsia="仿宋_GB2312" w:cs="仿宋_GB2312"/>
          <w:color w:val="auto"/>
          <w:sz w:val="32"/>
          <w:szCs w:val="32"/>
          <w:highlight w:val="none"/>
        </w:rPr>
        <w:t>83.32%</w:t>
      </w:r>
      <w:r>
        <w:rPr>
          <w:rFonts w:hint="eastAsia" w:ascii="仿宋_GB2312" w:hAnsi="仿宋_GB2312" w:eastAsia="仿宋_GB2312" w:cs="仿宋_GB2312"/>
          <w:color w:val="auto"/>
          <w:sz w:val="32"/>
          <w:szCs w:val="32"/>
          <w:highlight w:val="none"/>
        </w:rPr>
        <w:t>。决算数与年初预算数存在差异的主要原因是</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年有调出人员及退休人员，而新进人员缴费基数低。</w:t>
      </w:r>
    </w:p>
    <w:p>
      <w:pPr>
        <w:adjustRightInd w:val="0"/>
        <w:snapToGrid w:val="0"/>
        <w:spacing w:line="360" w:lineRule="auto"/>
        <w:ind w:firstLine="643" w:firstLineChars="200"/>
        <w:rPr>
          <w:rFonts w:ascii="仿宋_GB2312" w:hAnsi="宋体" w:eastAsia="仿宋_GB2312"/>
          <w:b/>
          <w:bCs/>
          <w:color w:val="auto"/>
          <w:sz w:val="32"/>
          <w:szCs w:val="32"/>
          <w:highlight w:val="none"/>
        </w:rPr>
      </w:pPr>
      <w:r>
        <w:rPr>
          <w:rFonts w:ascii="仿宋_GB2312" w:hAnsi="宋体" w:eastAsia="仿宋_GB2312" w:cs="仿宋_GB2312"/>
          <w:b/>
          <w:color w:val="auto"/>
          <w:sz w:val="32"/>
          <w:szCs w:val="32"/>
          <w:highlight w:val="none"/>
        </w:rPr>
        <w:t>9</w:t>
      </w:r>
      <w:r>
        <w:rPr>
          <w:rFonts w:hint="eastAsia" w:ascii="仿宋_GB2312" w:hAnsi="宋体" w:eastAsia="仿宋_GB2312" w:cs="仿宋_GB2312"/>
          <w:color w:val="auto"/>
          <w:sz w:val="32"/>
          <w:szCs w:val="32"/>
          <w:highlight w:val="none"/>
        </w:rPr>
        <w:t>、</w:t>
      </w:r>
      <w:r>
        <w:rPr>
          <w:rFonts w:hint="eastAsia" w:ascii="仿宋_GB2312" w:hAnsi="宋体" w:eastAsia="仿宋_GB2312" w:cs="仿宋_GB2312"/>
          <w:b/>
          <w:bCs/>
          <w:color w:val="auto"/>
          <w:sz w:val="32"/>
          <w:szCs w:val="32"/>
          <w:highlight w:val="none"/>
        </w:rPr>
        <w:t>一般公共服务支出（类）群众团体事务（款）工会事务（项）。</w:t>
      </w:r>
      <w:r>
        <w:rPr>
          <w:rFonts w:hint="eastAsia" w:ascii="仿宋_GB2312" w:hAnsi="仿宋_GB2312" w:eastAsia="仿宋_GB2312" w:cs="仿宋_GB2312"/>
          <w:color w:val="auto"/>
          <w:sz w:val="32"/>
          <w:szCs w:val="32"/>
          <w:highlight w:val="none"/>
        </w:rPr>
        <w:t>年初预算为</w:t>
      </w:r>
      <w:r>
        <w:rPr>
          <w:rFonts w:ascii="仿宋_GB2312" w:hAnsi="仿宋_GB2312" w:eastAsia="仿宋_GB2312" w:cs="仿宋_GB2312"/>
          <w:color w:val="auto"/>
          <w:sz w:val="32"/>
          <w:szCs w:val="32"/>
          <w:highlight w:val="none"/>
        </w:rPr>
        <w:t>15.93</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15.93</w:t>
      </w:r>
      <w:r>
        <w:rPr>
          <w:rFonts w:hint="eastAsia" w:ascii="仿宋_GB2312" w:hAnsi="仿宋_GB2312" w:eastAsia="仿宋_GB2312" w:cs="仿宋_GB2312"/>
          <w:color w:val="auto"/>
          <w:sz w:val="32"/>
          <w:szCs w:val="32"/>
          <w:highlight w:val="none"/>
        </w:rPr>
        <w:t>万元，完成年初预算</w:t>
      </w:r>
      <w:r>
        <w:rPr>
          <w:rFonts w:ascii="仿宋_GB2312" w:hAnsi="仿宋_GB2312"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rPr>
        <w:t>。</w:t>
      </w:r>
      <w:r>
        <w:rPr>
          <w:rFonts w:hint="eastAsia" w:ascii="仿宋_GB2312" w:hAnsi="宋体" w:eastAsia="仿宋_GB2312" w:cs="仿宋_GB2312"/>
          <w:color w:val="auto"/>
          <w:sz w:val="32"/>
          <w:szCs w:val="32"/>
          <w:highlight w:val="none"/>
        </w:rPr>
        <w:t>决算数与年初预算数不存在差异。</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ascii="仿宋_GB2312" w:hAnsi="仿宋_GB2312" w:eastAsia="仿宋_GB2312" w:cs="仿宋_GB2312"/>
          <w:color w:val="auto"/>
          <w:sz w:val="32"/>
          <w:szCs w:val="32"/>
          <w:highlight w:val="none"/>
        </w:rPr>
        <w:t>3346.5</w:t>
      </w:r>
      <w:r>
        <w:rPr>
          <w:rFonts w:hint="eastAsia" w:ascii="仿宋_GB2312" w:hAnsi="仿宋_GB2312" w:eastAsia="仿宋_GB2312" w:cs="仿宋_GB2312"/>
          <w:color w:val="auto"/>
          <w:sz w:val="32"/>
          <w:szCs w:val="32"/>
          <w:highlight w:val="none"/>
        </w:rPr>
        <w:t>万元。其中：人员经费</w:t>
      </w:r>
      <w:r>
        <w:rPr>
          <w:rFonts w:ascii="仿宋_GB2312" w:hAnsi="仿宋_GB2312" w:eastAsia="仿宋_GB2312" w:cs="仿宋_GB2312"/>
          <w:color w:val="auto"/>
          <w:sz w:val="32"/>
          <w:szCs w:val="32"/>
          <w:highlight w:val="none"/>
        </w:rPr>
        <w:t>3092.73</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工基本医疗保险缴费、其他社会保障缴费、离休费、退休费、抚恤金、生活补助、医疗费补助、住房公积金；公用经费</w:t>
      </w:r>
      <w:r>
        <w:rPr>
          <w:rFonts w:ascii="仿宋_GB2312" w:hAnsi="仿宋_GB2312" w:eastAsia="仿宋_GB2312" w:cs="仿宋_GB2312"/>
          <w:color w:val="auto"/>
          <w:sz w:val="32"/>
          <w:szCs w:val="32"/>
          <w:highlight w:val="none"/>
        </w:rPr>
        <w:t>253.77</w:t>
      </w:r>
      <w:r>
        <w:rPr>
          <w:rFonts w:hint="eastAsia" w:ascii="仿宋_GB2312" w:hAnsi="仿宋_GB2312" w:eastAsia="仿宋_GB2312" w:cs="仿宋_GB2312"/>
          <w:color w:val="auto"/>
          <w:sz w:val="32"/>
          <w:szCs w:val="32"/>
          <w:highlight w:val="none"/>
        </w:rPr>
        <w:t>万元，主要包括：办公费、水费、电费、邮电费、物业管理费、差旅费、维修（护）费、培训费、专用材料费、劳务费、工会经费、福利费、公务用车运行维护费、其他交通费用、税金及附加费用、办公设备购置。</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ascii="仿宋_GB2312" w:hAnsi="仿宋_GB2312" w:eastAsia="仿宋_GB2312" w:cs="仿宋_GB2312"/>
          <w:color w:val="auto"/>
          <w:sz w:val="32"/>
          <w:szCs w:val="32"/>
          <w:highlight w:val="none"/>
        </w:rPr>
        <w:t>8.47</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1.47</w:t>
      </w:r>
      <w:r>
        <w:rPr>
          <w:rFonts w:hint="eastAsia" w:ascii="仿宋_GB2312" w:hAnsi="仿宋_GB2312" w:eastAsia="仿宋_GB2312" w:cs="仿宋_GB2312"/>
          <w:color w:val="auto"/>
          <w:sz w:val="32"/>
          <w:szCs w:val="32"/>
          <w:highlight w:val="none"/>
        </w:rPr>
        <w:t>万元，完成预算的</w:t>
      </w:r>
      <w:r>
        <w:rPr>
          <w:rFonts w:ascii="仿宋_GB2312" w:hAnsi="仿宋_GB2312" w:eastAsia="仿宋_GB2312" w:cs="仿宋_GB2312"/>
          <w:color w:val="auto"/>
          <w:sz w:val="32"/>
          <w:szCs w:val="32"/>
          <w:highlight w:val="none"/>
        </w:rPr>
        <w:t>17.36%</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宋体" w:eastAsia="仿宋_GB2312" w:cs="仿宋_GB2312"/>
          <w:color w:val="auto"/>
          <w:sz w:val="32"/>
          <w:szCs w:val="32"/>
          <w:highlight w:val="none"/>
        </w:rPr>
        <w:t>加强了对公务接待的管理和控制公车出行</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万元；公务用车购置及运行费支出决算</w:t>
      </w:r>
      <w:r>
        <w:rPr>
          <w:rFonts w:ascii="仿宋_GB2312" w:hAnsi="仿宋_GB2312" w:eastAsia="仿宋_GB2312" w:cs="仿宋_GB2312"/>
          <w:color w:val="auto"/>
          <w:sz w:val="32"/>
          <w:szCs w:val="32"/>
          <w:highlight w:val="none"/>
        </w:rPr>
        <w:t>1.47</w:t>
      </w:r>
      <w:r>
        <w:rPr>
          <w:rFonts w:hint="eastAsia" w:ascii="仿宋_GB2312" w:hAnsi="仿宋_GB2312" w:eastAsia="仿宋_GB2312" w:cs="仿宋_GB2312"/>
          <w:color w:val="auto"/>
          <w:sz w:val="32"/>
          <w:szCs w:val="32"/>
          <w:highlight w:val="none"/>
        </w:rPr>
        <w:t>万元，完成预算的</w:t>
      </w:r>
      <w:r>
        <w:rPr>
          <w:rFonts w:ascii="仿宋_GB2312" w:hAnsi="仿宋_GB2312"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rPr>
        <w:t>，占</w:t>
      </w:r>
      <w:r>
        <w:rPr>
          <w:rFonts w:ascii="仿宋_GB2312" w:hAnsi="仿宋_GB2312"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rPr>
        <w:t>；公务接待费支出决算</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万元。具体情况如下：</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rPr>
        <w:t>．因公出国（境）费</w:t>
      </w:r>
      <w:r>
        <w:rPr>
          <w:rFonts w:hint="eastAsia" w:ascii="仿宋_GB2312" w:hAnsi="仿宋_GB2312" w:eastAsia="仿宋_GB2312" w:cs="仿宋_GB2312"/>
          <w:color w:val="auto"/>
          <w:sz w:val="32"/>
          <w:szCs w:val="32"/>
          <w:highlight w:val="none"/>
        </w:rPr>
        <w:t>预算为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万元。决算数与预算数不存在差异。全年因公出国（境）团组</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个，累计</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人次。</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rPr>
        <w:t>．公务用车购置及运行费</w:t>
      </w:r>
      <w:r>
        <w:rPr>
          <w:rFonts w:hint="eastAsia" w:ascii="仿宋_GB2312" w:hAnsi="仿宋_GB2312" w:eastAsia="仿宋_GB2312" w:cs="仿宋_GB2312"/>
          <w:color w:val="auto"/>
          <w:sz w:val="32"/>
          <w:szCs w:val="32"/>
          <w:highlight w:val="none"/>
        </w:rPr>
        <w:t>预算为</w:t>
      </w:r>
      <w:r>
        <w:rPr>
          <w:rFonts w:ascii="仿宋_GB2312" w:hAnsi="仿宋_GB2312" w:eastAsia="仿宋_GB2312" w:cs="仿宋_GB2312"/>
          <w:color w:val="auto"/>
          <w:sz w:val="32"/>
          <w:szCs w:val="32"/>
          <w:highlight w:val="none"/>
        </w:rPr>
        <w:t>1.47</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1.47</w:t>
      </w:r>
      <w:r>
        <w:rPr>
          <w:rFonts w:hint="eastAsia" w:ascii="仿宋_GB2312" w:hAnsi="仿宋_GB2312" w:eastAsia="仿宋_GB2312" w:cs="仿宋_GB2312"/>
          <w:color w:val="auto"/>
          <w:sz w:val="32"/>
          <w:szCs w:val="32"/>
          <w:highlight w:val="none"/>
        </w:rPr>
        <w:t>万元，完成预算的</w:t>
      </w:r>
      <w:r>
        <w:rPr>
          <w:rFonts w:ascii="仿宋_GB2312" w:hAnsi="仿宋_GB2312"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rPr>
        <w:t>。决算数与预算数不存在差异。其中：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万元，购置车辆</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ascii="仿宋_GB2312" w:hAnsi="仿宋_GB2312" w:eastAsia="仿宋_GB2312" w:cs="仿宋_GB2312"/>
          <w:color w:val="auto"/>
          <w:sz w:val="32"/>
          <w:szCs w:val="32"/>
          <w:highlight w:val="none"/>
        </w:rPr>
        <w:t>1.47</w:t>
      </w:r>
      <w:r>
        <w:rPr>
          <w:rFonts w:hint="eastAsia" w:ascii="仿宋_GB2312" w:hAnsi="仿宋_GB2312" w:eastAsia="仿宋_GB2312" w:cs="仿宋_GB2312"/>
          <w:color w:val="auto"/>
          <w:sz w:val="32"/>
          <w:szCs w:val="32"/>
          <w:highlight w:val="none"/>
        </w:rPr>
        <w:t>万元。主要用于燃油费、车辆维修费、过路过桥费、车辆保险费等费。</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辆。</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b/>
          <w:bCs/>
          <w:color w:val="auto"/>
          <w:sz w:val="32"/>
          <w:szCs w:val="32"/>
          <w:highlight w:val="none"/>
        </w:rPr>
        <w:t>3.</w:t>
      </w:r>
      <w:r>
        <w:rPr>
          <w:rFonts w:hint="eastAsia" w:ascii="仿宋_GB2312" w:hAnsi="仿宋_GB2312" w:eastAsia="仿宋_GB2312" w:cs="仿宋_GB2312"/>
          <w:b/>
          <w:bCs/>
          <w:color w:val="auto"/>
          <w:sz w:val="32"/>
          <w:szCs w:val="32"/>
          <w:highlight w:val="none"/>
        </w:rPr>
        <w:t>公务接待费</w:t>
      </w:r>
      <w:r>
        <w:rPr>
          <w:rFonts w:hint="eastAsia" w:ascii="仿宋_GB2312" w:hAnsi="仿宋_GB2312" w:eastAsia="仿宋_GB2312" w:cs="仿宋_GB2312"/>
          <w:color w:val="auto"/>
          <w:sz w:val="32"/>
          <w:szCs w:val="32"/>
          <w:highlight w:val="none"/>
        </w:rPr>
        <w:t>预算为</w:t>
      </w:r>
      <w:r>
        <w:rPr>
          <w:rFonts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万元，完成预算的</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。决算数与预算数存在差异的主要原因是该项目</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年未发生支出。其中：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个、来访外宾</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个、来宾</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jc w:val="left"/>
        <w:rPr>
          <w:rFonts w:ascii="仿宋" w:hAnsi="仿宋" w:eastAsia="仿宋"/>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年度政府性基金预算财政拨款支出年初预算为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万元，支出决算为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万元，不存在项目年末结转和结余资金数额较大。主要原因：我单位</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rPr>
        <w:t>1年度没有政府性基金收入，也没有使用政府性基金安排的支出。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我单位不是行政机关，也不是参照公务员管理事业单位，没有机关运行费支出。</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ascii="仿宋_GB2312" w:hAnsi="仿宋_GB2312" w:eastAsia="仿宋_GB2312" w:cs="仿宋_GB2312"/>
          <w:color w:val="auto"/>
          <w:sz w:val="32"/>
          <w:szCs w:val="32"/>
          <w:highlight w:val="none"/>
        </w:rPr>
        <w:t>59.62</w:t>
      </w:r>
      <w:r>
        <w:rPr>
          <w:rFonts w:hint="eastAsia" w:ascii="仿宋_GB2312" w:hAnsi="仿宋_GB2312" w:eastAsia="仿宋_GB2312" w:cs="仿宋_GB2312"/>
          <w:color w:val="auto"/>
          <w:sz w:val="32"/>
          <w:szCs w:val="32"/>
          <w:highlight w:val="none"/>
        </w:rPr>
        <w:t>万元，其中：政府采购货物支出</w:t>
      </w:r>
      <w:r>
        <w:rPr>
          <w:rFonts w:ascii="仿宋_GB2312" w:hAnsi="仿宋_GB2312" w:eastAsia="仿宋_GB2312" w:cs="仿宋_GB2312"/>
          <w:color w:val="auto"/>
          <w:sz w:val="32"/>
          <w:szCs w:val="32"/>
          <w:highlight w:val="none"/>
        </w:rPr>
        <w:t>59.62</w:t>
      </w:r>
      <w:r>
        <w:rPr>
          <w:rFonts w:hint="eastAsia" w:ascii="仿宋_GB2312" w:hAnsi="仿宋_GB2312" w:eastAsia="仿宋_GB2312" w:cs="仿宋_GB2312"/>
          <w:color w:val="auto"/>
          <w:sz w:val="32"/>
          <w:szCs w:val="32"/>
          <w:highlight w:val="none"/>
        </w:rPr>
        <w:t>万元、政府采购工程支出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万元、政府采购服务支出</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万元。授予中小企业合同金额</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万元，占政府采购支出总额的</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，其中：授予小微企业合同金额</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万元，占政府采购支出总额的</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辆，其中：省级领导干部用车</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辆、主要领导干部用车</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辆、机要通信用车</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辆、应急保障车</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辆、执法执勤用车</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辆、特种专业技术用车</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辆、离退休干部用车</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辆、其他用车</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辆；单位价值</w:t>
      </w:r>
      <w:r>
        <w:rPr>
          <w:rFonts w:ascii="仿宋_GB2312" w:hAnsi="仿宋_GB2312" w:eastAsia="仿宋_GB2312" w:cs="仿宋_GB2312"/>
          <w:color w:val="auto"/>
          <w:sz w:val="32"/>
          <w:szCs w:val="32"/>
          <w:highlight w:val="none"/>
        </w:rPr>
        <w:t>50</w:t>
      </w:r>
      <w:r>
        <w:rPr>
          <w:rFonts w:hint="eastAsia" w:ascii="仿宋_GB2312" w:hAnsi="仿宋_GB2312" w:eastAsia="仿宋_GB2312" w:cs="仿宋_GB2312"/>
          <w:color w:val="auto"/>
          <w:sz w:val="32"/>
          <w:szCs w:val="32"/>
          <w:highlight w:val="none"/>
        </w:rPr>
        <w:t>万元以上通用设备</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台（套），单位价值</w:t>
      </w:r>
      <w:r>
        <w:rPr>
          <w:rFonts w:ascii="仿宋_GB2312" w:hAnsi="仿宋_GB2312"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rPr>
        <w:t>万元以上专用设备</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360" w:lineRule="auto"/>
        <w:ind w:firstLine="964" w:firstLineChars="3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我单位按照《中共许昌市委</w:t>
      </w:r>
      <w:r>
        <w:rPr>
          <w:rFonts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rPr>
        <w:t>许昌市人民政府关于全面实施预算绩效管理的实施意见》（许发〔</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13</w:t>
      </w:r>
      <w:r>
        <w:rPr>
          <w:rFonts w:hint="eastAsia" w:ascii="仿宋_GB2312" w:hAnsi="仿宋_GB2312" w:eastAsia="仿宋_GB2312" w:cs="仿宋_GB2312"/>
          <w:color w:val="auto"/>
          <w:sz w:val="32"/>
          <w:szCs w:val="32"/>
          <w:highlight w:val="none"/>
        </w:rPr>
        <w:t>号）文件要求，对本单位整体支出和项目支出开展全过程预算绩效管理。</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我单位大力开展了预算绩效实施宣传力度，制定了绩效管理的相关制度，并组织开展了绩效培训学习，做到了人人了解绩效，花钱必问效，事前、事中、事后全过程监控的管理机制。本年度预算绩效纳入预算绩效管理的支出总额为</w:t>
      </w:r>
      <w:r>
        <w:rPr>
          <w:rFonts w:ascii="仿宋_GB2312" w:hAnsi="仿宋_GB2312" w:eastAsia="仿宋_GB2312" w:cs="仿宋_GB2312"/>
          <w:color w:val="auto"/>
          <w:sz w:val="32"/>
          <w:szCs w:val="32"/>
          <w:highlight w:val="none"/>
        </w:rPr>
        <w:t>3094.3</w:t>
      </w:r>
      <w:r>
        <w:rPr>
          <w:rFonts w:hint="eastAsia" w:ascii="仿宋_GB2312" w:hAnsi="仿宋_GB2312" w:eastAsia="仿宋_GB2312" w:cs="仿宋_GB2312"/>
          <w:color w:val="auto"/>
          <w:sz w:val="32"/>
          <w:szCs w:val="32"/>
          <w:highlight w:val="none"/>
        </w:rPr>
        <w:t>万元，其中：基本支出</w:t>
      </w:r>
      <w:r>
        <w:rPr>
          <w:rFonts w:ascii="仿宋_GB2312" w:hAnsi="仿宋_GB2312" w:eastAsia="仿宋_GB2312" w:cs="仿宋_GB2312"/>
          <w:color w:val="auto"/>
          <w:sz w:val="32"/>
          <w:szCs w:val="32"/>
          <w:highlight w:val="none"/>
        </w:rPr>
        <w:t>2929.3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项目支出</w:t>
      </w:r>
      <w:r>
        <w:rPr>
          <w:rFonts w:ascii="仿宋_GB2312" w:hAnsi="仿宋_GB2312" w:eastAsia="仿宋_GB2312" w:cs="仿宋_GB2312"/>
          <w:color w:val="auto"/>
          <w:sz w:val="32"/>
          <w:szCs w:val="32"/>
          <w:highlight w:val="none"/>
        </w:rPr>
        <w:t>165</w:t>
      </w:r>
      <w:r>
        <w:rPr>
          <w:rFonts w:hint="eastAsia" w:ascii="仿宋_GB2312" w:hAnsi="仿宋_GB2312" w:eastAsia="仿宋_GB2312" w:cs="仿宋_GB2312"/>
          <w:color w:val="auto"/>
          <w:sz w:val="32"/>
          <w:szCs w:val="32"/>
          <w:highlight w:val="none"/>
        </w:rPr>
        <w:t>万元。开展项目绩效自评项目</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个。</w:t>
      </w:r>
    </w:p>
    <w:p>
      <w:pPr>
        <w:widowControl/>
        <w:spacing w:line="360" w:lineRule="auto"/>
        <w:ind w:firstLine="964" w:firstLineChars="3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w:t>
      </w:r>
      <w:r>
        <w:rPr>
          <w:rFonts w:hint="eastAsia" w:ascii="楷体_GB2312" w:hAnsi="楷体_GB2312" w:eastAsia="楷体_GB2312" w:cs="楷体_GB2312"/>
          <w:b/>
          <w:bCs/>
          <w:color w:val="auto"/>
          <w:sz w:val="32"/>
          <w:szCs w:val="32"/>
          <w:highlight w:val="none"/>
          <w:lang w:eastAsia="zh-CN"/>
        </w:rPr>
        <w:t>单位</w:t>
      </w:r>
      <w:r>
        <w:rPr>
          <w:rFonts w:hint="eastAsia" w:ascii="楷体_GB2312" w:hAnsi="楷体_GB2312" w:eastAsia="楷体_GB2312" w:cs="楷体_GB2312"/>
          <w:b/>
          <w:bCs/>
          <w:color w:val="auto"/>
          <w:sz w:val="32"/>
          <w:szCs w:val="32"/>
          <w:highlight w:val="none"/>
        </w:rPr>
        <w:t>整体和项目绩效自评结果。</w:t>
      </w:r>
    </w:p>
    <w:p>
      <w:pPr>
        <w:ind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按照《许昌市财政局关于开展</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年度市级预算绩效自评工作的通知》（许财效〔</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号）等文件精神，我单位对本单位整体绩效目标和项目支出绩效目标进行了自评。一是单位整体绩效自评情况：我单位整体预算年初数</w:t>
      </w:r>
      <w:r>
        <w:rPr>
          <w:rFonts w:ascii="仿宋_GB2312" w:hAnsi="仿宋_GB2312" w:eastAsia="仿宋_GB2312" w:cs="仿宋_GB2312"/>
          <w:color w:val="auto"/>
          <w:sz w:val="32"/>
          <w:szCs w:val="32"/>
          <w:highlight w:val="none"/>
        </w:rPr>
        <w:t>3094.3</w:t>
      </w:r>
      <w:r>
        <w:rPr>
          <w:rFonts w:hint="eastAsia" w:ascii="仿宋_GB2312" w:hAnsi="仿宋_GB2312" w:eastAsia="仿宋_GB2312" w:cs="仿宋_GB2312"/>
          <w:color w:val="auto"/>
          <w:sz w:val="32"/>
          <w:szCs w:val="32"/>
          <w:highlight w:val="none"/>
        </w:rPr>
        <w:t>万元，全年执行数</w:t>
      </w:r>
      <w:r>
        <w:rPr>
          <w:rFonts w:ascii="仿宋_GB2312" w:hAnsi="仿宋_GB2312" w:eastAsia="仿宋_GB2312" w:cs="仿宋_GB2312"/>
          <w:color w:val="auto"/>
          <w:sz w:val="32"/>
          <w:szCs w:val="32"/>
          <w:highlight w:val="none"/>
        </w:rPr>
        <w:t>3216</w:t>
      </w:r>
      <w:r>
        <w:rPr>
          <w:rFonts w:hint="eastAsia" w:ascii="仿宋_GB2312" w:hAnsi="仿宋_GB2312" w:eastAsia="仿宋_GB2312" w:cs="仿宋_GB2312"/>
          <w:color w:val="auto"/>
          <w:sz w:val="32"/>
          <w:szCs w:val="32"/>
          <w:highlight w:val="none"/>
        </w:rPr>
        <w:t>万元。根据年度整体目标和主要任务特点分别设置了整体预算绩效目标和绩效指标值进行考评，总分值</w:t>
      </w:r>
      <w:r>
        <w:rPr>
          <w:rFonts w:ascii="仿宋_GB2312" w:hAnsi="仿宋_GB2312" w:eastAsia="仿宋_GB2312" w:cs="仿宋_GB2312"/>
          <w:color w:val="auto"/>
          <w:sz w:val="32"/>
          <w:szCs w:val="32"/>
          <w:highlight w:val="none"/>
        </w:rPr>
        <w:t>100</w:t>
      </w:r>
      <w:r>
        <w:rPr>
          <w:rFonts w:hint="eastAsia" w:ascii="仿宋_GB2312" w:hAnsi="仿宋_GB2312" w:eastAsia="仿宋_GB2312" w:cs="仿宋_GB2312"/>
          <w:color w:val="auto"/>
          <w:sz w:val="32"/>
          <w:szCs w:val="32"/>
          <w:highlight w:val="none"/>
        </w:rPr>
        <w:t>分，并分别设置了一、二、三级绩效目标，按照所设定的各项绩效指标进行了打分自评，总得分</w:t>
      </w:r>
      <w:r>
        <w:rPr>
          <w:rFonts w:ascii="仿宋_GB2312" w:hAnsi="仿宋_GB2312" w:eastAsia="仿宋_GB2312" w:cs="仿宋_GB2312"/>
          <w:color w:val="auto"/>
          <w:sz w:val="32"/>
          <w:szCs w:val="32"/>
          <w:highlight w:val="none"/>
        </w:rPr>
        <w:t>95</w:t>
      </w:r>
      <w:r>
        <w:rPr>
          <w:rFonts w:hint="eastAsia" w:ascii="仿宋_GB2312" w:hAnsi="仿宋_GB2312" w:eastAsia="仿宋_GB2312" w:cs="仿宋_GB2312"/>
          <w:color w:val="auto"/>
          <w:sz w:val="32"/>
          <w:szCs w:val="32"/>
          <w:highlight w:val="none"/>
        </w:rPr>
        <w:t>分。二是项目绩效自评情况。我单位共有</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个项目批复了绩效目标，项目金额</w:t>
      </w:r>
      <w:r>
        <w:rPr>
          <w:rFonts w:ascii="仿宋_GB2312" w:hAnsi="仿宋_GB2312" w:eastAsia="仿宋_GB2312" w:cs="仿宋_GB2312"/>
          <w:color w:val="auto"/>
          <w:sz w:val="32"/>
          <w:szCs w:val="32"/>
          <w:highlight w:val="none"/>
        </w:rPr>
        <w:t>165</w:t>
      </w:r>
      <w:r>
        <w:rPr>
          <w:rFonts w:hint="eastAsia" w:ascii="仿宋_GB2312" w:hAnsi="仿宋_GB2312" w:eastAsia="仿宋_GB2312" w:cs="仿宋_GB2312"/>
          <w:color w:val="auto"/>
          <w:sz w:val="32"/>
          <w:szCs w:val="32"/>
          <w:highlight w:val="none"/>
        </w:rPr>
        <w:t>万。其中：</w:t>
      </w:r>
    </w:p>
    <w:p>
      <w:pPr>
        <w:rPr>
          <w:rFonts w:ascii="仿宋" w:hAnsi="仿宋" w:eastAsia="仿宋" w:cs="楷体"/>
          <w:color w:val="auto"/>
          <w:sz w:val="32"/>
          <w:szCs w:val="32"/>
          <w:highlight w:val="none"/>
        </w:rPr>
      </w:pPr>
      <w:r>
        <w:rPr>
          <w:rFonts w:hint="eastAsia" w:ascii="仿宋_GB2312" w:hAnsi="仿宋_GB2312" w:eastAsia="仿宋_GB2312" w:cs="仿宋_GB2312"/>
          <w:color w:val="auto"/>
          <w:sz w:val="32"/>
          <w:szCs w:val="32"/>
          <w:highlight w:val="none"/>
        </w:rPr>
        <w:t>许昌市第二中学</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个，项目金额</w:t>
      </w:r>
      <w:r>
        <w:rPr>
          <w:rFonts w:ascii="仿宋_GB2312" w:hAnsi="仿宋_GB2312" w:eastAsia="仿宋_GB2312" w:cs="仿宋_GB2312"/>
          <w:color w:val="auto"/>
          <w:sz w:val="32"/>
          <w:szCs w:val="32"/>
          <w:highlight w:val="none"/>
        </w:rPr>
        <w:t>165</w:t>
      </w:r>
      <w:r>
        <w:rPr>
          <w:rFonts w:hint="eastAsia" w:ascii="仿宋_GB2312" w:hAnsi="仿宋_GB2312" w:eastAsia="仿宋_GB2312" w:cs="仿宋_GB2312"/>
          <w:color w:val="auto"/>
          <w:sz w:val="32"/>
          <w:szCs w:val="32"/>
          <w:highlight w:val="none"/>
        </w:rPr>
        <w:t>万元。</w:t>
      </w:r>
    </w:p>
    <w:p>
      <w:pPr>
        <w:widowControl/>
        <w:spacing w:line="360" w:lineRule="auto"/>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基于项目预期目标的实现程度，对</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年度项目支出绩效进行自评，我单位项目支出是校园运行维护费，年初预算</w:t>
      </w:r>
      <w:r>
        <w:rPr>
          <w:rFonts w:ascii="仿宋_GB2312" w:hAnsi="仿宋_GB2312" w:eastAsia="仿宋_GB2312" w:cs="仿宋_GB2312"/>
          <w:color w:val="auto"/>
          <w:sz w:val="32"/>
          <w:szCs w:val="32"/>
          <w:highlight w:val="none"/>
        </w:rPr>
        <w:t>165</w:t>
      </w:r>
      <w:r>
        <w:rPr>
          <w:rFonts w:hint="eastAsia" w:ascii="仿宋_GB2312" w:hAnsi="仿宋_GB2312" w:eastAsia="仿宋_GB2312" w:cs="仿宋_GB2312"/>
          <w:color w:val="auto"/>
          <w:sz w:val="32"/>
          <w:szCs w:val="32"/>
          <w:highlight w:val="none"/>
        </w:rPr>
        <w:t>万元，全年实际执行</w:t>
      </w:r>
      <w:r>
        <w:rPr>
          <w:rFonts w:ascii="仿宋_GB2312" w:hAnsi="仿宋_GB2312" w:eastAsia="仿宋_GB2312" w:cs="仿宋_GB2312"/>
          <w:color w:val="auto"/>
          <w:sz w:val="32"/>
          <w:szCs w:val="32"/>
          <w:highlight w:val="none"/>
        </w:rPr>
        <w:t>140.5</w:t>
      </w:r>
      <w:r>
        <w:rPr>
          <w:rFonts w:hint="eastAsia" w:ascii="仿宋_GB2312" w:hAnsi="仿宋_GB2312" w:eastAsia="仿宋_GB2312" w:cs="仿宋_GB2312"/>
          <w:color w:val="auto"/>
          <w:sz w:val="32"/>
          <w:szCs w:val="32"/>
          <w:highlight w:val="none"/>
        </w:rPr>
        <w:t>万元，执行率</w:t>
      </w:r>
      <w:r>
        <w:rPr>
          <w:rFonts w:ascii="仿宋_GB2312" w:hAnsi="仿宋_GB2312" w:eastAsia="仿宋_GB2312" w:cs="仿宋_GB2312"/>
          <w:color w:val="auto"/>
          <w:sz w:val="32"/>
          <w:szCs w:val="32"/>
          <w:highlight w:val="none"/>
        </w:rPr>
        <w:t>85.2%</w:t>
      </w:r>
      <w:r>
        <w:rPr>
          <w:rFonts w:hint="eastAsia" w:ascii="仿宋_GB2312" w:hAnsi="仿宋_GB2312" w:eastAsia="仿宋_GB2312" w:cs="仿宋_GB2312"/>
          <w:color w:val="auto"/>
          <w:sz w:val="32"/>
          <w:szCs w:val="32"/>
          <w:highlight w:val="none"/>
        </w:rPr>
        <w:t>。项目支出主要围绕年度目标和年度主要任务构成，项目绩效自评平均得分为</w:t>
      </w:r>
      <w:r>
        <w:rPr>
          <w:rFonts w:ascii="仿宋_GB2312" w:hAnsi="仿宋_GB2312" w:eastAsia="仿宋_GB2312" w:cs="仿宋_GB2312"/>
          <w:color w:val="auto"/>
          <w:sz w:val="32"/>
          <w:szCs w:val="32"/>
          <w:highlight w:val="none"/>
        </w:rPr>
        <w:t>95.5</w:t>
      </w:r>
      <w:r>
        <w:rPr>
          <w:rFonts w:hint="eastAsia" w:ascii="仿宋_GB2312" w:hAnsi="仿宋_GB2312" w:eastAsia="仿宋_GB2312" w:cs="仿宋_GB2312"/>
          <w:color w:val="auto"/>
          <w:sz w:val="32"/>
          <w:szCs w:val="32"/>
          <w:highlight w:val="none"/>
        </w:rPr>
        <w:t>分。其中：1个项目评价等级为“优”、0个项目评价等级为“良”、</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个项目评价等级为“中”、</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个项目评价等级为“差”。</w:t>
      </w:r>
    </w:p>
    <w:p>
      <w:pPr>
        <w:widowControl/>
        <w:spacing w:line="360" w:lineRule="auto"/>
        <w:ind w:firstLine="964" w:firstLineChars="300"/>
        <w:outlineLvl w:val="2"/>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widowControl/>
        <w:ind w:firstLine="640" w:firstLineChars="200"/>
        <w:jc w:val="left"/>
        <w:rPr>
          <w:rFonts w:ascii="黑体" w:hAnsi="宋体" w:eastAsia="黑体" w:cs="宋体"/>
          <w:color w:val="auto"/>
          <w:kern w:val="0"/>
          <w:sz w:val="28"/>
          <w:szCs w:val="28"/>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年度我单位没有开展重点绩效评价的项目。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jc w:val="center"/>
        <w:outlineLvl w:val="0"/>
        <w:rPr>
          <w:rFonts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w:t>
      </w:r>
      <w:r>
        <w:rPr>
          <w:rFonts w:ascii="黑体" w:hAnsi="黑体" w:eastAsia="黑体" w:cs="黑体"/>
          <w:color w:val="auto"/>
          <w:sz w:val="48"/>
          <w:szCs w:val="48"/>
          <w:highlight w:val="none"/>
        </w:rPr>
        <w:t xml:space="preserve">  </w:t>
      </w:r>
      <w:r>
        <w:rPr>
          <w:rFonts w:hint="eastAsia" w:ascii="黑体" w:hAnsi="黑体" w:eastAsia="黑体" w:cs="黑体"/>
          <w:color w:val="auto"/>
          <w:sz w:val="48"/>
          <w:szCs w:val="48"/>
          <w:highlight w:val="none"/>
        </w:rPr>
        <w:t>名词解释</w:t>
      </w:r>
    </w:p>
    <w:p>
      <w:pPr>
        <w:jc w:val="center"/>
        <w:rPr>
          <w:rFonts w:ascii="黑体" w:hAnsi="黑体" w:eastAsia="黑体" w:cs="黑体"/>
          <w:color w:val="auto"/>
          <w:sz w:val="48"/>
          <w:szCs w:val="48"/>
          <w:highlight w:val="none"/>
        </w:rPr>
      </w:pPr>
    </w:p>
    <w:p>
      <w:pPr>
        <w:jc w:val="center"/>
        <w:outlineLvl w:val="0"/>
        <w:rPr>
          <w:rFonts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6"/>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a:effectLst/>
                    </wps:spPr>
                    <wps:txbx>
                      <w:txbxContent>
                        <w:p>
                          <w:pPr>
                            <w:snapToGrid w:val="0"/>
                            <w:rPr>
                              <w:sz w:val="18"/>
                            </w:rPr>
                          </w:pPr>
                          <w:r>
                            <w:fldChar w:fldCharType="begin"/>
                          </w:r>
                          <w:r>
                            <w:instrText xml:space="preserve"> PAGE  \* MERGEFORMAT </w:instrText>
                          </w:r>
                          <w:r>
                            <w:fldChar w:fldCharType="separate"/>
                          </w:r>
                          <w:r>
                            <w:rPr>
                              <w:sz w:val="18"/>
                            </w:rPr>
                            <w:t>- 28 -</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20.7pt;width:19.5pt;mso-position-horizontal:center;mso-position-horizontal-relative:margin;mso-wrap-style:none;z-index:251660288;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glE0NEAAAADAQAADwAAAAAAAAABACAAAAAiAAAAZHJz&#10;L2Rvd25yZXYueG1sUEsBAhQAFAAAAAgAh07iQCfDXh7SAQAApQMAAA4AAAAAAAAAAQAgAAAAIAEA&#10;AGRycy9lMm9Eb2MueG1sUEsFBgAAAAAGAAYAWQEAAGQFA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- 28 -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&#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JBU+a0AAAAAMBAAAPAAAAAAAAAAEAIAAAACIAAABk&#10;cnMvZG93bnJldi54bWxQSwECFAAUAAAACACHTuJAyCjjPNUBAACoAwAADgAAAAAAAAABACAAAAAf&#10;AQAAZHJzL2Uyb0RvYy54bWxQSwUGAAAAAAYABgBZAQAAZgUAAAAA&#10;">
              <v:fill on="f" focussize="0,0"/>
              <v:stroke on="f"/>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262890"/>
              <wp:effectExtent l="0" t="0" r="0" b="0"/>
              <wp:wrapNone/>
              <wp:docPr id="3" name="文本框 7"/>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a:effectLst/>
                    </wps:spPr>
                    <wps:txbx>
                      <w:txbxContent>
                        <w:p>
                          <w:pPr>
                            <w:snapToGrid w:val="0"/>
                            <w:rPr>
                              <w:sz w:val="18"/>
                            </w:rPr>
                          </w:pPr>
                          <w:r>
                            <w:fldChar w:fldCharType="begin"/>
                          </w:r>
                          <w:r>
                            <w:instrText xml:space="preserve"> PAGE  \* MERGEFORMAT </w:instrText>
                          </w:r>
                          <w:r>
                            <w:fldChar w:fldCharType="separate"/>
                          </w:r>
                          <w:r>
                            <w:rPr>
                              <w:sz w:val="18"/>
                            </w:rPr>
                            <w:t>- 32 -</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20.7pt;width:19.5pt;mso-position-horizontal:center;mso-position-horizontal-relative:margin;mso-wrap-style:none;z-index:251661312;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CUTQ0QAAAAMBAAAPAAAAAAAAAAEAIAAAACIAAABk&#10;cnMvZG93bnJldi54bWxQSwECFAAUAAAACACHTuJAE0zIxNQBAAClAwAADgAAAAAAAAABACAAAAAg&#10;AQAAZHJzL2Uyb0RvYy54bWxQSwUGAAAAAAYABgBZAQAAZgU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- 32 -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75269"/>
    <w:rsid w:val="000150CA"/>
    <w:rsid w:val="00075269"/>
    <w:rsid w:val="000846B4"/>
    <w:rsid w:val="00097F47"/>
    <w:rsid w:val="000A6C38"/>
    <w:rsid w:val="000D5D14"/>
    <w:rsid w:val="000D6B25"/>
    <w:rsid w:val="00116DF0"/>
    <w:rsid w:val="001449E3"/>
    <w:rsid w:val="001B0944"/>
    <w:rsid w:val="00205367"/>
    <w:rsid w:val="00222C95"/>
    <w:rsid w:val="002576ED"/>
    <w:rsid w:val="002F0CFA"/>
    <w:rsid w:val="0033676B"/>
    <w:rsid w:val="0036236A"/>
    <w:rsid w:val="003641E2"/>
    <w:rsid w:val="0038458B"/>
    <w:rsid w:val="0044722C"/>
    <w:rsid w:val="004545FA"/>
    <w:rsid w:val="004864AC"/>
    <w:rsid w:val="0049298A"/>
    <w:rsid w:val="00504C28"/>
    <w:rsid w:val="005148F3"/>
    <w:rsid w:val="00546EAB"/>
    <w:rsid w:val="00564C00"/>
    <w:rsid w:val="00587220"/>
    <w:rsid w:val="005D4F18"/>
    <w:rsid w:val="005D61C9"/>
    <w:rsid w:val="005F62A4"/>
    <w:rsid w:val="006536D5"/>
    <w:rsid w:val="006F0B5D"/>
    <w:rsid w:val="006F3FCC"/>
    <w:rsid w:val="00783D4D"/>
    <w:rsid w:val="007B6127"/>
    <w:rsid w:val="007D50AB"/>
    <w:rsid w:val="0082479B"/>
    <w:rsid w:val="008A6287"/>
    <w:rsid w:val="008B562E"/>
    <w:rsid w:val="008C5180"/>
    <w:rsid w:val="008F290B"/>
    <w:rsid w:val="0091077F"/>
    <w:rsid w:val="00916B2E"/>
    <w:rsid w:val="00925A95"/>
    <w:rsid w:val="0098484A"/>
    <w:rsid w:val="00991426"/>
    <w:rsid w:val="009923F0"/>
    <w:rsid w:val="009C7882"/>
    <w:rsid w:val="009D607D"/>
    <w:rsid w:val="00A03C2A"/>
    <w:rsid w:val="00A245A9"/>
    <w:rsid w:val="00A31CD9"/>
    <w:rsid w:val="00AA0E22"/>
    <w:rsid w:val="00B30E06"/>
    <w:rsid w:val="00C05A48"/>
    <w:rsid w:val="00C07A5F"/>
    <w:rsid w:val="00CC6D94"/>
    <w:rsid w:val="00CD4329"/>
    <w:rsid w:val="00DD0A5B"/>
    <w:rsid w:val="00DD1F82"/>
    <w:rsid w:val="00DE6A06"/>
    <w:rsid w:val="00E04FE7"/>
    <w:rsid w:val="00E55F9B"/>
    <w:rsid w:val="00F35734"/>
    <w:rsid w:val="00FF3C65"/>
    <w:rsid w:val="16044AEE"/>
    <w:rsid w:val="16AB092C"/>
    <w:rsid w:val="1BD3287A"/>
    <w:rsid w:val="2F403403"/>
    <w:rsid w:val="35A66C08"/>
    <w:rsid w:val="4BFD3FD9"/>
    <w:rsid w:val="67FFFAE9"/>
    <w:rsid w:val="6BB75715"/>
    <w:rsid w:val="6DCE5493"/>
    <w:rsid w:val="79BC2CA9"/>
    <w:rsid w:val="7BB40873"/>
    <w:rsid w:val="DEBD9AF1"/>
    <w:rsid w:val="EEF7491E"/>
    <w:rsid w:val="F7758C66"/>
    <w:rsid w:val="FDF43292"/>
    <w:rsid w:val="FE7F12F2"/>
    <w:rsid w:val="FE7F7C84"/>
    <w:rsid w:val="FFFFA1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qFormat/>
    <w:uiPriority w:val="0"/>
    <w:rPr>
      <w:rFonts w:cs="Times New Roman"/>
      <w:color w:val="800080"/>
      <w:u w:val="single"/>
    </w:rPr>
  </w:style>
  <w:style w:type="character" w:styleId="8">
    <w:name w:val="Hyperlink"/>
    <w:basedOn w:val="6"/>
    <w:qFormat/>
    <w:uiPriority w:val="0"/>
    <w:rPr>
      <w:rFonts w:cs="Times New Roman"/>
      <w:color w:val="0000FF"/>
      <w:u w:val="single"/>
    </w:rPr>
  </w:style>
  <w:style w:type="character" w:customStyle="1" w:styleId="9">
    <w:name w:val="Balloon Text Char"/>
    <w:basedOn w:val="6"/>
    <w:link w:val="2"/>
    <w:semiHidden/>
    <w:qFormat/>
    <w:locked/>
    <w:uiPriority w:val="0"/>
    <w:rPr>
      <w:rFonts w:eastAsia="宋体"/>
      <w:kern w:val="2"/>
      <w:sz w:val="18"/>
      <w:szCs w:val="18"/>
      <w:lang w:val="en-US" w:eastAsia="zh-CN" w:bidi="ar-SA"/>
    </w:rPr>
  </w:style>
  <w:style w:type="character" w:customStyle="1" w:styleId="10">
    <w:name w:val="Footer Char"/>
    <w:basedOn w:val="6"/>
    <w:link w:val="3"/>
    <w:qFormat/>
    <w:locked/>
    <w:uiPriority w:val="0"/>
    <w:rPr>
      <w:rFonts w:eastAsia="宋体"/>
      <w:kern w:val="2"/>
      <w:sz w:val="18"/>
      <w:szCs w:val="18"/>
      <w:lang w:val="en-US" w:eastAsia="zh-CN" w:bidi="ar-SA"/>
    </w:rPr>
  </w:style>
  <w:style w:type="character" w:customStyle="1" w:styleId="11">
    <w:name w:val="Header Char"/>
    <w:basedOn w:val="6"/>
    <w:link w:val="4"/>
    <w:qFormat/>
    <w:locked/>
    <w:uiPriority w:val="0"/>
    <w:rPr>
      <w:rFonts w:eastAsia="宋体"/>
      <w:kern w:val="2"/>
      <w:sz w:val="18"/>
      <w:szCs w:val="18"/>
      <w:lang w:val="en-US" w:eastAsia="zh-CN" w:bidi="ar-SA"/>
    </w:rPr>
  </w:style>
  <w:style w:type="character" w:customStyle="1" w:styleId="12">
    <w:name w:val="font01"/>
    <w:qFormat/>
    <w:uiPriority w:val="0"/>
    <w:rPr>
      <w:rFonts w:ascii="宋体" w:hAnsi="宋体" w:eastAsia="宋体"/>
      <w:color w:val="000000"/>
      <w:sz w:val="22"/>
      <w:u w:val="none"/>
    </w:rPr>
  </w:style>
  <w:style w:type="character" w:customStyle="1" w:styleId="13">
    <w:name w:val="font21"/>
    <w:qFormat/>
    <w:uiPriority w:val="0"/>
    <w:rPr>
      <w:rFonts w:ascii="宋体" w:hAnsi="宋体" w:eastAsia="宋体"/>
      <w:color w:val="000000"/>
      <w:sz w:val="22"/>
      <w:u w:val="none"/>
    </w:rPr>
  </w:style>
  <w:style w:type="character" w:customStyle="1" w:styleId="14">
    <w:name w:val="font51"/>
    <w:qFormat/>
    <w:uiPriority w:val="0"/>
    <w:rPr>
      <w:rFonts w:ascii="宋体" w:hAnsi="宋体" w:eastAsia="宋体"/>
      <w:color w:val="000000"/>
      <w:sz w:val="24"/>
      <w:u w:val="none"/>
    </w:rPr>
  </w:style>
  <w:style w:type="character" w:customStyle="1" w:styleId="15">
    <w:name w:val="font11"/>
    <w:qFormat/>
    <w:uiPriority w:val="0"/>
    <w:rPr>
      <w:rFonts w:ascii="宋体" w:hAnsi="宋体" w:eastAsia="宋体"/>
      <w:color w:val="000000"/>
      <w:sz w:val="20"/>
      <w:u w:val="none"/>
    </w:rPr>
  </w:style>
  <w:style w:type="character" w:customStyle="1" w:styleId="16">
    <w:name w:val="font41"/>
    <w:qFormat/>
    <w:uiPriority w:val="0"/>
    <w:rPr>
      <w:rFonts w:ascii="宋体" w:hAnsi="宋体" w:eastAsia="宋体"/>
      <w:color w:val="000000"/>
      <w:sz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 China</Company>
  <Pages>32</Pages>
  <Words>8545</Words>
  <Characters>10737</Characters>
  <Lines>93</Lines>
  <Paragraphs>26</Paragraphs>
  <TotalTime>26</TotalTime>
  <ScaleCrop>false</ScaleCrop>
  <LinksUpToDate>false</LinksUpToDate>
  <CharactersWithSpaces>10975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2023-03-31T16:41:00Z</dcterms:created>
  <dc:creator>XC2Z</dc:creator>
  <cp:lastModifiedBy>悟の</cp:lastModifiedBy>
  <dcterms:modified xsi:type="dcterms:W3CDTF">2023-09-17T11:19:14Z</dcterms:modified>
  <dc:title>2021年度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F3A2E451D3744F11B1D7132CC7B26F63_13</vt:lpwstr>
  </property>
</Properties>
</file>