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rPr>
      </w:pPr>
      <w:bookmarkStart w:id="0" w:name="_GoBack"/>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rPr>
          <w:rFonts w:hint="eastAsia"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hint="eastAsia" w:ascii="黑体" w:hAnsi="黑体" w:eastAsia="黑体" w:cs="黑体"/>
          <w:color w:val="auto"/>
          <w:sz w:val="52"/>
          <w:szCs w:val="52"/>
        </w:rPr>
      </w:pPr>
      <w:r>
        <w:rPr>
          <w:rFonts w:hint="eastAsia" w:ascii="黑体" w:hAnsi="黑体" w:eastAsia="黑体" w:cs="黑体"/>
          <w:color w:val="auto"/>
          <w:sz w:val="52"/>
          <w:szCs w:val="52"/>
        </w:rPr>
        <w:t>许昌市第三初级中学单位决算</w:t>
      </w:r>
    </w:p>
    <w:p>
      <w:pPr>
        <w:jc w:val="center"/>
        <w:rPr>
          <w:rFonts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52"/>
          <w:szCs w:val="52"/>
        </w:rPr>
      </w:pPr>
    </w:p>
    <w:p>
      <w:pPr>
        <w:jc w:val="center"/>
        <w:rPr>
          <w:rFonts w:hint="eastAsia"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目　　录</w:t>
      </w:r>
    </w:p>
    <w:p>
      <w:pPr>
        <w:jc w:val="left"/>
        <w:rPr>
          <w:rFonts w:ascii="黑体" w:hAnsi="黑体" w:eastAsia="黑体" w:cs="黑体"/>
          <w:color w:val="auto"/>
          <w:sz w:val="32"/>
          <w:szCs w:val="32"/>
        </w:rPr>
      </w:pPr>
      <w:r>
        <w:rPr>
          <w:rFonts w:hint="eastAsia" w:ascii="黑体" w:hAnsi="黑体" w:eastAsia="黑体" w:cs="黑体"/>
          <w:color w:val="auto"/>
          <w:sz w:val="32"/>
          <w:szCs w:val="32"/>
        </w:rPr>
        <w:t>第一部分　许昌市第三初级中学概况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lang w:eastAsia="zh-CN"/>
        </w:rPr>
        <w:t>单位</w:t>
      </w:r>
      <w:r>
        <w:rPr>
          <w:rFonts w:hint="eastAsia" w:ascii="宋体" w:hAnsi="宋体" w:cs="宋体"/>
          <w:color w:val="auto"/>
          <w:sz w:val="32"/>
          <w:szCs w:val="32"/>
        </w:rPr>
        <w:t>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2021年度单位决算表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hint="eastAsia"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hint="eastAsia" w:ascii="黑体" w:hAnsi="黑体" w:eastAsia="黑体" w:cs="黑体"/>
          <w:color w:val="auto"/>
          <w:sz w:val="32"/>
          <w:szCs w:val="32"/>
        </w:rPr>
      </w:pPr>
      <w:r>
        <w:rPr>
          <w:rFonts w:hint="eastAsia" w:ascii="黑体" w:hAnsi="黑体" w:eastAsia="黑体" w:cs="黑体"/>
          <w:color w:val="auto"/>
          <w:sz w:val="32"/>
          <w:szCs w:val="32"/>
        </w:rPr>
        <w:t>第三部分　</w:t>
      </w:r>
      <w:r>
        <w:rPr>
          <w:rFonts w:ascii="黑体" w:hAnsi="黑体" w:eastAsia="黑体" w:cs="黑体"/>
          <w:color w:val="auto"/>
          <w:sz w:val="32"/>
          <w:szCs w:val="32"/>
        </w:rPr>
        <w:t>2021</w:t>
      </w:r>
      <w:r>
        <w:rPr>
          <w:rFonts w:hint="eastAsia" w:ascii="黑体" w:hAnsi="黑体" w:eastAsia="黑体" w:cs="黑体"/>
          <w:color w:val="auto"/>
          <w:sz w:val="32"/>
          <w:szCs w:val="32"/>
        </w:rPr>
        <w:t>年度单位决算情况说明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hint="eastAsia" w:ascii="宋体" w:hAnsi="宋体" w:cs="宋体"/>
          <w:color w:val="auto"/>
          <w:sz w:val="32"/>
          <w:szCs w:val="32"/>
        </w:rPr>
      </w:pPr>
      <w:r>
        <w:rPr>
          <w:rFonts w:hint="eastAsia" w:ascii="宋体" w:hAnsi="宋体" w:cs="宋体"/>
          <w:color w:val="auto"/>
          <w:sz w:val="32"/>
          <w:szCs w:val="32"/>
        </w:rPr>
        <w:t>十二、预算绩效情况说明</w:t>
      </w:r>
    </w:p>
    <w:p>
      <w:pPr>
        <w:jc w:val="left"/>
        <w:rPr>
          <w:rFonts w:hint="eastAsia" w:ascii="黑体" w:hAnsi="黑体" w:eastAsia="黑体" w:cs="黑体"/>
          <w:color w:val="auto"/>
          <w:sz w:val="32"/>
          <w:szCs w:val="32"/>
        </w:rPr>
      </w:pPr>
      <w:r>
        <w:rPr>
          <w:rFonts w:hint="eastAsia" w:ascii="黑体" w:hAnsi="黑体" w:eastAsia="黑体" w:cs="黑体"/>
          <w:color w:val="auto"/>
          <w:sz w:val="32"/>
          <w:szCs w:val="32"/>
        </w:rPr>
        <w:t>第四部分　　名词解释</w:t>
      </w: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黑体" w:eastAsia="黑体" w:cs="黑体"/>
          <w:color w:val="auto"/>
          <w:sz w:val="48"/>
          <w:szCs w:val="48"/>
        </w:rPr>
      </w:pPr>
    </w:p>
    <w:p>
      <w:pPr>
        <w:widowControl/>
        <w:jc w:val="center"/>
        <w:outlineLvl w:val="0"/>
        <w:rPr>
          <w:rFonts w:hint="eastAsia" w:ascii="黑体" w:hAnsi="宋体" w:eastAsia="黑体" w:cs="宋体"/>
          <w:color w:val="auto"/>
          <w:kern w:val="0"/>
          <w:sz w:val="28"/>
          <w:szCs w:val="28"/>
        </w:rPr>
      </w:pPr>
      <w:r>
        <w:rPr>
          <w:rFonts w:hint="eastAsia" w:ascii="黑体" w:hAnsi="黑体" w:eastAsia="黑体" w:cs="黑体"/>
          <w:color w:val="auto"/>
          <w:sz w:val="48"/>
          <w:szCs w:val="48"/>
        </w:rPr>
        <w:t>第一部分  许昌市第三初级中学概况</w:t>
      </w: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jc w:val="left"/>
        <w:outlineLvl w:val="1"/>
        <w:rPr>
          <w:rFonts w:ascii="黑体" w:hAnsi="黑体" w:eastAsia="黑体" w:cs="黑体"/>
          <w:color w:val="auto"/>
          <w:kern w:val="0"/>
          <w:sz w:val="32"/>
          <w:szCs w:val="32"/>
        </w:rPr>
      </w:pPr>
    </w:p>
    <w:p>
      <w:pPr>
        <w:widowControl/>
        <w:ind w:firstLine="640" w:firstLineChars="200"/>
        <w:jc w:val="left"/>
        <w:outlineLvl w:val="1"/>
        <w:rPr>
          <w:rFonts w:hint="eastAsia" w:ascii="黑体" w:hAnsi="黑体" w:eastAsia="黑体" w:cs="黑体"/>
          <w:color w:val="auto"/>
          <w:kern w:val="0"/>
          <w:sz w:val="32"/>
          <w:szCs w:val="32"/>
        </w:rPr>
      </w:pPr>
    </w:p>
    <w:p>
      <w:pPr>
        <w:widowControl/>
        <w:ind w:firstLine="640" w:firstLineChars="200"/>
        <w:jc w:val="left"/>
        <w:outlineLvl w:val="1"/>
        <w:rPr>
          <w:rFonts w:hint="eastAsia" w:ascii="黑体" w:hAnsi="黑体" w:eastAsia="黑体" w:cs="黑体"/>
          <w:color w:val="auto"/>
          <w:kern w:val="0"/>
          <w:sz w:val="32"/>
          <w:szCs w:val="32"/>
        </w:rPr>
      </w:pPr>
    </w:p>
    <w:p>
      <w:pPr>
        <w:widowControl/>
        <w:ind w:firstLine="640" w:firstLineChars="200"/>
        <w:jc w:val="left"/>
        <w:outlineLvl w:val="1"/>
        <w:rPr>
          <w:rFonts w:hint="eastAsia" w:ascii="黑体" w:hAnsi="黑体" w:eastAsia="黑体" w:cs="黑体"/>
          <w:color w:val="auto"/>
          <w:kern w:val="0"/>
          <w:sz w:val="32"/>
          <w:szCs w:val="32"/>
        </w:rPr>
      </w:pPr>
    </w:p>
    <w:p>
      <w:pPr>
        <w:widowControl/>
        <w:ind w:firstLine="640" w:firstLineChars="200"/>
        <w:jc w:val="left"/>
        <w:outlineLvl w:val="1"/>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eastAsia="zh-CN"/>
        </w:rPr>
        <w:t>单位</w:t>
      </w:r>
      <w:r>
        <w:rPr>
          <w:rFonts w:hint="eastAsia" w:ascii="黑体" w:hAnsi="黑体" w:eastAsia="黑体" w:cs="黑体"/>
          <w:bCs/>
          <w:color w:val="auto"/>
          <w:sz w:val="32"/>
          <w:szCs w:val="32"/>
        </w:rPr>
        <w:t>职责</w:t>
      </w:r>
    </w:p>
    <w:p>
      <w:pPr>
        <w:ind w:firstLine="640" w:firstLineChars="200"/>
        <w:rPr>
          <w:rFonts w:ascii="仿宋_GB2312" w:hAnsi="仿宋" w:eastAsia="仿宋_GB2312"/>
          <w:color w:val="auto"/>
          <w:sz w:val="32"/>
        </w:rPr>
      </w:pPr>
      <w:r>
        <w:rPr>
          <w:rFonts w:ascii="仿宋_GB2312" w:hAnsi="仿宋" w:eastAsia="仿宋_GB2312"/>
          <w:color w:val="auto"/>
          <w:sz w:val="32"/>
        </w:rPr>
        <w:t>1</w:t>
      </w:r>
      <w:r>
        <w:rPr>
          <w:rFonts w:hint="eastAsia" w:ascii="仿宋_GB2312" w:hAnsi="仿宋" w:eastAsia="仿宋_GB2312"/>
          <w:color w:val="auto"/>
          <w:sz w:val="32"/>
        </w:rPr>
        <w:t>、全面贯彻执行党和国家的教育方针、政策和法规,实施初中义务教育，促进基础教育发展。</w:t>
      </w:r>
    </w:p>
    <w:p>
      <w:pPr>
        <w:ind w:firstLine="640" w:firstLineChars="200"/>
        <w:rPr>
          <w:rFonts w:ascii="仿宋_GB2312" w:hAnsi="仿宋" w:eastAsia="仿宋_GB2312"/>
          <w:color w:val="auto"/>
          <w:sz w:val="32"/>
        </w:rPr>
      </w:pPr>
      <w:r>
        <w:rPr>
          <w:rFonts w:ascii="仿宋_GB2312" w:hAnsi="仿宋" w:eastAsia="仿宋_GB2312"/>
          <w:color w:val="auto"/>
          <w:sz w:val="32"/>
        </w:rPr>
        <w:t>2</w:t>
      </w:r>
      <w:r>
        <w:rPr>
          <w:rFonts w:hint="eastAsia" w:ascii="仿宋_GB2312" w:hAnsi="仿宋" w:eastAsia="仿宋_GB2312"/>
          <w:color w:val="auto"/>
          <w:sz w:val="32"/>
        </w:rPr>
        <w:t>、负责依法制定学校章程，并按照章程自主管理。</w:t>
      </w:r>
    </w:p>
    <w:p>
      <w:pPr>
        <w:ind w:firstLine="640" w:firstLineChars="200"/>
        <w:rPr>
          <w:rFonts w:ascii="仿宋_GB2312" w:hAnsi="仿宋" w:eastAsia="仿宋_GB2312"/>
          <w:color w:val="auto"/>
          <w:sz w:val="32"/>
        </w:rPr>
      </w:pPr>
      <w:r>
        <w:rPr>
          <w:rFonts w:ascii="仿宋_GB2312" w:hAnsi="仿宋" w:eastAsia="仿宋_GB2312"/>
          <w:color w:val="auto"/>
          <w:sz w:val="32"/>
        </w:rPr>
        <w:t>3</w:t>
      </w:r>
      <w:r>
        <w:rPr>
          <w:rFonts w:hint="eastAsia" w:ascii="仿宋_GB2312" w:hAnsi="仿宋" w:eastAsia="仿宋_GB2312"/>
          <w:color w:val="auto"/>
          <w:sz w:val="32"/>
        </w:rPr>
        <w:t>、负责制定学校教育发展规划，并抓好组织实施和落实工作。</w:t>
      </w:r>
    </w:p>
    <w:p>
      <w:pPr>
        <w:ind w:firstLine="640" w:firstLineChars="200"/>
        <w:rPr>
          <w:rFonts w:ascii="仿宋_GB2312" w:hAnsi="仿宋" w:eastAsia="仿宋_GB2312"/>
          <w:color w:val="auto"/>
          <w:sz w:val="32"/>
        </w:rPr>
      </w:pPr>
      <w:r>
        <w:rPr>
          <w:rFonts w:ascii="仿宋_GB2312" w:hAnsi="仿宋" w:eastAsia="仿宋_GB2312"/>
          <w:color w:val="auto"/>
          <w:sz w:val="32"/>
        </w:rPr>
        <w:t>4</w:t>
      </w:r>
      <w:r>
        <w:rPr>
          <w:rFonts w:hint="eastAsia" w:ascii="仿宋_GB2312" w:hAnsi="仿宋" w:eastAsia="仿宋_GB2312"/>
          <w:color w:val="auto"/>
          <w:sz w:val="32"/>
        </w:rPr>
        <w:t>、负责按照教育主管</w:t>
      </w:r>
      <w:r>
        <w:rPr>
          <w:rFonts w:hint="eastAsia" w:ascii="仿宋_GB2312" w:hAnsi="仿宋" w:eastAsia="仿宋_GB2312"/>
          <w:color w:val="auto"/>
          <w:sz w:val="32"/>
          <w:lang w:eastAsia="zh-CN"/>
        </w:rPr>
        <w:t>单位</w:t>
      </w:r>
      <w:r>
        <w:rPr>
          <w:rFonts w:hint="eastAsia" w:ascii="仿宋_GB2312" w:hAnsi="仿宋" w:eastAsia="仿宋_GB2312"/>
          <w:color w:val="auto"/>
          <w:sz w:val="32"/>
        </w:rPr>
        <w:t>发布的指导性教育计划、教学大纲，组织实施教育教学活动。</w:t>
      </w:r>
    </w:p>
    <w:p>
      <w:pPr>
        <w:ind w:firstLine="640" w:firstLineChars="200"/>
        <w:rPr>
          <w:rFonts w:ascii="仿宋_GB2312" w:hAnsi="仿宋" w:eastAsia="仿宋_GB2312"/>
          <w:color w:val="auto"/>
          <w:sz w:val="32"/>
        </w:rPr>
      </w:pPr>
      <w:r>
        <w:rPr>
          <w:rFonts w:ascii="仿宋_GB2312" w:hAnsi="仿宋" w:eastAsia="仿宋_GB2312"/>
          <w:color w:val="auto"/>
          <w:sz w:val="32"/>
        </w:rPr>
        <w:t>5</w:t>
      </w:r>
      <w:r>
        <w:rPr>
          <w:rFonts w:hint="eastAsia" w:ascii="仿宋_GB2312" w:hAnsi="仿宋" w:eastAsia="仿宋_GB2312"/>
          <w:color w:val="auto"/>
          <w:sz w:val="32"/>
        </w:rPr>
        <w:t>、负责依据国家教育主管</w:t>
      </w:r>
      <w:r>
        <w:rPr>
          <w:rFonts w:hint="eastAsia" w:ascii="仿宋_GB2312" w:hAnsi="仿宋" w:eastAsia="仿宋_GB2312"/>
          <w:color w:val="auto"/>
          <w:sz w:val="32"/>
          <w:lang w:eastAsia="zh-CN"/>
        </w:rPr>
        <w:t>单位</w:t>
      </w:r>
      <w:r>
        <w:rPr>
          <w:rFonts w:hint="eastAsia" w:ascii="仿宋_GB2312" w:hAnsi="仿宋" w:eastAsia="仿宋_GB2312"/>
          <w:color w:val="auto"/>
          <w:sz w:val="32"/>
        </w:rPr>
        <w:t>有关教学计划、课程设置等方面的规定，决定和实施本校的教学计划，组织教学评比、集体备课，对学生进行统一考核、考试等。</w:t>
      </w:r>
    </w:p>
    <w:p>
      <w:pPr>
        <w:ind w:firstLine="640" w:firstLineChars="200"/>
        <w:rPr>
          <w:rFonts w:ascii="仿宋_GB2312" w:hAnsi="仿宋" w:eastAsia="仿宋_GB2312"/>
          <w:color w:val="auto"/>
          <w:sz w:val="32"/>
        </w:rPr>
      </w:pPr>
      <w:r>
        <w:rPr>
          <w:rFonts w:ascii="仿宋_GB2312" w:hAnsi="仿宋" w:eastAsia="仿宋_GB2312"/>
          <w:color w:val="auto"/>
          <w:sz w:val="32"/>
        </w:rPr>
        <w:t>6</w:t>
      </w:r>
      <w:r>
        <w:rPr>
          <w:rFonts w:hint="eastAsia" w:ascii="仿宋_GB2312" w:hAnsi="仿宋" w:eastAsia="仿宋_GB2312"/>
          <w:color w:val="auto"/>
          <w:sz w:val="32"/>
        </w:rPr>
        <w:t>、负责科学管理、合理使用学校的设施和经费，并积极筹措资金，改善办学条件。</w:t>
      </w:r>
    </w:p>
    <w:p>
      <w:pPr>
        <w:ind w:firstLine="640" w:firstLineChars="200"/>
        <w:rPr>
          <w:rFonts w:ascii="仿宋_GB2312" w:hAnsi="仿宋" w:eastAsia="仿宋_GB2312"/>
          <w:color w:val="auto"/>
          <w:sz w:val="32"/>
        </w:rPr>
      </w:pPr>
      <w:r>
        <w:rPr>
          <w:rFonts w:ascii="仿宋_GB2312" w:hAnsi="仿宋" w:eastAsia="仿宋_GB2312"/>
          <w:color w:val="auto"/>
          <w:sz w:val="32"/>
        </w:rPr>
        <w:t>7</w:t>
      </w:r>
      <w:r>
        <w:rPr>
          <w:rFonts w:hint="eastAsia" w:ascii="仿宋_GB2312" w:hAnsi="仿宋" w:eastAsia="仿宋_GB2312"/>
          <w:color w:val="auto"/>
          <w:sz w:val="32"/>
        </w:rPr>
        <w:t>、负责维护学校、师生的合法权益，有权拒绝任何组织和个人对教育教学活动进行非法干涉。</w:t>
      </w:r>
    </w:p>
    <w:p>
      <w:pPr>
        <w:ind w:firstLine="640" w:firstLineChars="200"/>
        <w:rPr>
          <w:rFonts w:ascii="黑体" w:hAnsi="黑体" w:eastAsia="黑体"/>
          <w:color w:val="auto"/>
          <w:sz w:val="32"/>
        </w:rPr>
      </w:pPr>
      <w:r>
        <w:rPr>
          <w:rFonts w:hint="eastAsia" w:ascii="仿宋_GB2312" w:hAnsi="仿宋" w:eastAsia="仿宋_GB2312"/>
          <w:color w:val="auto"/>
          <w:sz w:val="32"/>
        </w:rPr>
        <w:t>８、依法接受各级教育行政</w:t>
      </w:r>
      <w:r>
        <w:rPr>
          <w:rFonts w:hint="eastAsia" w:ascii="仿宋_GB2312" w:hAnsi="仿宋" w:eastAsia="仿宋_GB2312"/>
          <w:color w:val="auto"/>
          <w:sz w:val="32"/>
          <w:lang w:eastAsia="zh-CN"/>
        </w:rPr>
        <w:t>单位</w:t>
      </w:r>
      <w:r>
        <w:rPr>
          <w:rFonts w:hint="eastAsia" w:ascii="仿宋_GB2312" w:hAnsi="仿宋" w:eastAsia="仿宋_GB2312"/>
          <w:color w:val="auto"/>
          <w:sz w:val="32"/>
        </w:rPr>
        <w:t>的检查指导和人民群众的监督。</w:t>
      </w:r>
    </w:p>
    <w:p>
      <w:pPr>
        <w:widowControl/>
        <w:ind w:firstLine="640" w:firstLineChars="200"/>
        <w:jc w:val="left"/>
        <w:rPr>
          <w:rFonts w:hint="eastAsia" w:ascii="黑体" w:hAnsi="黑体" w:eastAsia="黑体"/>
          <w:color w:val="auto"/>
          <w:sz w:val="32"/>
        </w:rPr>
      </w:pPr>
      <w:r>
        <w:rPr>
          <w:rFonts w:hint="eastAsia" w:ascii="黑体" w:hAnsi="黑体" w:eastAsia="黑体"/>
          <w:color w:val="auto"/>
          <w:sz w:val="32"/>
        </w:rPr>
        <w:t>二、机构设置</w:t>
      </w:r>
    </w:p>
    <w:p>
      <w:pPr>
        <w:widowControl/>
        <w:ind w:firstLine="640" w:firstLineChars="200"/>
        <w:jc w:val="left"/>
        <w:rPr>
          <w:rFonts w:hint="eastAsia" w:ascii="仿宋_GB2312" w:hAnsi="仿宋_GB2312" w:eastAsia="仿宋_GB2312"/>
          <w:color w:val="auto"/>
          <w:sz w:val="32"/>
        </w:rPr>
      </w:pPr>
      <w:r>
        <w:rPr>
          <w:rFonts w:hint="eastAsia" w:ascii="仿宋_GB2312" w:hAnsi="仿宋_GB2312" w:eastAsia="仿宋_GB2312"/>
          <w:color w:val="auto"/>
          <w:sz w:val="32"/>
        </w:rPr>
        <w:t>许昌市第三初级中学内设机构5个，包括：办公室、教务科、正教科、安全科、总务科。</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纳入本</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2021年度决算编报范围的单位共1个，具体是：</w:t>
      </w:r>
    </w:p>
    <w:p>
      <w:pPr>
        <w:widowControl/>
        <w:ind w:right="319" w:rightChars="152"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1.许昌市第三初级中学</w:t>
      </w:r>
    </w:p>
    <w:p>
      <w:pPr>
        <w:widowControl/>
        <w:ind w:firstLine="560" w:firstLineChars="200"/>
        <w:jc w:val="left"/>
        <w:rPr>
          <w:rFonts w:hint="eastAsia" w:ascii="黑体" w:eastAsia="黑体"/>
          <w:color w:val="auto"/>
          <w:sz w:val="28"/>
        </w:rPr>
      </w:pPr>
    </w:p>
    <w:p>
      <w:pPr>
        <w:widowControl/>
        <w:ind w:firstLine="640" w:firstLineChars="200"/>
        <w:jc w:val="left"/>
        <w:rPr>
          <w:rFonts w:hint="eastAsia" w:ascii="仿宋_GB2312" w:hAnsi="仿宋_GB2312" w:eastAsia="仿宋_GB2312" w:cs="仿宋_GB2312"/>
          <w:color w:val="auto"/>
          <w:kern w:val="0"/>
          <w:sz w:val="32"/>
          <w:szCs w:val="32"/>
        </w:rPr>
      </w:pPr>
    </w:p>
    <w:p>
      <w:pPr>
        <w:widowControl/>
        <w:jc w:val="left"/>
        <w:rPr>
          <w:rFonts w:hint="eastAsia" w:ascii="黑体" w:hAnsi="宋体" w:eastAsia="黑体" w:cs="宋体"/>
          <w:color w:val="auto"/>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outlineLvl w:val="0"/>
        <w:rPr>
          <w:rFonts w:hint="eastAsia" w:ascii="黑体" w:hAnsi="黑体" w:eastAsia="黑体" w:cs="黑体"/>
          <w:color w:val="auto"/>
          <w:sz w:val="48"/>
          <w:szCs w:val="48"/>
        </w:rPr>
      </w:pPr>
      <w:r>
        <w:rPr>
          <w:rFonts w:hint="eastAsia" w:ascii="黑体" w:hAnsi="黑体" w:eastAsia="黑体" w:cs="黑体"/>
          <w:color w:val="auto"/>
          <w:sz w:val="48"/>
          <w:szCs w:val="48"/>
        </w:rPr>
        <w:t>第二部分  2021年度单位决算表</w:t>
      </w: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rPr>
      </w:pPr>
    </w:p>
    <w:tbl>
      <w:tblPr>
        <w:tblStyle w:val="5"/>
        <w:tblW w:w="14730" w:type="dxa"/>
        <w:tblInd w:w="98" w:type="dxa"/>
        <w:tblLayout w:type="autofit"/>
        <w:tblCellMar>
          <w:top w:w="0" w:type="dxa"/>
          <w:left w:w="108" w:type="dxa"/>
          <w:bottom w:w="0" w:type="dxa"/>
          <w:right w:w="108" w:type="dxa"/>
        </w:tblCellMar>
      </w:tblPr>
      <w:tblGrid>
        <w:gridCol w:w="4980"/>
        <w:gridCol w:w="874"/>
        <w:gridCol w:w="1168"/>
        <w:gridCol w:w="4687"/>
        <w:gridCol w:w="874"/>
        <w:gridCol w:w="2155"/>
      </w:tblGrid>
      <w:tr>
        <w:tblPrEx>
          <w:tblCellMar>
            <w:top w:w="0" w:type="dxa"/>
            <w:left w:w="108" w:type="dxa"/>
            <w:bottom w:w="0" w:type="dxa"/>
            <w:right w:w="108" w:type="dxa"/>
          </w:tblCellMar>
        </w:tblPrEx>
        <w:trPr>
          <w:trHeight w:val="370" w:hRule="atLeast"/>
        </w:trPr>
        <w:tc>
          <w:tcPr>
            <w:tcW w:w="14738" w:type="dxa"/>
            <w:gridSpan w:val="6"/>
            <w:tcBorders>
              <w:top w:val="nil"/>
              <w:left w:val="nil"/>
              <w:bottom w:val="nil"/>
              <w:right w:val="nil"/>
            </w:tcBorders>
            <w:noWrap/>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lang w:bidi="ar"/>
              </w:rPr>
              <w:t>收入支出决算总表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rPr>
                <w:rFonts w:hint="eastAsia"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公开01表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：许昌市第三初级中学</w:t>
            </w: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515.52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542.90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515.52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643.31</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127.79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643.31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643.31</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val="en-US" w:eastAsia="zh-CN" w:bidi="ar"/>
              </w:rPr>
              <w:t>单位</w:t>
            </w:r>
            <w:r>
              <w:rPr>
                <w:rFonts w:hint="eastAsia" w:ascii="宋体" w:hAnsi="宋体" w:cs="宋体"/>
                <w:color w:val="auto"/>
                <w:kern w:val="0"/>
                <w:sz w:val="22"/>
                <w:lang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rPr>
      </w:pPr>
    </w:p>
    <w:tbl>
      <w:tblPr>
        <w:tblStyle w:val="5"/>
        <w:tblW w:w="13740" w:type="dxa"/>
        <w:tblInd w:w="98" w:type="dxa"/>
        <w:tblLayout w:type="fixed"/>
        <w:tblCellMar>
          <w:top w:w="0" w:type="dxa"/>
          <w:left w:w="108" w:type="dxa"/>
          <w:bottom w:w="0" w:type="dxa"/>
          <w:right w:w="108" w:type="dxa"/>
        </w:tblCellMar>
      </w:tblPr>
      <w:tblGrid>
        <w:gridCol w:w="2610"/>
        <w:gridCol w:w="236"/>
        <w:gridCol w:w="236"/>
        <w:gridCol w:w="3947"/>
        <w:gridCol w:w="943"/>
        <w:gridCol w:w="1042"/>
        <w:gridCol w:w="587"/>
        <w:gridCol w:w="499"/>
        <w:gridCol w:w="602"/>
        <w:gridCol w:w="793"/>
        <w:gridCol w:w="2245"/>
      </w:tblGrid>
      <w:tr>
        <w:tblPrEx>
          <w:tblCellMar>
            <w:top w:w="0" w:type="dxa"/>
            <w:left w:w="108" w:type="dxa"/>
            <w:bottom w:w="0" w:type="dxa"/>
            <w:right w:w="108" w:type="dxa"/>
          </w:tblCellMar>
        </w:tblPrEx>
        <w:trPr>
          <w:trHeight w:val="370" w:hRule="atLeast"/>
        </w:trPr>
        <w:tc>
          <w:tcPr>
            <w:tcW w:w="13740" w:type="dxa"/>
            <w:gridSpan w:val="11"/>
            <w:tcBorders>
              <w:top w:val="nil"/>
              <w:left w:val="nil"/>
              <w:bottom w:val="nil"/>
              <w:right w:val="nil"/>
            </w:tcBorders>
            <w:noWrap/>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lang w:bidi="ar"/>
              </w:rPr>
              <w:t>收入决算表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rPr>
                <w:rFonts w:hint="eastAsia" w:ascii="Arial" w:hAnsi="Arial" w:cs="Arial"/>
                <w:color w:val="auto"/>
                <w:sz w:val="20"/>
                <w:szCs w:val="20"/>
              </w:rPr>
            </w:pP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3956" w:type="dxa"/>
            <w:tcBorders>
              <w:top w:val="nil"/>
              <w:left w:val="nil"/>
              <w:bottom w:val="nil"/>
              <w:right w:val="nil"/>
            </w:tcBorders>
            <w:noWrap/>
            <w:vAlign w:val="bottom"/>
          </w:tcPr>
          <w:p>
            <w:pPr>
              <w:rPr>
                <w:rFonts w:ascii="Arial" w:hAnsi="Arial" w:cs="Arial"/>
                <w:color w:val="auto"/>
                <w:sz w:val="20"/>
                <w:szCs w:val="20"/>
              </w:rPr>
            </w:pPr>
          </w:p>
        </w:tc>
        <w:tc>
          <w:tcPr>
            <w:tcW w:w="945" w:type="dxa"/>
            <w:tcBorders>
              <w:top w:val="nil"/>
              <w:left w:val="nil"/>
              <w:bottom w:val="nil"/>
              <w:right w:val="nil"/>
            </w:tcBorders>
            <w:noWrap/>
            <w:vAlign w:val="bottom"/>
          </w:tcPr>
          <w:p>
            <w:pPr>
              <w:rPr>
                <w:rFonts w:ascii="Arial" w:hAnsi="Arial" w:cs="Arial"/>
                <w:color w:val="auto"/>
                <w:sz w:val="20"/>
                <w:szCs w:val="20"/>
              </w:rPr>
            </w:pPr>
          </w:p>
        </w:tc>
        <w:tc>
          <w:tcPr>
            <w:tcW w:w="1044" w:type="dxa"/>
            <w:tcBorders>
              <w:top w:val="nil"/>
              <w:left w:val="nil"/>
              <w:bottom w:val="nil"/>
              <w:right w:val="nil"/>
            </w:tcBorders>
            <w:noWrap/>
            <w:vAlign w:val="bottom"/>
          </w:tcPr>
          <w:p>
            <w:pPr>
              <w:rPr>
                <w:rFonts w:ascii="Arial" w:hAnsi="Arial" w:cs="Arial"/>
                <w:color w:val="auto"/>
                <w:sz w:val="20"/>
                <w:szCs w:val="20"/>
              </w:rPr>
            </w:pPr>
          </w:p>
        </w:tc>
        <w:tc>
          <w:tcPr>
            <w:tcW w:w="588" w:type="dxa"/>
            <w:tcBorders>
              <w:top w:val="nil"/>
              <w:left w:val="nil"/>
              <w:bottom w:val="nil"/>
              <w:right w:val="nil"/>
            </w:tcBorders>
            <w:noWrap/>
            <w:vAlign w:val="bottom"/>
          </w:tcPr>
          <w:p>
            <w:pPr>
              <w:rPr>
                <w:rFonts w:ascii="Arial" w:hAnsi="Arial" w:cs="Arial"/>
                <w:color w:val="auto"/>
                <w:sz w:val="20"/>
                <w:szCs w:val="20"/>
              </w:rPr>
            </w:pPr>
          </w:p>
        </w:tc>
        <w:tc>
          <w:tcPr>
            <w:tcW w:w="500" w:type="dxa"/>
            <w:tcBorders>
              <w:top w:val="nil"/>
              <w:left w:val="nil"/>
              <w:bottom w:val="nil"/>
              <w:right w:val="nil"/>
            </w:tcBorders>
            <w:noWrap/>
            <w:vAlign w:val="bottom"/>
          </w:tcPr>
          <w:p>
            <w:pPr>
              <w:rPr>
                <w:rFonts w:ascii="Arial" w:hAnsi="Arial" w:cs="Arial"/>
                <w:color w:val="auto"/>
                <w:sz w:val="20"/>
                <w:szCs w:val="20"/>
              </w:rPr>
            </w:pPr>
          </w:p>
        </w:tc>
        <w:tc>
          <w:tcPr>
            <w:tcW w:w="603" w:type="dxa"/>
            <w:tcBorders>
              <w:top w:val="nil"/>
              <w:left w:val="nil"/>
              <w:bottom w:val="nil"/>
              <w:right w:val="nil"/>
            </w:tcBorders>
            <w:noWrap/>
            <w:vAlign w:val="bottom"/>
          </w:tcPr>
          <w:p>
            <w:pPr>
              <w:rPr>
                <w:rFonts w:ascii="Arial" w:hAnsi="Arial" w:cs="Arial"/>
                <w:color w:val="auto"/>
                <w:sz w:val="20"/>
                <w:szCs w:val="20"/>
              </w:rPr>
            </w:pPr>
          </w:p>
        </w:tc>
        <w:tc>
          <w:tcPr>
            <w:tcW w:w="794" w:type="dxa"/>
            <w:tcBorders>
              <w:top w:val="nil"/>
              <w:left w:val="nil"/>
              <w:bottom w:val="nil"/>
              <w:right w:val="nil"/>
            </w:tcBorders>
            <w:noWrap/>
            <w:vAlign w:val="bottom"/>
          </w:tcPr>
          <w:p>
            <w:pPr>
              <w:rPr>
                <w:rFonts w:ascii="Arial" w:hAnsi="Arial" w:cs="Arial"/>
                <w:color w:val="auto"/>
                <w:sz w:val="20"/>
                <w:szCs w:val="20"/>
              </w:rPr>
            </w:pPr>
          </w:p>
        </w:tc>
        <w:tc>
          <w:tcPr>
            <w:tcW w:w="2250"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公开02表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widowControl/>
              <w:jc w:val="left"/>
              <w:textAlignment w:val="bottom"/>
              <w:rPr>
                <w:rFonts w:hint="eastAsia"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：许昌市第三初级中学</w:t>
            </w: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3956" w:type="dxa"/>
            <w:tcBorders>
              <w:top w:val="nil"/>
              <w:left w:val="nil"/>
              <w:bottom w:val="nil"/>
              <w:right w:val="nil"/>
            </w:tcBorders>
            <w:noWrap/>
            <w:vAlign w:val="bottom"/>
          </w:tcPr>
          <w:p>
            <w:pPr>
              <w:rPr>
                <w:rFonts w:ascii="Arial" w:hAnsi="Arial" w:cs="Arial"/>
                <w:color w:val="auto"/>
                <w:sz w:val="20"/>
                <w:szCs w:val="20"/>
              </w:rPr>
            </w:pPr>
          </w:p>
        </w:tc>
        <w:tc>
          <w:tcPr>
            <w:tcW w:w="945" w:type="dxa"/>
            <w:tcBorders>
              <w:top w:val="nil"/>
              <w:left w:val="nil"/>
              <w:bottom w:val="nil"/>
              <w:right w:val="nil"/>
            </w:tcBorders>
            <w:noWrap/>
            <w:vAlign w:val="bottom"/>
          </w:tcPr>
          <w:p>
            <w:pPr>
              <w:rPr>
                <w:rFonts w:ascii="Arial" w:hAnsi="Arial" w:cs="Arial"/>
                <w:color w:val="auto"/>
                <w:sz w:val="20"/>
                <w:szCs w:val="20"/>
              </w:rPr>
            </w:pPr>
          </w:p>
        </w:tc>
        <w:tc>
          <w:tcPr>
            <w:tcW w:w="1044" w:type="dxa"/>
            <w:tcBorders>
              <w:top w:val="nil"/>
              <w:left w:val="nil"/>
              <w:bottom w:val="nil"/>
              <w:right w:val="nil"/>
            </w:tcBorders>
            <w:noWrap/>
            <w:vAlign w:val="bottom"/>
          </w:tcPr>
          <w:p>
            <w:pPr>
              <w:rPr>
                <w:rFonts w:ascii="Arial" w:hAnsi="Arial" w:cs="Arial"/>
                <w:color w:val="auto"/>
                <w:sz w:val="20"/>
                <w:szCs w:val="20"/>
              </w:rPr>
            </w:pPr>
          </w:p>
        </w:tc>
        <w:tc>
          <w:tcPr>
            <w:tcW w:w="588" w:type="dxa"/>
            <w:tcBorders>
              <w:top w:val="nil"/>
              <w:left w:val="nil"/>
              <w:bottom w:val="nil"/>
              <w:right w:val="nil"/>
            </w:tcBorders>
            <w:noWrap/>
            <w:vAlign w:val="bottom"/>
          </w:tcPr>
          <w:p>
            <w:pPr>
              <w:rPr>
                <w:rFonts w:ascii="Arial" w:hAnsi="Arial" w:cs="Arial"/>
                <w:color w:val="auto"/>
                <w:sz w:val="20"/>
                <w:szCs w:val="20"/>
              </w:rPr>
            </w:pPr>
          </w:p>
        </w:tc>
        <w:tc>
          <w:tcPr>
            <w:tcW w:w="500" w:type="dxa"/>
            <w:tcBorders>
              <w:top w:val="nil"/>
              <w:left w:val="nil"/>
              <w:bottom w:val="nil"/>
              <w:right w:val="nil"/>
            </w:tcBorders>
            <w:noWrap/>
            <w:vAlign w:val="bottom"/>
          </w:tcPr>
          <w:p>
            <w:pPr>
              <w:rPr>
                <w:rFonts w:ascii="Arial" w:hAnsi="Arial" w:cs="Arial"/>
                <w:color w:val="auto"/>
                <w:sz w:val="20"/>
                <w:szCs w:val="20"/>
              </w:rPr>
            </w:pPr>
          </w:p>
        </w:tc>
        <w:tc>
          <w:tcPr>
            <w:tcW w:w="603" w:type="dxa"/>
            <w:tcBorders>
              <w:top w:val="nil"/>
              <w:left w:val="nil"/>
              <w:bottom w:val="nil"/>
              <w:right w:val="nil"/>
            </w:tcBorders>
            <w:noWrap/>
            <w:vAlign w:val="bottom"/>
          </w:tcPr>
          <w:p>
            <w:pPr>
              <w:rPr>
                <w:rFonts w:ascii="Arial" w:hAnsi="Arial" w:cs="Arial"/>
                <w:color w:val="auto"/>
                <w:sz w:val="20"/>
                <w:szCs w:val="20"/>
              </w:rPr>
            </w:pPr>
          </w:p>
        </w:tc>
        <w:tc>
          <w:tcPr>
            <w:tcW w:w="794" w:type="dxa"/>
            <w:tcBorders>
              <w:top w:val="nil"/>
              <w:left w:val="nil"/>
              <w:bottom w:val="nil"/>
              <w:right w:val="nil"/>
            </w:tcBorders>
            <w:noWrap/>
            <w:vAlign w:val="bottom"/>
          </w:tcPr>
          <w:p>
            <w:pPr>
              <w:rPr>
                <w:rFonts w:ascii="Arial" w:hAnsi="Arial" w:cs="Arial"/>
                <w:color w:val="auto"/>
                <w:sz w:val="20"/>
                <w:szCs w:val="20"/>
              </w:rPr>
            </w:pPr>
          </w:p>
        </w:tc>
        <w:tc>
          <w:tcPr>
            <w:tcW w:w="2250"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w:t>
            </w:r>
          </w:p>
        </w:tc>
        <w:tc>
          <w:tcPr>
            <w:tcW w:w="94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本年收入合计</w:t>
            </w:r>
          </w:p>
        </w:tc>
        <w:tc>
          <w:tcPr>
            <w:tcW w:w="104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财政拨款收入</w:t>
            </w:r>
          </w:p>
        </w:tc>
        <w:tc>
          <w:tcPr>
            <w:tcW w:w="58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上级补助收入</w:t>
            </w:r>
          </w:p>
        </w:tc>
        <w:tc>
          <w:tcPr>
            <w:tcW w:w="50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事业收入</w:t>
            </w:r>
          </w:p>
        </w:tc>
        <w:tc>
          <w:tcPr>
            <w:tcW w:w="60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经营收入</w:t>
            </w:r>
          </w:p>
        </w:tc>
        <w:tc>
          <w:tcPr>
            <w:tcW w:w="79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附属单位上缴收入</w:t>
            </w:r>
          </w:p>
        </w:tc>
        <w:tc>
          <w:tcPr>
            <w:tcW w:w="225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其他收入</w:t>
            </w:r>
          </w:p>
        </w:tc>
      </w:tr>
      <w:tr>
        <w:tblPrEx>
          <w:tblCellMar>
            <w:top w:w="0" w:type="dxa"/>
            <w:left w:w="108" w:type="dxa"/>
            <w:bottom w:w="0" w:type="dxa"/>
            <w:right w:w="108" w:type="dxa"/>
          </w:tblCellMar>
        </w:tblPrEx>
        <w:trPr>
          <w:trHeight w:val="312"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5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7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22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5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7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22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9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5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6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7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22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94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04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58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50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60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79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c>
          <w:tcPr>
            <w:tcW w:w="225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7</w:t>
            </w: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lang w:bidi="ar"/>
              </w:rPr>
              <w:t>515.52</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lang w:bidi="ar"/>
              </w:rPr>
              <w:t>515.52</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一般公共服务支出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群众团体事务</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工会事务</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教育支出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437.04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437.04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普通教育</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425.04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425.04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2050203</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初中教育</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409.74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409.74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2050299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其他普通教育支出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15.31</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15.31</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其他教育支出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其他教育支出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社会保障和就业支出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62.46</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62.46</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行政事业单位养老支出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62.46</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62.46</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事业单位离退休</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38.74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38.74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机关事业单位基本养老保险缴费支出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23.72</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23.72</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卫生健康支出</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13.04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13.04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行政事业单位医疗</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13.04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13.04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事业单位医疗</w:t>
            </w:r>
          </w:p>
        </w:tc>
        <w:tc>
          <w:tcPr>
            <w:tcW w:w="94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13.04</w:t>
            </w:r>
          </w:p>
        </w:tc>
        <w:tc>
          <w:tcPr>
            <w:tcW w:w="104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13.04</w:t>
            </w:r>
          </w:p>
        </w:tc>
        <w:tc>
          <w:tcPr>
            <w:tcW w:w="58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50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6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9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25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13740" w:type="dxa"/>
            <w:gridSpan w:val="11"/>
            <w:tcBorders>
              <w:top w:val="nil"/>
              <w:left w:val="nil"/>
              <w:bottom w:val="nil"/>
              <w:right w:val="nil"/>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val="en-US" w:eastAsia="zh-CN" w:bidi="ar"/>
              </w:rPr>
              <w:t>单位</w:t>
            </w:r>
            <w:r>
              <w:rPr>
                <w:rFonts w:hint="eastAsia" w:ascii="宋体" w:hAnsi="宋体" w:cs="宋体"/>
                <w:color w:val="auto"/>
                <w:kern w:val="0"/>
                <w:sz w:val="22"/>
                <w:lang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40" w:type="dxa"/>
        <w:tblInd w:w="98" w:type="dxa"/>
        <w:tblLayout w:type="fixed"/>
        <w:tblCellMar>
          <w:top w:w="0" w:type="dxa"/>
          <w:left w:w="108" w:type="dxa"/>
          <w:bottom w:w="0" w:type="dxa"/>
          <w:right w:w="108" w:type="dxa"/>
        </w:tblCellMar>
      </w:tblPr>
      <w:tblGrid>
        <w:gridCol w:w="2610"/>
        <w:gridCol w:w="236"/>
        <w:gridCol w:w="236"/>
        <w:gridCol w:w="3947"/>
        <w:gridCol w:w="1104"/>
        <w:gridCol w:w="1365"/>
        <w:gridCol w:w="823"/>
        <w:gridCol w:w="924"/>
        <w:gridCol w:w="779"/>
        <w:gridCol w:w="1716"/>
      </w:tblGrid>
      <w:tr>
        <w:tblPrEx>
          <w:tblCellMar>
            <w:top w:w="0" w:type="dxa"/>
            <w:left w:w="108" w:type="dxa"/>
            <w:bottom w:w="0" w:type="dxa"/>
            <w:right w:w="108" w:type="dxa"/>
          </w:tblCellMar>
        </w:tblPrEx>
        <w:trPr>
          <w:trHeight w:val="370" w:hRule="atLeast"/>
        </w:trPr>
        <w:tc>
          <w:tcPr>
            <w:tcW w:w="13740" w:type="dxa"/>
            <w:gridSpan w:val="10"/>
            <w:tcBorders>
              <w:top w:val="nil"/>
              <w:left w:val="nil"/>
              <w:bottom w:val="nil"/>
              <w:right w:val="nil"/>
            </w:tcBorders>
            <w:noWrap/>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lang w:bidi="ar"/>
              </w:rPr>
              <w:t>支出决算表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rPr>
                <w:rFonts w:hint="eastAsia" w:ascii="Arial" w:hAnsi="Arial" w:cs="Arial"/>
                <w:color w:val="auto"/>
                <w:sz w:val="20"/>
                <w:szCs w:val="20"/>
              </w:rPr>
            </w:pP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3956" w:type="dxa"/>
            <w:tcBorders>
              <w:top w:val="nil"/>
              <w:left w:val="nil"/>
              <w:bottom w:val="nil"/>
              <w:right w:val="nil"/>
            </w:tcBorders>
            <w:noWrap/>
            <w:vAlign w:val="bottom"/>
          </w:tcPr>
          <w:p>
            <w:pPr>
              <w:rPr>
                <w:rFonts w:ascii="Arial" w:hAnsi="Arial" w:cs="Arial"/>
                <w:color w:val="auto"/>
                <w:sz w:val="20"/>
                <w:szCs w:val="20"/>
              </w:rPr>
            </w:pPr>
          </w:p>
        </w:tc>
        <w:tc>
          <w:tcPr>
            <w:tcW w:w="1106" w:type="dxa"/>
            <w:tcBorders>
              <w:top w:val="nil"/>
              <w:left w:val="nil"/>
              <w:bottom w:val="nil"/>
              <w:right w:val="nil"/>
            </w:tcBorders>
            <w:noWrap/>
            <w:vAlign w:val="bottom"/>
          </w:tcPr>
          <w:p>
            <w:pPr>
              <w:rPr>
                <w:rFonts w:ascii="Arial" w:hAnsi="Arial" w:cs="Arial"/>
                <w:color w:val="auto"/>
                <w:sz w:val="20"/>
                <w:szCs w:val="20"/>
              </w:rPr>
            </w:pPr>
          </w:p>
        </w:tc>
        <w:tc>
          <w:tcPr>
            <w:tcW w:w="1368" w:type="dxa"/>
            <w:tcBorders>
              <w:top w:val="nil"/>
              <w:left w:val="nil"/>
              <w:bottom w:val="nil"/>
              <w:right w:val="nil"/>
            </w:tcBorders>
            <w:noWrap/>
            <w:vAlign w:val="bottom"/>
          </w:tcPr>
          <w:p>
            <w:pPr>
              <w:rPr>
                <w:rFonts w:ascii="Arial" w:hAnsi="Arial" w:cs="Arial"/>
                <w:color w:val="auto"/>
                <w:sz w:val="20"/>
                <w:szCs w:val="20"/>
              </w:rPr>
            </w:pPr>
          </w:p>
        </w:tc>
        <w:tc>
          <w:tcPr>
            <w:tcW w:w="824" w:type="dxa"/>
            <w:tcBorders>
              <w:top w:val="nil"/>
              <w:left w:val="nil"/>
              <w:bottom w:val="nil"/>
              <w:right w:val="nil"/>
            </w:tcBorders>
            <w:noWrap/>
            <w:vAlign w:val="bottom"/>
          </w:tcPr>
          <w:p>
            <w:pPr>
              <w:rPr>
                <w:rFonts w:ascii="Arial" w:hAnsi="Arial" w:cs="Arial"/>
                <w:color w:val="auto"/>
                <w:sz w:val="20"/>
                <w:szCs w:val="20"/>
              </w:rPr>
            </w:pPr>
          </w:p>
        </w:tc>
        <w:tc>
          <w:tcPr>
            <w:tcW w:w="926" w:type="dxa"/>
            <w:tcBorders>
              <w:top w:val="nil"/>
              <w:left w:val="nil"/>
              <w:bottom w:val="nil"/>
              <w:right w:val="nil"/>
            </w:tcBorders>
            <w:noWrap/>
            <w:vAlign w:val="bottom"/>
          </w:tcPr>
          <w:p>
            <w:pPr>
              <w:rPr>
                <w:rFonts w:ascii="Arial" w:hAnsi="Arial" w:cs="Arial"/>
                <w:color w:val="auto"/>
                <w:sz w:val="20"/>
                <w:szCs w:val="20"/>
              </w:rPr>
            </w:pPr>
          </w:p>
        </w:tc>
        <w:tc>
          <w:tcPr>
            <w:tcW w:w="780" w:type="dxa"/>
            <w:tcBorders>
              <w:top w:val="nil"/>
              <w:left w:val="nil"/>
              <w:bottom w:val="nil"/>
              <w:right w:val="nil"/>
            </w:tcBorders>
            <w:noWrap/>
            <w:vAlign w:val="bottom"/>
          </w:tcPr>
          <w:p>
            <w:pPr>
              <w:rPr>
                <w:rFonts w:ascii="Arial" w:hAnsi="Arial" w:cs="Arial"/>
                <w:color w:val="auto"/>
                <w:sz w:val="20"/>
                <w:szCs w:val="20"/>
              </w:rPr>
            </w:pPr>
          </w:p>
        </w:tc>
        <w:tc>
          <w:tcPr>
            <w:tcW w:w="1720"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公开03表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widowControl/>
              <w:jc w:val="left"/>
              <w:textAlignment w:val="bottom"/>
              <w:rPr>
                <w:rFonts w:hint="eastAsia"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：许昌市第三初级中学</w:t>
            </w: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3956" w:type="dxa"/>
            <w:tcBorders>
              <w:top w:val="nil"/>
              <w:left w:val="nil"/>
              <w:bottom w:val="nil"/>
              <w:right w:val="nil"/>
            </w:tcBorders>
            <w:noWrap/>
            <w:vAlign w:val="bottom"/>
          </w:tcPr>
          <w:p>
            <w:pPr>
              <w:rPr>
                <w:rFonts w:ascii="Arial" w:hAnsi="Arial" w:cs="Arial"/>
                <w:color w:val="auto"/>
                <w:sz w:val="20"/>
                <w:szCs w:val="20"/>
              </w:rPr>
            </w:pPr>
          </w:p>
        </w:tc>
        <w:tc>
          <w:tcPr>
            <w:tcW w:w="1106" w:type="dxa"/>
            <w:tcBorders>
              <w:top w:val="nil"/>
              <w:left w:val="nil"/>
              <w:bottom w:val="nil"/>
              <w:right w:val="nil"/>
            </w:tcBorders>
            <w:noWrap/>
            <w:vAlign w:val="bottom"/>
          </w:tcPr>
          <w:p>
            <w:pPr>
              <w:rPr>
                <w:rFonts w:ascii="Arial" w:hAnsi="Arial" w:cs="Arial"/>
                <w:color w:val="auto"/>
                <w:sz w:val="20"/>
                <w:szCs w:val="20"/>
              </w:rPr>
            </w:pPr>
          </w:p>
        </w:tc>
        <w:tc>
          <w:tcPr>
            <w:tcW w:w="1368" w:type="dxa"/>
            <w:tcBorders>
              <w:top w:val="nil"/>
              <w:left w:val="nil"/>
              <w:bottom w:val="nil"/>
              <w:right w:val="nil"/>
            </w:tcBorders>
            <w:noWrap/>
            <w:vAlign w:val="bottom"/>
          </w:tcPr>
          <w:p>
            <w:pPr>
              <w:rPr>
                <w:rFonts w:ascii="Arial" w:hAnsi="Arial" w:cs="Arial"/>
                <w:color w:val="auto"/>
                <w:sz w:val="20"/>
                <w:szCs w:val="20"/>
              </w:rPr>
            </w:pPr>
          </w:p>
        </w:tc>
        <w:tc>
          <w:tcPr>
            <w:tcW w:w="824" w:type="dxa"/>
            <w:tcBorders>
              <w:top w:val="nil"/>
              <w:left w:val="nil"/>
              <w:bottom w:val="nil"/>
              <w:right w:val="nil"/>
            </w:tcBorders>
            <w:noWrap/>
            <w:vAlign w:val="bottom"/>
          </w:tcPr>
          <w:p>
            <w:pPr>
              <w:rPr>
                <w:rFonts w:ascii="Arial" w:hAnsi="Arial" w:cs="Arial"/>
                <w:color w:val="auto"/>
                <w:sz w:val="20"/>
                <w:szCs w:val="20"/>
              </w:rPr>
            </w:pPr>
          </w:p>
        </w:tc>
        <w:tc>
          <w:tcPr>
            <w:tcW w:w="926" w:type="dxa"/>
            <w:tcBorders>
              <w:top w:val="nil"/>
              <w:left w:val="nil"/>
              <w:bottom w:val="nil"/>
              <w:right w:val="nil"/>
            </w:tcBorders>
            <w:noWrap/>
            <w:vAlign w:val="bottom"/>
          </w:tcPr>
          <w:p>
            <w:pPr>
              <w:rPr>
                <w:rFonts w:ascii="Arial" w:hAnsi="Arial" w:cs="Arial"/>
                <w:color w:val="auto"/>
                <w:sz w:val="20"/>
                <w:szCs w:val="20"/>
              </w:rPr>
            </w:pPr>
          </w:p>
        </w:tc>
        <w:tc>
          <w:tcPr>
            <w:tcW w:w="780" w:type="dxa"/>
            <w:tcBorders>
              <w:top w:val="nil"/>
              <w:left w:val="nil"/>
              <w:bottom w:val="nil"/>
              <w:right w:val="nil"/>
            </w:tcBorders>
            <w:noWrap/>
            <w:vAlign w:val="bottom"/>
          </w:tcPr>
          <w:p>
            <w:pPr>
              <w:rPr>
                <w:rFonts w:ascii="Arial" w:hAnsi="Arial" w:cs="Arial"/>
                <w:color w:val="auto"/>
                <w:sz w:val="20"/>
                <w:szCs w:val="20"/>
              </w:rPr>
            </w:pPr>
          </w:p>
        </w:tc>
        <w:tc>
          <w:tcPr>
            <w:tcW w:w="1720"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w:t>
            </w:r>
          </w:p>
        </w:tc>
        <w:tc>
          <w:tcPr>
            <w:tcW w:w="110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本年支出合计</w:t>
            </w:r>
          </w:p>
        </w:tc>
        <w:tc>
          <w:tcPr>
            <w:tcW w:w="136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基本支出</w:t>
            </w:r>
          </w:p>
        </w:tc>
        <w:tc>
          <w:tcPr>
            <w:tcW w:w="82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项目支出</w:t>
            </w:r>
          </w:p>
        </w:tc>
        <w:tc>
          <w:tcPr>
            <w:tcW w:w="92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上缴上级支出</w:t>
            </w:r>
          </w:p>
        </w:tc>
        <w:tc>
          <w:tcPr>
            <w:tcW w:w="78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经营支出</w:t>
            </w:r>
          </w:p>
        </w:tc>
        <w:tc>
          <w:tcPr>
            <w:tcW w:w="172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对附属单位补助支出</w:t>
            </w:r>
          </w:p>
        </w:tc>
      </w:tr>
      <w:tr>
        <w:tblPrEx>
          <w:tblCellMar>
            <w:top w:w="0" w:type="dxa"/>
            <w:left w:w="108" w:type="dxa"/>
            <w:bottom w:w="0" w:type="dxa"/>
            <w:right w:w="108" w:type="dxa"/>
          </w:tblCellMar>
        </w:tblPrEx>
        <w:trPr>
          <w:trHeight w:val="312"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1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8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9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7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8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9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7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36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82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92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7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7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110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3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82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9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7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17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lang w:bidi="ar"/>
              </w:rPr>
              <w:t>643.31</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lang w:bidi="ar"/>
              </w:rPr>
              <w:t>599.04</w:t>
            </w: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lang w:bidi="ar"/>
              </w:rPr>
              <w:t>44.26</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一般公共服务支出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群众团体事务</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工会事务</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教育支出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542.90</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498.64</w:t>
            </w: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44.26</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普通教育</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530.90</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498.64</w:t>
            </w: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32.26</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2050203</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初中教育</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449.97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449.97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2050299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其他普通教育支出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80.93</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48.67</w:t>
            </w: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32.26</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其他教育支出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其他教育支出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824"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社会保障和就业支出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行政事业单位养老支出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事业单位离退休</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43.48</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43.48</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机关事业单位基本养老保险缴费支出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33.67</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33.67</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卫生健康支出</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行政事业单位医疗</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事业单位医疗</w:t>
            </w:r>
          </w:p>
        </w:tc>
        <w:tc>
          <w:tcPr>
            <w:tcW w:w="110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136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824"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92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78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13740" w:type="dxa"/>
            <w:gridSpan w:val="10"/>
            <w:tcBorders>
              <w:top w:val="nil"/>
              <w:left w:val="nil"/>
              <w:bottom w:val="nil"/>
              <w:right w:val="nil"/>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val="en-US" w:eastAsia="zh-CN" w:bidi="ar"/>
              </w:rPr>
              <w:t>单位</w:t>
            </w:r>
            <w:r>
              <w:rPr>
                <w:rFonts w:hint="eastAsia" w:ascii="宋体" w:hAnsi="宋体" w:cs="宋体"/>
                <w:color w:val="auto"/>
                <w:kern w:val="0"/>
                <w:sz w:val="22"/>
                <w:lang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55" w:type="dxa"/>
        <w:tblInd w:w="98" w:type="dxa"/>
        <w:tblLayout w:type="fixed"/>
        <w:tblCellMar>
          <w:top w:w="0" w:type="dxa"/>
          <w:left w:w="108" w:type="dxa"/>
          <w:bottom w:w="0" w:type="dxa"/>
          <w:right w:w="108" w:type="dxa"/>
        </w:tblCellMar>
      </w:tblPr>
      <w:tblGrid>
        <w:gridCol w:w="3076"/>
        <w:gridCol w:w="516"/>
        <w:gridCol w:w="1028"/>
        <w:gridCol w:w="3516"/>
        <w:gridCol w:w="516"/>
        <w:gridCol w:w="876"/>
        <w:gridCol w:w="1029"/>
        <w:gridCol w:w="2051"/>
        <w:gridCol w:w="1647"/>
      </w:tblGrid>
      <w:tr>
        <w:tblPrEx>
          <w:tblCellMar>
            <w:top w:w="0" w:type="dxa"/>
            <w:left w:w="108" w:type="dxa"/>
            <w:bottom w:w="0" w:type="dxa"/>
            <w:right w:w="108" w:type="dxa"/>
          </w:tblCellMar>
        </w:tblPrEx>
        <w:trPr>
          <w:trHeight w:val="370" w:hRule="atLeast"/>
        </w:trPr>
        <w:tc>
          <w:tcPr>
            <w:tcW w:w="14255" w:type="dxa"/>
            <w:gridSpan w:val="9"/>
            <w:tcBorders>
              <w:top w:val="nil"/>
              <w:left w:val="nil"/>
              <w:bottom w:val="nil"/>
              <w:right w:val="nil"/>
            </w:tcBorders>
            <w:noWrap/>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lang w:bidi="ar"/>
              </w:rPr>
              <w:t>财政拨款收入支出决算总表</w:t>
            </w:r>
          </w:p>
        </w:tc>
      </w:tr>
      <w:tr>
        <w:tblPrEx>
          <w:tblCellMar>
            <w:top w:w="0" w:type="dxa"/>
            <w:left w:w="108" w:type="dxa"/>
            <w:bottom w:w="0" w:type="dxa"/>
            <w:right w:w="108" w:type="dxa"/>
          </w:tblCellMar>
        </w:tblPrEx>
        <w:trPr>
          <w:trHeight w:val="260" w:hRule="atLeast"/>
        </w:trPr>
        <w:tc>
          <w:tcPr>
            <w:tcW w:w="3076" w:type="dxa"/>
            <w:tcBorders>
              <w:top w:val="nil"/>
              <w:left w:val="nil"/>
              <w:bottom w:val="nil"/>
              <w:right w:val="nil"/>
            </w:tcBorders>
            <w:noWrap/>
            <w:vAlign w:val="bottom"/>
          </w:tcPr>
          <w:p>
            <w:pPr>
              <w:rPr>
                <w:rFonts w:hint="eastAsia" w:ascii="Arial" w:hAnsi="Arial" w:cs="Arial"/>
                <w:color w:val="auto"/>
                <w:sz w:val="20"/>
                <w:szCs w:val="20"/>
              </w:rPr>
            </w:pPr>
          </w:p>
        </w:tc>
        <w:tc>
          <w:tcPr>
            <w:tcW w:w="516" w:type="dxa"/>
            <w:tcBorders>
              <w:top w:val="nil"/>
              <w:left w:val="nil"/>
              <w:bottom w:val="nil"/>
              <w:right w:val="nil"/>
            </w:tcBorders>
            <w:noWrap/>
            <w:vAlign w:val="bottom"/>
          </w:tcPr>
          <w:p>
            <w:pPr>
              <w:rPr>
                <w:rFonts w:ascii="Arial" w:hAnsi="Arial" w:cs="Arial"/>
                <w:color w:val="auto"/>
                <w:sz w:val="20"/>
                <w:szCs w:val="20"/>
              </w:rPr>
            </w:pPr>
          </w:p>
        </w:tc>
        <w:tc>
          <w:tcPr>
            <w:tcW w:w="1028" w:type="dxa"/>
            <w:tcBorders>
              <w:top w:val="nil"/>
              <w:left w:val="nil"/>
              <w:bottom w:val="nil"/>
              <w:right w:val="nil"/>
            </w:tcBorders>
            <w:noWrap/>
            <w:vAlign w:val="bottom"/>
          </w:tcPr>
          <w:p>
            <w:pPr>
              <w:rPr>
                <w:rFonts w:ascii="Arial" w:hAnsi="Arial" w:cs="Arial"/>
                <w:color w:val="auto"/>
                <w:sz w:val="20"/>
                <w:szCs w:val="20"/>
              </w:rPr>
            </w:pPr>
          </w:p>
        </w:tc>
        <w:tc>
          <w:tcPr>
            <w:tcW w:w="3516" w:type="dxa"/>
            <w:tcBorders>
              <w:top w:val="nil"/>
              <w:left w:val="nil"/>
              <w:bottom w:val="nil"/>
              <w:right w:val="nil"/>
            </w:tcBorders>
            <w:noWrap/>
            <w:vAlign w:val="bottom"/>
          </w:tcPr>
          <w:p>
            <w:pPr>
              <w:rPr>
                <w:rFonts w:ascii="Arial" w:hAnsi="Arial" w:cs="Arial"/>
                <w:color w:val="auto"/>
                <w:sz w:val="20"/>
                <w:szCs w:val="20"/>
              </w:rPr>
            </w:pPr>
          </w:p>
        </w:tc>
        <w:tc>
          <w:tcPr>
            <w:tcW w:w="516" w:type="dxa"/>
            <w:tcBorders>
              <w:top w:val="nil"/>
              <w:left w:val="nil"/>
              <w:bottom w:val="nil"/>
              <w:right w:val="nil"/>
            </w:tcBorders>
            <w:noWrap/>
            <w:vAlign w:val="bottom"/>
          </w:tcPr>
          <w:p>
            <w:pPr>
              <w:rPr>
                <w:rFonts w:ascii="Arial" w:hAnsi="Arial" w:cs="Arial"/>
                <w:color w:val="auto"/>
                <w:sz w:val="20"/>
                <w:szCs w:val="20"/>
              </w:rPr>
            </w:pPr>
          </w:p>
        </w:tc>
        <w:tc>
          <w:tcPr>
            <w:tcW w:w="876" w:type="dxa"/>
            <w:tcBorders>
              <w:top w:val="nil"/>
              <w:left w:val="nil"/>
              <w:bottom w:val="nil"/>
              <w:right w:val="nil"/>
            </w:tcBorders>
            <w:noWrap/>
            <w:vAlign w:val="bottom"/>
          </w:tcPr>
          <w:p>
            <w:pPr>
              <w:rPr>
                <w:rFonts w:ascii="Arial" w:hAnsi="Arial" w:cs="Arial"/>
                <w:color w:val="auto"/>
                <w:sz w:val="20"/>
                <w:szCs w:val="20"/>
              </w:rPr>
            </w:pPr>
          </w:p>
        </w:tc>
        <w:tc>
          <w:tcPr>
            <w:tcW w:w="1029" w:type="dxa"/>
            <w:tcBorders>
              <w:top w:val="nil"/>
              <w:left w:val="nil"/>
              <w:bottom w:val="nil"/>
              <w:right w:val="nil"/>
            </w:tcBorders>
            <w:noWrap/>
            <w:vAlign w:val="bottom"/>
          </w:tcPr>
          <w:p>
            <w:pPr>
              <w:rPr>
                <w:rFonts w:ascii="Arial" w:hAnsi="Arial" w:cs="Arial"/>
                <w:color w:val="auto"/>
                <w:sz w:val="20"/>
                <w:szCs w:val="20"/>
              </w:rPr>
            </w:pPr>
          </w:p>
        </w:tc>
        <w:tc>
          <w:tcPr>
            <w:tcW w:w="2051" w:type="dxa"/>
            <w:tcBorders>
              <w:top w:val="nil"/>
              <w:left w:val="nil"/>
              <w:bottom w:val="nil"/>
              <w:right w:val="nil"/>
            </w:tcBorders>
            <w:noWrap/>
            <w:vAlign w:val="bottom"/>
          </w:tcPr>
          <w:p>
            <w:pPr>
              <w:rPr>
                <w:rFonts w:ascii="Arial" w:hAnsi="Arial" w:cs="Arial"/>
                <w:color w:val="auto"/>
                <w:sz w:val="20"/>
                <w:szCs w:val="20"/>
              </w:rPr>
            </w:pPr>
          </w:p>
        </w:tc>
        <w:tc>
          <w:tcPr>
            <w:tcW w:w="1647"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公开04表</w:t>
            </w:r>
          </w:p>
        </w:tc>
      </w:tr>
      <w:tr>
        <w:tblPrEx>
          <w:tblCellMar>
            <w:top w:w="0" w:type="dxa"/>
            <w:left w:w="108" w:type="dxa"/>
            <w:bottom w:w="0" w:type="dxa"/>
            <w:right w:w="108" w:type="dxa"/>
          </w:tblCellMar>
        </w:tblPrEx>
        <w:trPr>
          <w:trHeight w:val="260" w:hRule="atLeast"/>
        </w:trPr>
        <w:tc>
          <w:tcPr>
            <w:tcW w:w="3076" w:type="dxa"/>
            <w:tcBorders>
              <w:top w:val="nil"/>
              <w:left w:val="nil"/>
              <w:bottom w:val="nil"/>
              <w:right w:val="nil"/>
            </w:tcBorders>
            <w:noWrap/>
            <w:vAlign w:val="bottom"/>
          </w:tcPr>
          <w:p>
            <w:pPr>
              <w:widowControl/>
              <w:jc w:val="left"/>
              <w:textAlignment w:val="bottom"/>
              <w:rPr>
                <w:rFonts w:hint="eastAsia"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：许昌市第三初级中学</w:t>
            </w:r>
          </w:p>
        </w:tc>
        <w:tc>
          <w:tcPr>
            <w:tcW w:w="516" w:type="dxa"/>
            <w:tcBorders>
              <w:top w:val="nil"/>
              <w:left w:val="nil"/>
              <w:bottom w:val="nil"/>
              <w:right w:val="nil"/>
            </w:tcBorders>
            <w:noWrap/>
            <w:vAlign w:val="bottom"/>
          </w:tcPr>
          <w:p>
            <w:pPr>
              <w:rPr>
                <w:rFonts w:ascii="Arial" w:hAnsi="Arial" w:cs="Arial"/>
                <w:color w:val="auto"/>
                <w:sz w:val="20"/>
                <w:szCs w:val="20"/>
              </w:rPr>
            </w:pPr>
          </w:p>
        </w:tc>
        <w:tc>
          <w:tcPr>
            <w:tcW w:w="1028" w:type="dxa"/>
            <w:tcBorders>
              <w:top w:val="nil"/>
              <w:left w:val="nil"/>
              <w:bottom w:val="nil"/>
              <w:right w:val="nil"/>
            </w:tcBorders>
            <w:noWrap/>
            <w:vAlign w:val="bottom"/>
          </w:tcPr>
          <w:p>
            <w:pPr>
              <w:rPr>
                <w:rFonts w:ascii="Arial" w:hAnsi="Arial" w:cs="Arial"/>
                <w:color w:val="auto"/>
                <w:sz w:val="20"/>
                <w:szCs w:val="20"/>
              </w:rPr>
            </w:pPr>
          </w:p>
        </w:tc>
        <w:tc>
          <w:tcPr>
            <w:tcW w:w="3516" w:type="dxa"/>
            <w:tcBorders>
              <w:top w:val="nil"/>
              <w:left w:val="nil"/>
              <w:bottom w:val="nil"/>
              <w:right w:val="nil"/>
            </w:tcBorders>
            <w:noWrap/>
            <w:vAlign w:val="bottom"/>
          </w:tcPr>
          <w:p>
            <w:pPr>
              <w:rPr>
                <w:rFonts w:ascii="Arial" w:hAnsi="Arial" w:cs="Arial"/>
                <w:color w:val="auto"/>
                <w:sz w:val="20"/>
                <w:szCs w:val="20"/>
              </w:rPr>
            </w:pPr>
          </w:p>
        </w:tc>
        <w:tc>
          <w:tcPr>
            <w:tcW w:w="516" w:type="dxa"/>
            <w:tcBorders>
              <w:top w:val="nil"/>
              <w:left w:val="nil"/>
              <w:bottom w:val="nil"/>
              <w:right w:val="nil"/>
            </w:tcBorders>
            <w:noWrap/>
            <w:vAlign w:val="bottom"/>
          </w:tcPr>
          <w:p>
            <w:pPr>
              <w:rPr>
                <w:rFonts w:ascii="Arial" w:hAnsi="Arial" w:cs="Arial"/>
                <w:color w:val="auto"/>
                <w:sz w:val="20"/>
                <w:szCs w:val="20"/>
              </w:rPr>
            </w:pPr>
          </w:p>
        </w:tc>
        <w:tc>
          <w:tcPr>
            <w:tcW w:w="876" w:type="dxa"/>
            <w:tcBorders>
              <w:top w:val="nil"/>
              <w:left w:val="nil"/>
              <w:bottom w:val="nil"/>
              <w:right w:val="nil"/>
            </w:tcBorders>
            <w:noWrap/>
            <w:vAlign w:val="bottom"/>
          </w:tcPr>
          <w:p>
            <w:pPr>
              <w:rPr>
                <w:rFonts w:ascii="Arial" w:hAnsi="Arial" w:cs="Arial"/>
                <w:color w:val="auto"/>
                <w:sz w:val="20"/>
                <w:szCs w:val="20"/>
              </w:rPr>
            </w:pPr>
          </w:p>
        </w:tc>
        <w:tc>
          <w:tcPr>
            <w:tcW w:w="1029" w:type="dxa"/>
            <w:tcBorders>
              <w:top w:val="nil"/>
              <w:left w:val="nil"/>
              <w:bottom w:val="nil"/>
              <w:right w:val="nil"/>
            </w:tcBorders>
            <w:noWrap/>
            <w:vAlign w:val="bottom"/>
          </w:tcPr>
          <w:p>
            <w:pPr>
              <w:rPr>
                <w:rFonts w:ascii="Arial" w:hAnsi="Arial" w:cs="Arial"/>
                <w:color w:val="auto"/>
                <w:sz w:val="20"/>
                <w:szCs w:val="20"/>
              </w:rPr>
            </w:pPr>
          </w:p>
        </w:tc>
        <w:tc>
          <w:tcPr>
            <w:tcW w:w="2051" w:type="dxa"/>
            <w:tcBorders>
              <w:top w:val="nil"/>
              <w:left w:val="nil"/>
              <w:bottom w:val="nil"/>
              <w:right w:val="nil"/>
            </w:tcBorders>
            <w:noWrap/>
            <w:vAlign w:val="bottom"/>
          </w:tcPr>
          <w:p>
            <w:pPr>
              <w:rPr>
                <w:rFonts w:ascii="Arial" w:hAnsi="Arial" w:cs="Arial"/>
                <w:color w:val="auto"/>
                <w:sz w:val="20"/>
                <w:szCs w:val="20"/>
              </w:rPr>
            </w:pPr>
          </w:p>
        </w:tc>
        <w:tc>
          <w:tcPr>
            <w:tcW w:w="1647"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6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收     入</w:t>
            </w:r>
          </w:p>
        </w:tc>
        <w:tc>
          <w:tcPr>
            <w:tcW w:w="9635"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支     出</w:t>
            </w:r>
          </w:p>
        </w:tc>
      </w:tr>
      <w:tr>
        <w:tblPrEx>
          <w:tblCellMar>
            <w:top w:w="0" w:type="dxa"/>
            <w:left w:w="108" w:type="dxa"/>
            <w:bottom w:w="0" w:type="dxa"/>
            <w:right w:w="108" w:type="dxa"/>
          </w:tblCellMar>
        </w:tblPrEx>
        <w:trPr>
          <w:trHeight w:val="312"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w:t>
            </w:r>
          </w:p>
        </w:tc>
        <w:tc>
          <w:tcPr>
            <w:tcW w:w="5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行次</w:t>
            </w:r>
          </w:p>
        </w:tc>
        <w:tc>
          <w:tcPr>
            <w:tcW w:w="102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金额</w:t>
            </w:r>
          </w:p>
        </w:tc>
        <w:tc>
          <w:tcPr>
            <w:tcW w:w="35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w:t>
            </w:r>
          </w:p>
        </w:tc>
        <w:tc>
          <w:tcPr>
            <w:tcW w:w="5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行次</w:t>
            </w:r>
          </w:p>
        </w:tc>
        <w:tc>
          <w:tcPr>
            <w:tcW w:w="87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02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一般公共预算财政拨款</w:t>
            </w:r>
          </w:p>
        </w:tc>
        <w:tc>
          <w:tcPr>
            <w:tcW w:w="205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政府性基金预算财政拨款</w:t>
            </w:r>
          </w:p>
        </w:tc>
        <w:tc>
          <w:tcPr>
            <w:tcW w:w="164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国有资本经营预算财政拨款</w:t>
            </w:r>
          </w:p>
        </w:tc>
      </w:tr>
      <w:tr>
        <w:tblPrEx>
          <w:tblCellMar>
            <w:top w:w="0" w:type="dxa"/>
            <w:left w:w="108" w:type="dxa"/>
            <w:bottom w:w="0" w:type="dxa"/>
            <w:right w:w="108" w:type="dxa"/>
          </w:tblCellMar>
        </w:tblPrEx>
        <w:trPr>
          <w:trHeight w:val="615"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87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0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20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6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516" w:type="dxa"/>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028"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3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516" w:type="dxa"/>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87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029"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2051"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1647"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一、一般公共预算财政拨款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515.52</w:t>
            </w: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一、一般公共服务支出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二、政府性基金预算财政拨款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二、外交支出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34</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三、国有资本经营财政拨款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三、国防支出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35</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四、公共安全支出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36</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五、教育支出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37</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542.90</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542.90</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六、科学技术支出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38</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7</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七、文化旅游体育与传媒支出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39</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8</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八、社会保障和就业支出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40</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9</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九、卫生健康支出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41</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10</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十、节能环保支出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42</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11</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十一、城乡社区支出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43</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12</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十二、农林水支出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44</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13</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十三、交通运输支出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45</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14</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十四、资源勘探工业信息等支出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46</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15</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十五、商业服务业等支出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47</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16</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十六、金融支出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48</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17</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十七、援助其他地区支出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49</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18</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十八、自然资源海洋气象等支出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19</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十九、住房保障支出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51</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20</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二十、粮油物资储备支出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52</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21</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二十一、国有资本经营预算支出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53</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22</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二十二、灾害防治及应急管理支出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54</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23</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二十三、其他支出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55</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auto"/>
                <w:sz w:val="20"/>
                <w:szCs w:val="20"/>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24</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二十四、债务还本支出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56</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25</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二十五、债务付息支出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57</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0"/>
                <w:szCs w:val="20"/>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26</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二十六、抗疫特别国债安排的支出</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58</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本年收入合计</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27</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515.52</w:t>
            </w:r>
          </w:p>
        </w:tc>
        <w:tc>
          <w:tcPr>
            <w:tcW w:w="3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本年支出合计</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59</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643.31</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643.31</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年初财政拨款结转和结余</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28</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127.79</w:t>
            </w:r>
          </w:p>
        </w:tc>
        <w:tc>
          <w:tcPr>
            <w:tcW w:w="351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年末财政拨款结转和结余</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60</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一般公共预算财政拨款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29</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127.79</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61</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政府性基金预算财政拨款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62</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国有资本经营预算财政拨款</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31</w:t>
            </w:r>
          </w:p>
        </w:tc>
        <w:tc>
          <w:tcPr>
            <w:tcW w:w="1028"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63</w:t>
            </w:r>
          </w:p>
        </w:tc>
        <w:tc>
          <w:tcPr>
            <w:tcW w:w="87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总计</w:t>
            </w:r>
          </w:p>
        </w:tc>
        <w:tc>
          <w:tcPr>
            <w:tcW w:w="516" w:type="dxa"/>
            <w:tcBorders>
              <w:top w:val="nil"/>
              <w:left w:val="nil"/>
              <w:bottom w:val="single" w:color="000000" w:sz="8"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32</w:t>
            </w:r>
          </w:p>
        </w:tc>
        <w:tc>
          <w:tcPr>
            <w:tcW w:w="102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643.31</w:t>
            </w:r>
          </w:p>
        </w:tc>
        <w:tc>
          <w:tcPr>
            <w:tcW w:w="3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 w:val="22"/>
              </w:rPr>
            </w:pPr>
            <w:r>
              <w:rPr>
                <w:rFonts w:hint="eastAsia" w:ascii="宋体" w:hAnsi="宋体" w:cs="宋体"/>
                <w:b/>
                <w:bCs/>
                <w:color w:val="auto"/>
                <w:kern w:val="0"/>
                <w:sz w:val="22"/>
                <w:lang w:bidi="ar"/>
              </w:rPr>
              <w:t>总计</w:t>
            </w:r>
          </w:p>
        </w:tc>
        <w:tc>
          <w:tcPr>
            <w:tcW w:w="51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643.31</w:t>
            </w:r>
          </w:p>
        </w:tc>
        <w:tc>
          <w:tcPr>
            <w:tcW w:w="102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643.31</w:t>
            </w:r>
          </w:p>
        </w:tc>
        <w:tc>
          <w:tcPr>
            <w:tcW w:w="2051"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4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585" w:hRule="atLeast"/>
        </w:trPr>
        <w:tc>
          <w:tcPr>
            <w:tcW w:w="14255" w:type="dxa"/>
            <w:gridSpan w:val="9"/>
            <w:tcBorders>
              <w:top w:val="nil"/>
              <w:left w:val="nil"/>
              <w:bottom w:val="nil"/>
              <w:right w:val="nil"/>
            </w:tcBorders>
            <w:noWrap w:val="0"/>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val="en-US" w:eastAsia="zh-CN" w:bidi="ar"/>
              </w:rPr>
              <w:t>单位</w:t>
            </w:r>
            <w:r>
              <w:rPr>
                <w:rFonts w:hint="eastAsia" w:ascii="宋体" w:hAnsi="宋体" w:cs="宋体"/>
                <w:color w:val="auto"/>
                <w:kern w:val="0"/>
                <w:sz w:val="22"/>
                <w:lang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67" w:type="dxa"/>
        <w:tblInd w:w="98" w:type="dxa"/>
        <w:tblLayout w:type="fixed"/>
        <w:tblCellMar>
          <w:top w:w="0" w:type="dxa"/>
          <w:left w:w="108" w:type="dxa"/>
          <w:bottom w:w="0" w:type="dxa"/>
          <w:right w:w="108" w:type="dxa"/>
        </w:tblCellMar>
      </w:tblPr>
      <w:tblGrid>
        <w:gridCol w:w="2611"/>
        <w:gridCol w:w="236"/>
        <w:gridCol w:w="236"/>
        <w:gridCol w:w="3947"/>
        <w:gridCol w:w="2351"/>
        <w:gridCol w:w="1835"/>
        <w:gridCol w:w="2451"/>
      </w:tblGrid>
      <w:tr>
        <w:tblPrEx>
          <w:tblCellMar>
            <w:top w:w="0" w:type="dxa"/>
            <w:left w:w="108" w:type="dxa"/>
            <w:bottom w:w="0" w:type="dxa"/>
            <w:right w:w="108" w:type="dxa"/>
          </w:tblCellMar>
        </w:tblPrEx>
        <w:trPr>
          <w:trHeight w:val="370" w:hRule="atLeast"/>
        </w:trPr>
        <w:tc>
          <w:tcPr>
            <w:tcW w:w="13667" w:type="dxa"/>
            <w:gridSpan w:val="7"/>
            <w:tcBorders>
              <w:top w:val="nil"/>
              <w:left w:val="nil"/>
              <w:bottom w:val="nil"/>
              <w:right w:val="nil"/>
            </w:tcBorders>
            <w:noWrap/>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lang w:bidi="ar"/>
              </w:rPr>
              <w:t>一般公共预算财政拨款支出决算表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rPr>
                <w:rFonts w:hint="eastAsia" w:ascii="Arial" w:hAnsi="Arial" w:cs="Arial"/>
                <w:color w:val="auto"/>
                <w:sz w:val="20"/>
                <w:szCs w:val="20"/>
              </w:rPr>
            </w:pP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3956" w:type="dxa"/>
            <w:tcBorders>
              <w:top w:val="nil"/>
              <w:left w:val="nil"/>
              <w:bottom w:val="nil"/>
              <w:right w:val="nil"/>
            </w:tcBorders>
            <w:noWrap/>
            <w:vAlign w:val="bottom"/>
          </w:tcPr>
          <w:p>
            <w:pPr>
              <w:rPr>
                <w:rFonts w:ascii="Arial" w:hAnsi="Arial" w:cs="Arial"/>
                <w:color w:val="auto"/>
                <w:sz w:val="20"/>
                <w:szCs w:val="20"/>
              </w:rPr>
            </w:pPr>
          </w:p>
        </w:tc>
        <w:tc>
          <w:tcPr>
            <w:tcW w:w="2356" w:type="dxa"/>
            <w:tcBorders>
              <w:top w:val="nil"/>
              <w:left w:val="nil"/>
              <w:bottom w:val="nil"/>
              <w:right w:val="nil"/>
            </w:tcBorders>
            <w:noWrap/>
            <w:vAlign w:val="bottom"/>
          </w:tcPr>
          <w:p>
            <w:pPr>
              <w:rPr>
                <w:rFonts w:ascii="Arial" w:hAnsi="Arial" w:cs="Arial"/>
                <w:color w:val="auto"/>
                <w:sz w:val="20"/>
                <w:szCs w:val="20"/>
              </w:rPr>
            </w:pPr>
          </w:p>
        </w:tc>
        <w:tc>
          <w:tcPr>
            <w:tcW w:w="1839" w:type="dxa"/>
            <w:tcBorders>
              <w:top w:val="nil"/>
              <w:left w:val="nil"/>
              <w:bottom w:val="nil"/>
              <w:right w:val="nil"/>
            </w:tcBorders>
            <w:noWrap/>
            <w:vAlign w:val="bottom"/>
          </w:tcPr>
          <w:p>
            <w:pPr>
              <w:rPr>
                <w:rFonts w:ascii="Arial" w:hAnsi="Arial" w:cs="Arial"/>
                <w:color w:val="auto"/>
                <w:sz w:val="20"/>
                <w:szCs w:val="20"/>
              </w:rPr>
            </w:pPr>
          </w:p>
        </w:tc>
        <w:tc>
          <w:tcPr>
            <w:tcW w:w="2456"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公开05表</w:t>
            </w:r>
          </w:p>
        </w:tc>
      </w:tr>
      <w:tr>
        <w:tblPrEx>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widowControl/>
              <w:jc w:val="left"/>
              <w:textAlignment w:val="bottom"/>
              <w:rPr>
                <w:rFonts w:hint="eastAsia"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：许昌市第三初级中学</w:t>
            </w: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222" w:type="dxa"/>
            <w:tcBorders>
              <w:top w:val="nil"/>
              <w:left w:val="nil"/>
              <w:bottom w:val="nil"/>
              <w:right w:val="nil"/>
            </w:tcBorders>
            <w:noWrap/>
            <w:vAlign w:val="bottom"/>
          </w:tcPr>
          <w:p>
            <w:pPr>
              <w:rPr>
                <w:rFonts w:ascii="Arial" w:hAnsi="Arial" w:cs="Arial"/>
                <w:color w:val="auto"/>
                <w:sz w:val="20"/>
                <w:szCs w:val="20"/>
              </w:rPr>
            </w:pPr>
          </w:p>
        </w:tc>
        <w:tc>
          <w:tcPr>
            <w:tcW w:w="3956" w:type="dxa"/>
            <w:tcBorders>
              <w:top w:val="nil"/>
              <w:left w:val="nil"/>
              <w:bottom w:val="nil"/>
              <w:right w:val="nil"/>
            </w:tcBorders>
            <w:noWrap/>
            <w:vAlign w:val="bottom"/>
          </w:tcPr>
          <w:p>
            <w:pPr>
              <w:rPr>
                <w:rFonts w:ascii="Arial" w:hAnsi="Arial" w:cs="Arial"/>
                <w:color w:val="auto"/>
                <w:sz w:val="20"/>
                <w:szCs w:val="20"/>
              </w:rPr>
            </w:pPr>
          </w:p>
        </w:tc>
        <w:tc>
          <w:tcPr>
            <w:tcW w:w="2356" w:type="dxa"/>
            <w:tcBorders>
              <w:top w:val="nil"/>
              <w:left w:val="nil"/>
              <w:bottom w:val="nil"/>
              <w:right w:val="nil"/>
            </w:tcBorders>
            <w:noWrap/>
            <w:vAlign w:val="bottom"/>
          </w:tcPr>
          <w:p>
            <w:pPr>
              <w:rPr>
                <w:rFonts w:ascii="Arial" w:hAnsi="Arial" w:cs="Arial"/>
                <w:color w:val="auto"/>
                <w:sz w:val="20"/>
                <w:szCs w:val="20"/>
              </w:rPr>
            </w:pPr>
          </w:p>
        </w:tc>
        <w:tc>
          <w:tcPr>
            <w:tcW w:w="1839" w:type="dxa"/>
            <w:tcBorders>
              <w:top w:val="nil"/>
              <w:left w:val="nil"/>
              <w:bottom w:val="nil"/>
              <w:right w:val="nil"/>
            </w:tcBorders>
            <w:noWrap/>
            <w:vAlign w:val="bottom"/>
          </w:tcPr>
          <w:p>
            <w:pPr>
              <w:rPr>
                <w:rFonts w:ascii="Arial" w:hAnsi="Arial" w:cs="Arial"/>
                <w:color w:val="auto"/>
                <w:sz w:val="20"/>
                <w:szCs w:val="20"/>
              </w:rPr>
            </w:pPr>
          </w:p>
        </w:tc>
        <w:tc>
          <w:tcPr>
            <w:tcW w:w="2456" w:type="dxa"/>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24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w:t>
            </w:r>
          </w:p>
        </w:tc>
        <w:tc>
          <w:tcPr>
            <w:tcW w:w="6651"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本年支出</w:t>
            </w:r>
          </w:p>
        </w:tc>
      </w:tr>
      <w:tr>
        <w:tblPrEx>
          <w:tblCellMar>
            <w:top w:w="0" w:type="dxa"/>
            <w:left w:w="108" w:type="dxa"/>
            <w:bottom w:w="0" w:type="dxa"/>
            <w:right w:w="108" w:type="dxa"/>
          </w:tblCellMar>
        </w:tblPrEx>
        <w:trPr>
          <w:trHeight w:val="312"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235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小计</w:t>
            </w:r>
          </w:p>
        </w:tc>
        <w:tc>
          <w:tcPr>
            <w:tcW w:w="183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基本支出</w:t>
            </w:r>
          </w:p>
        </w:tc>
        <w:tc>
          <w:tcPr>
            <w:tcW w:w="245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项目支出</w:t>
            </w: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2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8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2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2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8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24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235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839"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2456" w:type="dxa"/>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r>
      <w:tr>
        <w:tblPrEx>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lang w:bidi="ar"/>
              </w:rPr>
              <w:t>643.31</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lang w:bidi="ar"/>
              </w:rPr>
              <w:t>599.04</w:t>
            </w: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b/>
                <w:bCs/>
                <w:color w:val="auto"/>
                <w:sz w:val="22"/>
              </w:rPr>
            </w:pPr>
            <w:r>
              <w:rPr>
                <w:rFonts w:hint="eastAsia" w:ascii="宋体" w:hAnsi="宋体" w:cs="宋体"/>
                <w:b/>
                <w:bCs/>
                <w:color w:val="auto"/>
                <w:kern w:val="0"/>
                <w:sz w:val="22"/>
                <w:lang w:bidi="ar"/>
              </w:rPr>
              <w:t>44.26</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一般公共服务支出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群众团体事务</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2012906</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工会事务</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教育支出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542.90</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498.64</w:t>
            </w: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44.26</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普通教育</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530.90</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498.64</w:t>
            </w: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32.26</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2050203</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初中教育</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449.97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449.97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2050299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其他普通教育支出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80.93</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48.67</w:t>
            </w: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32.26</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其他教育支出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183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2059999</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其他教育支出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c>
          <w:tcPr>
            <w:tcW w:w="1839"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24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12.00</w:t>
            </w: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社会保障和就业支出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行政事业单位养老支出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77.16</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事业单位离退休</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43.48</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43.48</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2080505</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机关事业单位基本养老保险缴费支出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33.67</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33.67</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卫生健康支出</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行政事业单位医疗</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2101102</w:t>
            </w:r>
          </w:p>
        </w:tc>
        <w:tc>
          <w:tcPr>
            <w:tcW w:w="3956"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事业单位医疗</w:t>
            </w:r>
          </w:p>
        </w:tc>
        <w:tc>
          <w:tcPr>
            <w:tcW w:w="235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1839"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20.28</w:t>
            </w:r>
          </w:p>
        </w:tc>
        <w:tc>
          <w:tcPr>
            <w:tcW w:w="2456"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13667" w:type="dxa"/>
            <w:gridSpan w:val="7"/>
            <w:tcBorders>
              <w:top w:val="nil"/>
              <w:left w:val="nil"/>
              <w:bottom w:val="nil"/>
              <w:right w:val="nil"/>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val="en-US" w:eastAsia="zh-CN" w:bidi="ar"/>
              </w:rPr>
              <w:t>单位</w:t>
            </w:r>
            <w:r>
              <w:rPr>
                <w:rFonts w:hint="eastAsia" w:ascii="宋体" w:hAnsi="宋体" w:cs="宋体"/>
                <w:color w:val="auto"/>
                <w:kern w:val="0"/>
                <w:sz w:val="22"/>
                <w:lang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76" w:type="dxa"/>
        <w:tblInd w:w="98" w:type="dxa"/>
        <w:tblLayout w:type="fixed"/>
        <w:tblCellMar>
          <w:top w:w="0" w:type="dxa"/>
          <w:left w:w="108" w:type="dxa"/>
          <w:bottom w:w="0" w:type="dxa"/>
          <w:right w:w="108" w:type="dxa"/>
        </w:tblCellMar>
      </w:tblPr>
      <w:tblGrid>
        <w:gridCol w:w="824"/>
        <w:gridCol w:w="3475"/>
        <w:gridCol w:w="1057"/>
        <w:gridCol w:w="1634"/>
        <w:gridCol w:w="1750"/>
        <w:gridCol w:w="1103"/>
        <w:gridCol w:w="1029"/>
        <w:gridCol w:w="2471"/>
        <w:gridCol w:w="733"/>
      </w:tblGrid>
      <w:tr>
        <w:tblPrEx>
          <w:tblCellMar>
            <w:top w:w="0" w:type="dxa"/>
            <w:left w:w="108" w:type="dxa"/>
            <w:bottom w:w="0" w:type="dxa"/>
            <w:right w:w="108" w:type="dxa"/>
          </w:tblCellMar>
        </w:tblPrEx>
        <w:trPr>
          <w:trHeight w:val="370" w:hRule="atLeast"/>
        </w:trPr>
        <w:tc>
          <w:tcPr>
            <w:tcW w:w="14076" w:type="dxa"/>
            <w:gridSpan w:val="9"/>
            <w:tcBorders>
              <w:top w:val="nil"/>
              <w:left w:val="nil"/>
              <w:bottom w:val="nil"/>
              <w:right w:val="nil"/>
            </w:tcBorders>
            <w:noWrap/>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lang w:bidi="ar"/>
              </w:rPr>
              <w:t>一般公共预算财政拨款基本支出决算表</w:t>
            </w:r>
          </w:p>
        </w:tc>
      </w:tr>
      <w:tr>
        <w:tblPrEx>
          <w:tblCellMar>
            <w:top w:w="0" w:type="dxa"/>
            <w:left w:w="108" w:type="dxa"/>
            <w:bottom w:w="0" w:type="dxa"/>
            <w:right w:w="108" w:type="dxa"/>
          </w:tblCellMar>
        </w:tblPrEx>
        <w:trPr>
          <w:trHeight w:val="250" w:hRule="atLeast"/>
        </w:trPr>
        <w:tc>
          <w:tcPr>
            <w:tcW w:w="824" w:type="dxa"/>
            <w:tcBorders>
              <w:top w:val="nil"/>
              <w:left w:val="nil"/>
              <w:bottom w:val="nil"/>
              <w:right w:val="nil"/>
            </w:tcBorders>
            <w:noWrap/>
            <w:vAlign w:val="bottom"/>
          </w:tcPr>
          <w:p>
            <w:pPr>
              <w:rPr>
                <w:rFonts w:hint="eastAsia" w:ascii="Arial" w:hAnsi="Arial" w:cs="Arial"/>
                <w:color w:val="auto"/>
                <w:sz w:val="20"/>
                <w:szCs w:val="20"/>
              </w:rPr>
            </w:pPr>
          </w:p>
        </w:tc>
        <w:tc>
          <w:tcPr>
            <w:tcW w:w="3475" w:type="dxa"/>
            <w:tcBorders>
              <w:top w:val="nil"/>
              <w:left w:val="nil"/>
              <w:bottom w:val="nil"/>
              <w:right w:val="nil"/>
            </w:tcBorders>
            <w:noWrap/>
            <w:vAlign w:val="bottom"/>
          </w:tcPr>
          <w:p>
            <w:pPr>
              <w:rPr>
                <w:rFonts w:ascii="Arial" w:hAnsi="Arial" w:cs="Arial"/>
                <w:color w:val="auto"/>
                <w:sz w:val="20"/>
                <w:szCs w:val="20"/>
              </w:rPr>
            </w:pPr>
          </w:p>
        </w:tc>
        <w:tc>
          <w:tcPr>
            <w:tcW w:w="1057" w:type="dxa"/>
            <w:tcBorders>
              <w:top w:val="nil"/>
              <w:left w:val="nil"/>
              <w:bottom w:val="nil"/>
              <w:right w:val="nil"/>
            </w:tcBorders>
            <w:noWrap/>
            <w:vAlign w:val="bottom"/>
          </w:tcPr>
          <w:p>
            <w:pPr>
              <w:rPr>
                <w:rFonts w:ascii="Arial" w:hAnsi="Arial" w:cs="Arial"/>
                <w:color w:val="auto"/>
                <w:sz w:val="20"/>
                <w:szCs w:val="20"/>
              </w:rPr>
            </w:pPr>
          </w:p>
        </w:tc>
        <w:tc>
          <w:tcPr>
            <w:tcW w:w="1634" w:type="dxa"/>
            <w:tcBorders>
              <w:top w:val="nil"/>
              <w:left w:val="nil"/>
              <w:bottom w:val="nil"/>
              <w:right w:val="nil"/>
            </w:tcBorders>
            <w:noWrap/>
            <w:vAlign w:val="bottom"/>
          </w:tcPr>
          <w:p>
            <w:pPr>
              <w:rPr>
                <w:rFonts w:ascii="Arial" w:hAnsi="Arial" w:cs="Arial"/>
                <w:color w:val="auto"/>
                <w:sz w:val="20"/>
                <w:szCs w:val="20"/>
              </w:rPr>
            </w:pPr>
          </w:p>
        </w:tc>
        <w:tc>
          <w:tcPr>
            <w:tcW w:w="1750" w:type="dxa"/>
            <w:tcBorders>
              <w:top w:val="nil"/>
              <w:left w:val="nil"/>
              <w:bottom w:val="nil"/>
              <w:right w:val="nil"/>
            </w:tcBorders>
            <w:noWrap/>
            <w:vAlign w:val="bottom"/>
          </w:tcPr>
          <w:p>
            <w:pPr>
              <w:rPr>
                <w:rFonts w:ascii="Arial" w:hAnsi="Arial" w:cs="Arial"/>
                <w:color w:val="auto"/>
                <w:sz w:val="20"/>
                <w:szCs w:val="20"/>
              </w:rPr>
            </w:pPr>
          </w:p>
        </w:tc>
        <w:tc>
          <w:tcPr>
            <w:tcW w:w="1103" w:type="dxa"/>
            <w:tcBorders>
              <w:top w:val="nil"/>
              <w:left w:val="nil"/>
              <w:bottom w:val="nil"/>
              <w:right w:val="nil"/>
            </w:tcBorders>
            <w:noWrap/>
            <w:vAlign w:val="bottom"/>
          </w:tcPr>
          <w:p>
            <w:pPr>
              <w:rPr>
                <w:rFonts w:ascii="Arial" w:hAnsi="Arial" w:cs="Arial"/>
                <w:color w:val="auto"/>
                <w:sz w:val="20"/>
                <w:szCs w:val="20"/>
              </w:rPr>
            </w:pPr>
          </w:p>
        </w:tc>
        <w:tc>
          <w:tcPr>
            <w:tcW w:w="1029" w:type="dxa"/>
            <w:tcBorders>
              <w:top w:val="nil"/>
              <w:left w:val="nil"/>
              <w:bottom w:val="nil"/>
              <w:right w:val="nil"/>
            </w:tcBorders>
            <w:noWrap/>
            <w:vAlign w:val="bottom"/>
          </w:tcPr>
          <w:p>
            <w:pPr>
              <w:rPr>
                <w:rFonts w:ascii="Arial" w:hAnsi="Arial" w:cs="Arial"/>
                <w:color w:val="auto"/>
                <w:sz w:val="20"/>
                <w:szCs w:val="20"/>
              </w:rPr>
            </w:pPr>
          </w:p>
        </w:tc>
        <w:tc>
          <w:tcPr>
            <w:tcW w:w="3204" w:type="dxa"/>
            <w:gridSpan w:val="2"/>
            <w:tcBorders>
              <w:top w:val="nil"/>
              <w:left w:val="nil"/>
              <w:bottom w:val="nil"/>
              <w:right w:val="nil"/>
            </w:tcBorders>
            <w:noWrap/>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lang w:bidi="ar"/>
              </w:rPr>
              <w:t>公开06表</w:t>
            </w:r>
          </w:p>
        </w:tc>
      </w:tr>
      <w:tr>
        <w:tblPrEx>
          <w:tblCellMar>
            <w:top w:w="0" w:type="dxa"/>
            <w:left w:w="108" w:type="dxa"/>
            <w:bottom w:w="0" w:type="dxa"/>
            <w:right w:w="108" w:type="dxa"/>
          </w:tblCellMar>
        </w:tblPrEx>
        <w:trPr>
          <w:trHeight w:val="260" w:hRule="atLeast"/>
        </w:trPr>
        <w:tc>
          <w:tcPr>
            <w:tcW w:w="4299" w:type="dxa"/>
            <w:gridSpan w:val="2"/>
            <w:tcBorders>
              <w:top w:val="nil"/>
              <w:left w:val="nil"/>
              <w:bottom w:val="nil"/>
              <w:right w:val="nil"/>
            </w:tcBorders>
            <w:noWrap/>
            <w:vAlign w:val="bottom"/>
          </w:tcPr>
          <w:p>
            <w:pPr>
              <w:rPr>
                <w:rFonts w:ascii="Arial" w:hAnsi="Arial" w:cs="Arial"/>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：许昌市第三初级中学</w:t>
            </w:r>
          </w:p>
        </w:tc>
        <w:tc>
          <w:tcPr>
            <w:tcW w:w="1057" w:type="dxa"/>
            <w:tcBorders>
              <w:top w:val="nil"/>
              <w:left w:val="nil"/>
              <w:bottom w:val="nil"/>
              <w:right w:val="nil"/>
            </w:tcBorders>
            <w:noWrap/>
            <w:vAlign w:val="bottom"/>
          </w:tcPr>
          <w:p>
            <w:pPr>
              <w:rPr>
                <w:rFonts w:ascii="Arial" w:hAnsi="Arial" w:cs="Arial"/>
                <w:color w:val="auto"/>
                <w:sz w:val="20"/>
                <w:szCs w:val="20"/>
              </w:rPr>
            </w:pPr>
          </w:p>
        </w:tc>
        <w:tc>
          <w:tcPr>
            <w:tcW w:w="1634" w:type="dxa"/>
            <w:tcBorders>
              <w:top w:val="nil"/>
              <w:left w:val="nil"/>
              <w:bottom w:val="nil"/>
              <w:right w:val="nil"/>
            </w:tcBorders>
            <w:noWrap/>
            <w:vAlign w:val="bottom"/>
          </w:tcPr>
          <w:p>
            <w:pPr>
              <w:rPr>
                <w:rFonts w:ascii="Arial" w:hAnsi="Arial" w:cs="Arial"/>
                <w:color w:val="auto"/>
                <w:sz w:val="20"/>
                <w:szCs w:val="20"/>
              </w:rPr>
            </w:pPr>
          </w:p>
        </w:tc>
        <w:tc>
          <w:tcPr>
            <w:tcW w:w="1750" w:type="dxa"/>
            <w:tcBorders>
              <w:top w:val="nil"/>
              <w:left w:val="nil"/>
              <w:bottom w:val="nil"/>
              <w:right w:val="nil"/>
            </w:tcBorders>
            <w:noWrap/>
            <w:vAlign w:val="bottom"/>
          </w:tcPr>
          <w:p>
            <w:pPr>
              <w:rPr>
                <w:rFonts w:ascii="Arial" w:hAnsi="Arial" w:cs="Arial"/>
                <w:color w:val="auto"/>
                <w:sz w:val="20"/>
                <w:szCs w:val="20"/>
              </w:rPr>
            </w:pPr>
          </w:p>
        </w:tc>
        <w:tc>
          <w:tcPr>
            <w:tcW w:w="1103" w:type="dxa"/>
            <w:tcBorders>
              <w:top w:val="nil"/>
              <w:left w:val="nil"/>
              <w:bottom w:val="nil"/>
              <w:right w:val="nil"/>
            </w:tcBorders>
            <w:noWrap/>
            <w:vAlign w:val="bottom"/>
          </w:tcPr>
          <w:p>
            <w:pPr>
              <w:rPr>
                <w:rFonts w:ascii="Arial" w:hAnsi="Arial" w:cs="Arial"/>
                <w:color w:val="auto"/>
                <w:sz w:val="20"/>
                <w:szCs w:val="20"/>
              </w:rPr>
            </w:pPr>
          </w:p>
        </w:tc>
        <w:tc>
          <w:tcPr>
            <w:tcW w:w="1029" w:type="dxa"/>
            <w:tcBorders>
              <w:top w:val="nil"/>
              <w:left w:val="nil"/>
              <w:bottom w:val="nil"/>
              <w:right w:val="nil"/>
            </w:tcBorders>
            <w:noWrap/>
            <w:vAlign w:val="bottom"/>
          </w:tcPr>
          <w:p>
            <w:pPr>
              <w:rPr>
                <w:rFonts w:ascii="Arial" w:hAnsi="Arial" w:cs="Arial"/>
                <w:color w:val="auto"/>
                <w:sz w:val="20"/>
                <w:szCs w:val="20"/>
              </w:rPr>
            </w:pPr>
          </w:p>
        </w:tc>
        <w:tc>
          <w:tcPr>
            <w:tcW w:w="3204" w:type="dxa"/>
            <w:gridSpan w:val="2"/>
            <w:tcBorders>
              <w:top w:val="nil"/>
              <w:left w:val="nil"/>
              <w:bottom w:val="nil"/>
              <w:right w:val="nil"/>
            </w:tcBorders>
            <w:noWrap/>
            <w:vAlign w:val="bottom"/>
          </w:tcPr>
          <w:p>
            <w:pPr>
              <w:widowControl/>
              <w:jc w:val="right"/>
              <w:textAlignment w:val="bottom"/>
              <w:rPr>
                <w:rFonts w:hint="eastAsia" w:ascii="宋体" w:hAnsi="宋体" w:cs="宋体"/>
                <w:color w:val="auto"/>
                <w:sz w:val="18"/>
                <w:szCs w:val="18"/>
              </w:rPr>
            </w:pPr>
            <w:r>
              <w:rPr>
                <w:rFonts w:hint="eastAsia" w:ascii="宋体" w:hAnsi="宋体" w:cs="宋体"/>
                <w:color w:val="auto"/>
                <w:kern w:val="0"/>
                <w:sz w:val="18"/>
                <w:szCs w:val="18"/>
                <w:lang w:bidi="ar"/>
              </w:rPr>
              <w:t>金额单位：万元</w:t>
            </w:r>
          </w:p>
        </w:tc>
      </w:tr>
      <w:tr>
        <w:tblPrEx>
          <w:tblCellMar>
            <w:top w:w="0" w:type="dxa"/>
            <w:left w:w="108" w:type="dxa"/>
            <w:bottom w:w="0" w:type="dxa"/>
            <w:right w:w="108" w:type="dxa"/>
          </w:tblCellMar>
        </w:tblPrEx>
        <w:trPr>
          <w:trHeight w:val="308" w:hRule="atLeast"/>
        </w:trPr>
        <w:tc>
          <w:tcPr>
            <w:tcW w:w="535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人员经费</w:t>
            </w:r>
          </w:p>
        </w:tc>
        <w:tc>
          <w:tcPr>
            <w:tcW w:w="8720"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公用经费</w:t>
            </w:r>
          </w:p>
        </w:tc>
      </w:tr>
      <w:tr>
        <w:tblPrEx>
          <w:tblCellMar>
            <w:top w:w="0" w:type="dxa"/>
            <w:left w:w="108" w:type="dxa"/>
            <w:bottom w:w="0" w:type="dxa"/>
            <w:right w:w="108" w:type="dxa"/>
          </w:tblCellMar>
        </w:tblPrEx>
        <w:trPr>
          <w:trHeight w:val="312" w:hRule="atLeast"/>
        </w:trPr>
        <w:tc>
          <w:tcPr>
            <w:tcW w:w="824"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科目编码</w:t>
            </w:r>
          </w:p>
        </w:tc>
        <w:tc>
          <w:tcPr>
            <w:tcW w:w="347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105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c>
          <w:tcPr>
            <w:tcW w:w="163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科目编码</w:t>
            </w:r>
          </w:p>
        </w:tc>
        <w:tc>
          <w:tcPr>
            <w:tcW w:w="175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110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c>
          <w:tcPr>
            <w:tcW w:w="102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科目编码</w:t>
            </w:r>
          </w:p>
        </w:tc>
        <w:tc>
          <w:tcPr>
            <w:tcW w:w="2471"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73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r>
      <w:tr>
        <w:tblPrEx>
          <w:tblCellMar>
            <w:top w:w="0" w:type="dxa"/>
            <w:left w:w="108" w:type="dxa"/>
            <w:bottom w:w="0" w:type="dxa"/>
            <w:right w:w="108" w:type="dxa"/>
          </w:tblCellMar>
        </w:tblPrEx>
        <w:trPr>
          <w:trHeight w:val="312" w:hRule="atLeast"/>
        </w:trPr>
        <w:tc>
          <w:tcPr>
            <w:tcW w:w="82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34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6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1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24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7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工资福利支出</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527.80</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商品和服务支出</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26.19</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307</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债务利息及费用支出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基本工资</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218.45</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30201</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办公费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2.72</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30701</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国内债务付息</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30102</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津贴补贴</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183.06</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30202</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印刷费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30702</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国外债务付息</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30103</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奖金</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30203</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咨询费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资本性支出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30106</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伙食补助费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30204</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手续费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31001</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房屋建筑物购建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30107</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绩效工资</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37.64</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30205</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水费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31002</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办公设备购置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30108</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机关事业单位基本养老保险缴费</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33.76</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30206</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电费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31003</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专用设备购置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30109</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职业年金缴费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30207</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邮电费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31005</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基础设施建设</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30110</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职工基本医疗保险缴费</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19.48</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30208</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取暖费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31006</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大型修缮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公务员医疗补助缴费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30209</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物业管理费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3.00</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31007</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信息网络及软件购置更新</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30112</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其他社会保障缴费</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4.17</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30211</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差旅费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1.22</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31008</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物资储备</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30113</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住房公积金</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31.23</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30212</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因公出国（境）费用</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31009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土地补偿</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30114</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医疗费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30213</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维修（护）费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9.25</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31010</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安置补助</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30199</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其他工资福利支出</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30214</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租赁费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31011</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地上附着物和青苗补偿</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对个人和家庭的补助</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45.05</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30215</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会议费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31012</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拆迁补偿</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离休费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30216</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培训费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1.08</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31013</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公务用车购置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30302</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退休费</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44.21</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30217</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公务接待费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31019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其他交通工具购置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30303</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退职（役）费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30218</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专用材料费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0.24</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31021</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文物和陈列品购置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30304</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抚恤金</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30224</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被装购置费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31022</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无形资产购置</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30305</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生活补助</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0.82</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30225</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专用燃料费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31099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其他资本性支出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30306</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救济费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30226</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劳务费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0.38</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其他支出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30307</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医疗费补助</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30227</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委托业务费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39906</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赠与</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30308</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助学金</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30228</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工会经费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2.97</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39907</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国家赔偿费用支出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30309</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奖励金</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30229</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福利费</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3.37</w:t>
            </w: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39908</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对民间非营利组织和群众性自治组织补贴</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30310</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个人农业生产补贴</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30231</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公务用车运行维护费</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39999</w:t>
            </w:r>
          </w:p>
        </w:tc>
        <w:tc>
          <w:tcPr>
            <w:tcW w:w="2471"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其他支出</w:t>
            </w: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30311</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代缴社会保险费</w:t>
            </w: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30239</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其他交通费用</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2471"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30399</w:t>
            </w:r>
          </w:p>
        </w:tc>
        <w:tc>
          <w:tcPr>
            <w:tcW w:w="3475"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其他对个人和家庭的补助</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0.02</w:t>
            </w: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30240</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税金及附加费用</w:t>
            </w:r>
          </w:p>
        </w:tc>
        <w:tc>
          <w:tcPr>
            <w:tcW w:w="110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1.96</w:t>
            </w:r>
          </w:p>
        </w:tc>
        <w:tc>
          <w:tcPr>
            <w:tcW w:w="1029"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2471"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8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3475"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1057"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634"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30299</w:t>
            </w:r>
          </w:p>
        </w:tc>
        <w:tc>
          <w:tcPr>
            <w:tcW w:w="1750"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 xml:space="preserve">  其他商品和服务支出</w:t>
            </w:r>
          </w:p>
        </w:tc>
        <w:tc>
          <w:tcPr>
            <w:tcW w:w="110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1029"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2471" w:type="dxa"/>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733" w:type="dxa"/>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4299"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人员经费合计</w:t>
            </w:r>
          </w:p>
        </w:tc>
        <w:tc>
          <w:tcPr>
            <w:tcW w:w="1057"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572.86</w:t>
            </w:r>
          </w:p>
        </w:tc>
        <w:tc>
          <w:tcPr>
            <w:tcW w:w="7987" w:type="dxa"/>
            <w:gridSpan w:val="5"/>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公用经费合计</w:t>
            </w:r>
          </w:p>
        </w:tc>
        <w:tc>
          <w:tcPr>
            <w:tcW w:w="73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sz w:val="22"/>
              </w:rPr>
            </w:pPr>
            <w:r>
              <w:rPr>
                <w:rFonts w:hint="eastAsia" w:ascii="宋体" w:hAnsi="宋体" w:cs="宋体"/>
                <w:color w:val="auto"/>
                <w:kern w:val="0"/>
                <w:sz w:val="22"/>
                <w:lang w:bidi="ar"/>
              </w:rPr>
              <w:t>26.19</w:t>
            </w:r>
          </w:p>
        </w:tc>
      </w:tr>
      <w:tr>
        <w:tblPrEx>
          <w:tblCellMar>
            <w:top w:w="0" w:type="dxa"/>
            <w:left w:w="108" w:type="dxa"/>
            <w:bottom w:w="0" w:type="dxa"/>
            <w:right w:w="108" w:type="dxa"/>
          </w:tblCellMar>
        </w:tblPrEx>
        <w:trPr>
          <w:trHeight w:val="308" w:hRule="atLeast"/>
        </w:trPr>
        <w:tc>
          <w:tcPr>
            <w:tcW w:w="14076" w:type="dxa"/>
            <w:gridSpan w:val="9"/>
            <w:tcBorders>
              <w:top w:val="nil"/>
              <w:left w:val="nil"/>
              <w:bottom w:val="nil"/>
              <w:right w:val="nil"/>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val="en-US" w:eastAsia="zh-CN" w:bidi="ar"/>
              </w:rPr>
              <w:t>单位</w:t>
            </w:r>
            <w:r>
              <w:rPr>
                <w:rFonts w:hint="eastAsia" w:ascii="宋体" w:hAnsi="宋体" w:cs="宋体"/>
                <w:color w:val="auto"/>
                <w:kern w:val="0"/>
                <w:sz w:val="22"/>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080" w:type="dxa"/>
        <w:tblInd w:w="98" w:type="dxa"/>
        <w:tblLayout w:type="autofit"/>
        <w:tblCellMar>
          <w:top w:w="0" w:type="dxa"/>
          <w:left w:w="108" w:type="dxa"/>
          <w:bottom w:w="0" w:type="dxa"/>
          <w:right w:w="108" w:type="dxa"/>
        </w:tblCellMar>
      </w:tblPr>
      <w:tblGrid>
        <w:gridCol w:w="2616"/>
        <w:gridCol w:w="1090"/>
        <w:gridCol w:w="817"/>
        <w:gridCol w:w="817"/>
        <w:gridCol w:w="817"/>
        <w:gridCol w:w="955"/>
        <w:gridCol w:w="817"/>
        <w:gridCol w:w="1090"/>
        <w:gridCol w:w="817"/>
        <w:gridCol w:w="817"/>
        <w:gridCol w:w="817"/>
        <w:gridCol w:w="1616"/>
      </w:tblGrid>
      <w:tr>
        <w:tblPrEx>
          <w:tblCellMar>
            <w:top w:w="0" w:type="dxa"/>
            <w:left w:w="108" w:type="dxa"/>
            <w:bottom w:w="0" w:type="dxa"/>
            <w:right w:w="108" w:type="dxa"/>
          </w:tblCellMar>
        </w:tblPrEx>
        <w:trPr>
          <w:trHeight w:val="550" w:hRule="atLeast"/>
        </w:trPr>
        <w:tc>
          <w:tcPr>
            <w:tcW w:w="13080" w:type="dxa"/>
            <w:gridSpan w:val="12"/>
            <w:tcBorders>
              <w:top w:val="nil"/>
              <w:left w:val="nil"/>
              <w:bottom w:val="nil"/>
              <w:right w:val="nil"/>
            </w:tcBorders>
            <w:noWrap/>
            <w:vAlign w:val="bottom"/>
          </w:tcPr>
          <w:p>
            <w:pPr>
              <w:widowControl/>
              <w:jc w:val="center"/>
              <w:textAlignment w:val="bottom"/>
              <w:rPr>
                <w:rFonts w:hint="eastAsia" w:ascii="宋体" w:hAnsi="宋体" w:cs="宋体"/>
                <w:color w:val="auto"/>
                <w:sz w:val="44"/>
                <w:szCs w:val="44"/>
              </w:rPr>
            </w:pPr>
            <w:r>
              <w:rPr>
                <w:rFonts w:hint="eastAsia" w:ascii="宋体" w:hAnsi="宋体" w:cs="宋体"/>
                <w:color w:val="auto"/>
                <w:kern w:val="0"/>
                <w:sz w:val="44"/>
                <w:szCs w:val="44"/>
                <w:lang w:bidi="ar"/>
              </w:rPr>
              <w:t>一般公共预算财政拨款“三公”经费支出决算表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rPr>
                <w:rFonts w:hint="eastAsia"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公开07表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：许昌市第三初级中学</w:t>
            </w: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654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预算数</w:t>
            </w:r>
          </w:p>
        </w:tc>
        <w:tc>
          <w:tcPr>
            <w:tcW w:w="6540"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决算数</w:t>
            </w:r>
          </w:p>
        </w:tc>
      </w:tr>
      <w:tr>
        <w:tblPrEx>
          <w:tblCellMar>
            <w:top w:w="0" w:type="dxa"/>
            <w:left w:w="108" w:type="dxa"/>
            <w:bottom w:w="0" w:type="dxa"/>
            <w:right w:w="108" w:type="dxa"/>
          </w:tblCellMar>
        </w:tblPrEx>
        <w:trPr>
          <w:trHeight w:val="308" w:hRule="atLeast"/>
        </w:trPr>
        <w:tc>
          <w:tcPr>
            <w:tcW w:w="109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因公出国（境）费</w:t>
            </w:r>
          </w:p>
        </w:tc>
        <w:tc>
          <w:tcPr>
            <w:tcW w:w="327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公务用车购置及运行费</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公务接待费</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因公出国（境）费</w:t>
            </w:r>
          </w:p>
        </w:tc>
        <w:tc>
          <w:tcPr>
            <w:tcW w:w="327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公务用车购置及运行费</w:t>
            </w:r>
          </w:p>
        </w:tc>
        <w:tc>
          <w:tcPr>
            <w:tcW w:w="10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公务接待费</w:t>
            </w:r>
          </w:p>
        </w:tc>
      </w:tr>
      <w:tr>
        <w:tblPrEx>
          <w:tblCellMar>
            <w:top w:w="0" w:type="dxa"/>
            <w:left w:w="108" w:type="dxa"/>
            <w:bottom w:w="0" w:type="dxa"/>
            <w:right w:w="108" w:type="dxa"/>
          </w:tblCellMar>
        </w:tblPrEx>
        <w:trPr>
          <w:trHeight w:val="615" w:hRule="atLeast"/>
        </w:trPr>
        <w:tc>
          <w:tcPr>
            <w:tcW w:w="10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小计</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公务用车购置费</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公务用车运行费</w:t>
            </w: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小计</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公务用车购置费</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公务用车运行费</w:t>
            </w:r>
          </w:p>
        </w:tc>
        <w:tc>
          <w:tcPr>
            <w:tcW w:w="10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109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7</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8</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9</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10</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11</w:t>
            </w:r>
          </w:p>
        </w:tc>
        <w:tc>
          <w:tcPr>
            <w:tcW w:w="10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ascii="宋体" w:hAnsi="宋体" w:cs="宋体"/>
                <w:color w:val="auto"/>
                <w:sz w:val="22"/>
              </w:rPr>
            </w:pPr>
            <w:r>
              <w:rPr>
                <w:rFonts w:hint="eastAsia" w:ascii="宋体" w:hAnsi="宋体" w:cs="宋体"/>
                <w:color w:val="auto"/>
                <w:sz w:val="22"/>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auto"/>
                <w:sz w:val="22"/>
              </w:rPr>
            </w:pPr>
            <w:r>
              <w:rPr>
                <w:rFonts w:hint="eastAsia" w:ascii="宋体" w:hAnsi="宋体" w:cs="宋体"/>
                <w:color w:val="auto"/>
                <w:sz w:val="22"/>
              </w:rPr>
              <w:t>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r>
              <w:rPr>
                <w:rFonts w:hint="eastAsia" w:ascii="宋体" w:hAnsi="宋体" w:cs="宋体"/>
                <w:color w:val="auto"/>
                <w:sz w:val="22"/>
              </w:rPr>
              <w:t>1</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auto"/>
                <w:sz w:val="22"/>
              </w:rPr>
            </w:pPr>
            <w:r>
              <w:rPr>
                <w:rFonts w:hint="eastAsia" w:ascii="宋体" w:hAnsi="宋体" w:cs="宋体"/>
                <w:color w:val="auto"/>
                <w:sz w:val="22"/>
              </w:rPr>
              <w:t>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r>
              <w:rPr>
                <w:rFonts w:hint="eastAsia" w:ascii="宋体" w:hAnsi="宋体" w:cs="宋体"/>
                <w:color w:val="auto"/>
                <w:sz w:val="22"/>
              </w:rPr>
              <w:t>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r>
              <w:rPr>
                <w:rFonts w:hint="eastAsia" w:ascii="宋体" w:hAnsi="宋体" w:cs="宋体"/>
                <w:color w:val="auto"/>
                <w:sz w:val="22"/>
              </w:rPr>
              <w:t>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r>
              <w:rPr>
                <w:rFonts w:hint="eastAsia" w:ascii="宋体" w:hAnsi="宋体" w:cs="宋体"/>
                <w:color w:val="auto"/>
                <w:sz w:val="22"/>
              </w:rPr>
              <w:t>0</w:t>
            </w:r>
          </w:p>
        </w:tc>
      </w:tr>
      <w:tr>
        <w:tblPrEx>
          <w:tblCellMar>
            <w:top w:w="0" w:type="dxa"/>
            <w:left w:w="108" w:type="dxa"/>
            <w:bottom w:w="0" w:type="dxa"/>
            <w:right w:w="108" w:type="dxa"/>
          </w:tblCellMar>
        </w:tblPrEx>
        <w:trPr>
          <w:trHeight w:val="615" w:hRule="atLeast"/>
        </w:trPr>
        <w:tc>
          <w:tcPr>
            <w:tcW w:w="13080" w:type="dxa"/>
            <w:gridSpan w:val="12"/>
            <w:tcBorders>
              <w:top w:val="nil"/>
              <w:left w:val="nil"/>
              <w:bottom w:val="nil"/>
              <w:right w:val="nil"/>
            </w:tcBorders>
            <w:noWrap w:val="0"/>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val="en-US" w:eastAsia="zh-CN" w:bidi="ar"/>
              </w:rPr>
              <w:t>单位</w:t>
            </w:r>
            <w:r>
              <w:rPr>
                <w:rFonts w:hint="eastAsia" w:ascii="宋体" w:hAnsi="宋体" w:cs="宋体"/>
                <w:color w:val="auto"/>
                <w:kern w:val="0"/>
                <w:sz w:val="22"/>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60" w:type="dxa"/>
        <w:tblInd w:w="98" w:type="dxa"/>
        <w:tblLayout w:type="autofit"/>
        <w:tblCellMar>
          <w:top w:w="0" w:type="dxa"/>
          <w:left w:w="108" w:type="dxa"/>
          <w:bottom w:w="0" w:type="dxa"/>
          <w:right w:w="108" w:type="dxa"/>
        </w:tblCellMar>
      </w:tblPr>
      <w:tblGrid>
        <w:gridCol w:w="2616"/>
        <w:gridCol w:w="222"/>
        <w:gridCol w:w="222"/>
        <w:gridCol w:w="1096"/>
        <w:gridCol w:w="1636"/>
        <w:gridCol w:w="1504"/>
        <w:gridCol w:w="1504"/>
        <w:gridCol w:w="1504"/>
        <w:gridCol w:w="1504"/>
        <w:gridCol w:w="1760"/>
      </w:tblGrid>
      <w:tr>
        <w:tblPrEx>
          <w:tblCellMar>
            <w:top w:w="0" w:type="dxa"/>
            <w:left w:w="108" w:type="dxa"/>
            <w:bottom w:w="0" w:type="dxa"/>
            <w:right w:w="108" w:type="dxa"/>
          </w:tblCellMar>
        </w:tblPrEx>
        <w:trPr>
          <w:trHeight w:val="370" w:hRule="atLeast"/>
        </w:trPr>
        <w:tc>
          <w:tcPr>
            <w:tcW w:w="13565" w:type="dxa"/>
            <w:gridSpan w:val="10"/>
            <w:tcBorders>
              <w:top w:val="nil"/>
              <w:left w:val="nil"/>
              <w:bottom w:val="nil"/>
              <w:right w:val="nil"/>
            </w:tcBorders>
            <w:noWrap/>
            <w:vAlign w:val="bottom"/>
          </w:tcPr>
          <w:p>
            <w:pPr>
              <w:widowControl/>
              <w:jc w:val="center"/>
              <w:textAlignment w:val="bottom"/>
              <w:rPr>
                <w:rFonts w:hint="eastAsia" w:ascii="宋体" w:hAnsi="宋体" w:cs="宋体"/>
                <w:color w:val="auto"/>
                <w:sz w:val="30"/>
                <w:szCs w:val="30"/>
              </w:rPr>
            </w:pPr>
            <w:r>
              <w:rPr>
                <w:rFonts w:hint="eastAsia" w:ascii="宋体" w:hAnsi="宋体" w:cs="宋体"/>
                <w:color w:val="auto"/>
                <w:kern w:val="0"/>
                <w:sz w:val="30"/>
                <w:szCs w:val="30"/>
                <w:lang w:bidi="ar"/>
              </w:rPr>
              <w:t>政府性基金预算财政拨款收入支出决算表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rPr>
                <w:rFonts w:hint="eastAsia"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公开08表</w:t>
            </w:r>
          </w:p>
        </w:tc>
      </w:tr>
      <w:tr>
        <w:tblPrEx>
          <w:tblCellMar>
            <w:top w:w="0" w:type="dxa"/>
            <w:left w:w="108" w:type="dxa"/>
            <w:bottom w:w="0" w:type="dxa"/>
            <w:right w:w="108" w:type="dxa"/>
          </w:tblCellMar>
        </w:tblPrEx>
        <w:trPr>
          <w:trHeight w:val="260"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auto"/>
                <w:sz w:val="20"/>
                <w:szCs w:val="20"/>
              </w:rPr>
            </w:pPr>
            <w:r>
              <w:rPr>
                <w:rFonts w:hint="eastAsia" w:ascii="宋体" w:hAnsi="宋体" w:cs="宋体"/>
                <w:color w:val="auto"/>
                <w:kern w:val="0"/>
                <w:sz w:val="20"/>
                <w:szCs w:val="20"/>
                <w:lang w:eastAsia="zh-CN" w:bidi="ar"/>
              </w:rPr>
              <w:t>单位</w:t>
            </w:r>
            <w:r>
              <w:rPr>
                <w:rFonts w:hint="eastAsia" w:ascii="宋体" w:hAnsi="宋体" w:cs="宋体"/>
                <w:color w:val="auto"/>
                <w:kern w:val="0"/>
                <w:sz w:val="20"/>
                <w:szCs w:val="20"/>
                <w:lang w:bidi="ar"/>
              </w:rPr>
              <w:t>：许昌市第三初级中学</w:t>
            </w: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rPr>
                <w:rFonts w:ascii="Arial" w:hAnsi="Arial" w:cs="Arial"/>
                <w:color w:val="auto"/>
                <w:sz w:val="20"/>
                <w:szCs w:val="20"/>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20"/>
                <w:szCs w:val="20"/>
              </w:rPr>
            </w:pPr>
            <w:r>
              <w:rPr>
                <w:rFonts w:hint="eastAsia" w:ascii="宋体" w:hAnsi="宋体" w:cs="宋体"/>
                <w:color w:val="auto"/>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w:t>
            </w:r>
          </w:p>
        </w:tc>
        <w:tc>
          <w:tcPr>
            <w:tcW w:w="175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年初结转和结余</w:t>
            </w:r>
          </w:p>
        </w:tc>
        <w:tc>
          <w:tcPr>
            <w:tcW w:w="151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本年收入</w:t>
            </w:r>
          </w:p>
        </w:tc>
        <w:tc>
          <w:tcPr>
            <w:tcW w:w="4530"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本年支出</w:t>
            </w:r>
          </w:p>
        </w:tc>
        <w:tc>
          <w:tcPr>
            <w:tcW w:w="176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年末结转和结余</w:t>
            </w:r>
          </w:p>
        </w:tc>
      </w:tr>
      <w:tr>
        <w:tblPrEx>
          <w:tblCellMar>
            <w:top w:w="0" w:type="dxa"/>
            <w:left w:w="108" w:type="dxa"/>
            <w:bottom w:w="0" w:type="dxa"/>
            <w:right w:w="108" w:type="dxa"/>
          </w:tblCellMar>
        </w:tblPrEx>
        <w:trPr>
          <w:trHeight w:val="312" w:hRule="atLeast"/>
        </w:trPr>
        <w:tc>
          <w:tcPr>
            <w:tcW w:w="1035"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科目名称</w:t>
            </w: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小计</w:t>
            </w:r>
          </w:p>
        </w:tc>
        <w:tc>
          <w:tcPr>
            <w:tcW w:w="15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基本支出</w:t>
            </w:r>
          </w:p>
        </w:tc>
        <w:tc>
          <w:tcPr>
            <w:tcW w:w="15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项目支出</w:t>
            </w: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12" w:hRule="atLeast"/>
        </w:trPr>
        <w:tc>
          <w:tcPr>
            <w:tcW w:w="103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12" w:hRule="atLeast"/>
        </w:trPr>
        <w:tc>
          <w:tcPr>
            <w:tcW w:w="103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17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c>
          <w:tcPr>
            <w:tcW w:w="17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hint="eastAsia" w:ascii="宋体" w:hAnsi="宋体" w:cs="宋体"/>
                <w:color w:val="auto"/>
                <w:sz w:val="22"/>
              </w:rPr>
            </w:pPr>
            <w:r>
              <w:rPr>
                <w:rFonts w:hint="eastAsia" w:ascii="宋体" w:hAnsi="宋体" w:cs="宋体"/>
                <w:color w:val="auto"/>
                <w:kern w:val="0"/>
                <w:sz w:val="22"/>
                <w:lang w:bidi="ar"/>
              </w:rPr>
              <w:t>注：本表反映</w:t>
            </w:r>
            <w:r>
              <w:rPr>
                <w:rFonts w:hint="eastAsia" w:ascii="宋体" w:hAnsi="宋体" w:cs="宋体"/>
                <w:color w:val="auto"/>
                <w:kern w:val="0"/>
                <w:sz w:val="22"/>
                <w:lang w:eastAsia="zh-CN" w:bidi="ar"/>
              </w:rPr>
              <w:t>单位</w:t>
            </w:r>
            <w:r>
              <w:rPr>
                <w:rFonts w:hint="eastAsia" w:ascii="宋体" w:hAnsi="宋体" w:cs="宋体"/>
                <w:color w:val="auto"/>
                <w:kern w:val="0"/>
                <w:sz w:val="22"/>
                <w:lang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6"/>
          <w:szCs w:val="36"/>
        </w:rPr>
        <w:t>说明：我</w:t>
      </w:r>
      <w:r>
        <w:rPr>
          <w:rFonts w:hint="eastAsia" w:ascii="仿宋_GB2312" w:hAnsi="仿宋_GB2312" w:eastAsia="仿宋_GB2312" w:cs="仿宋_GB2312"/>
          <w:color w:val="auto"/>
          <w:sz w:val="36"/>
          <w:szCs w:val="36"/>
          <w:lang w:val="en-US" w:eastAsia="zh-CN"/>
        </w:rPr>
        <w:t>单位</w:t>
      </w:r>
      <w:r>
        <w:rPr>
          <w:rFonts w:hint="eastAsia" w:ascii="仿宋_GB2312" w:hAnsi="仿宋_GB2312" w:eastAsia="仿宋_GB2312" w:cs="仿宋_GB2312"/>
          <w:color w:val="auto"/>
          <w:sz w:val="36"/>
          <w:szCs w:val="36"/>
        </w:rPr>
        <w:t>没有政府性基金收入，也没有使用政府基金安排的支出，故本表无数据。</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outlineLvl w:val="0"/>
        <w:rPr>
          <w:rFonts w:hint="eastAsia" w:ascii="黑体" w:hAnsi="黑体" w:eastAsia="黑体" w:cs="黑体"/>
          <w:color w:val="auto"/>
          <w:sz w:val="48"/>
          <w:szCs w:val="48"/>
        </w:rPr>
      </w:pPr>
      <w:r>
        <w:rPr>
          <w:rFonts w:hint="eastAsia" w:ascii="黑体" w:hAnsi="黑体" w:eastAsia="黑体" w:cs="黑体"/>
          <w:color w:val="auto"/>
          <w:sz w:val="48"/>
          <w:szCs w:val="48"/>
        </w:rPr>
        <w:t>第三部分 2021年度单位决算情况说明</w:t>
      </w:r>
    </w:p>
    <w:p>
      <w:pPr>
        <w:widowControl/>
        <w:jc w:val="left"/>
        <w:rPr>
          <w:rFonts w:hint="eastAsia"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widowControl/>
        <w:spacing w:line="56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年度收、支总计均为643.31万元。与上年度相比，收、支总计各减少189.56万元，下降22.76%。主要原因是：本年度财政预算制度改革年底结余资金收回财政，不再结转下年度。</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二、收入决算情况说明</w:t>
      </w:r>
    </w:p>
    <w:p>
      <w:pPr>
        <w:widowControl/>
        <w:spacing w:line="590" w:lineRule="exact"/>
        <w:ind w:firstLine="640" w:firstLineChars="200"/>
        <w:rPr>
          <w:rFonts w:hint="eastAsia"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年度收入合计515.52万元，其中：财政拨款收入515.52万元，占100%；上级补助收入0万元，占0%；事业收入0万元，占0%；经营收入0万元，占0%；附属单位上缴收入0万元，占0%；其他收入0万元，占0%。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年度支出合计643.31万元，其中：基本支出599.04万元，占93.12%；项目支出44.26万元，占6.88%；上缴上级支出0万元，占0%；经营支出0万元，占0%；对附属单位补助支出0万元，占0%。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widowControl/>
        <w:spacing w:line="56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年度财政拨款收、支总计均为643.31万元。与上年度相比，财政拨款收、支总计减少189.56万元，下降22.76%。主要原因是本年度财政预算制度改革年底结余资金收回财政，不再结转下年度。</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年度一般公共预算财政拨款支出643.31万元，占支出合计的100%。与上年度相比，一般公共预算财政拨款支出减少6.62万元，下降1.0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%。主要原因是人员经费增加。</w:t>
      </w:r>
    </w:p>
    <w:p>
      <w:pPr>
        <w:widowControl/>
        <w:spacing w:line="59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hint="eastAsia" w:ascii="仿宋_GB2312" w:hAnsi="仿宋_GB2312" w:eastAsia="仿宋_GB2312"/>
          <w:color w:val="auto"/>
          <w:sz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年度一般公共预算财政拨款支出643.31万元，主要用于以下方面：</w:t>
      </w:r>
      <w:r>
        <w:rPr>
          <w:rFonts w:hint="eastAsia" w:ascii="仿宋_GB2312" w:hAnsi="仿宋_GB2312" w:eastAsia="仿宋_GB2312"/>
          <w:color w:val="auto"/>
          <w:sz w:val="32"/>
        </w:rPr>
        <w:t>一般公共服务（类）支出2.97万元，占0.46%；教育（类）支出542.9</w:t>
      </w:r>
      <w:r>
        <w:rPr>
          <w:rFonts w:hint="eastAsia" w:ascii="仿宋_GB2312" w:hAnsi="仿宋_GB2312" w:eastAsia="仿宋_GB2312"/>
          <w:color w:val="auto"/>
          <w:sz w:val="32"/>
          <w:lang w:val="en-US" w:eastAsia="zh-CN"/>
        </w:rPr>
        <w:t>0</w:t>
      </w:r>
      <w:r>
        <w:rPr>
          <w:rFonts w:hint="eastAsia" w:ascii="仿宋_GB2312" w:hAnsi="仿宋_GB2312" w:eastAsia="仿宋_GB2312"/>
          <w:color w:val="auto"/>
          <w:sz w:val="32"/>
        </w:rPr>
        <w:t>万元，占84.39%；社会保障和就业（类）支出77.16万元，占12%；卫生健康（类）支出20.28万元，占3.15%。</w:t>
      </w:r>
    </w:p>
    <w:p>
      <w:pPr>
        <w:widowControl/>
        <w:spacing w:line="59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年度一般公共预算财政拨款支出年初预算为523.84万元，支出决算为643.31万元，完成年初预算的122.8</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%。其中：</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b/>
          <w:color w:val="auto"/>
          <w:sz w:val="32"/>
        </w:rPr>
        <w:t>一般公共服务</w:t>
      </w:r>
      <w:r>
        <w:rPr>
          <w:rFonts w:hint="eastAsia" w:ascii="仿宋_GB2312" w:hAnsi="仿宋_GB2312" w:eastAsia="仿宋_GB2312"/>
          <w:b/>
          <w:color w:val="auto"/>
          <w:sz w:val="32"/>
          <w:lang w:val="en-US" w:eastAsia="zh-CN"/>
        </w:rPr>
        <w:t>支出</w:t>
      </w:r>
      <w:r>
        <w:rPr>
          <w:rFonts w:hint="eastAsia" w:ascii="仿宋" w:hAnsi="仿宋" w:eastAsia="仿宋"/>
          <w:b/>
          <w:color w:val="auto"/>
          <w:sz w:val="32"/>
        </w:rPr>
        <w:t>（类）群众团体事务（款）工会事务（项</w:t>
      </w:r>
      <w:r>
        <w:rPr>
          <w:rFonts w:hint="eastAsia" w:ascii="仿宋_GB2312" w:hAnsi="仿宋_GB2312" w:eastAsia="仿宋_GB2312"/>
          <w:b/>
          <w:color w:val="auto"/>
          <w:sz w:val="32"/>
        </w:rPr>
        <w:t>）。</w:t>
      </w:r>
      <w:r>
        <w:rPr>
          <w:rFonts w:hint="eastAsia" w:ascii="仿宋_GB2312" w:hAnsi="仿宋_GB2312" w:eastAsia="仿宋_GB2312" w:cs="仿宋_GB2312"/>
          <w:color w:val="auto"/>
          <w:sz w:val="32"/>
          <w:szCs w:val="32"/>
        </w:rPr>
        <w:t>年初预算为2.97万元，支出决算为2.97万元，完成年初预算的100%。</w:t>
      </w:r>
      <w:r>
        <w:rPr>
          <w:rFonts w:hint="eastAsia" w:ascii="仿宋_GB2312" w:hAnsi="仿宋_GB2312" w:eastAsia="仿宋_GB2312"/>
          <w:color w:val="auto"/>
          <w:sz w:val="32"/>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 w:eastAsia="仿宋_GB2312"/>
          <w:b/>
          <w:color w:val="auto"/>
          <w:sz w:val="32"/>
        </w:rPr>
        <w:t>教育支出（类）普通教育（款）初中教育（项)</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年初预算为428.08万元，支出决算为449.97万元，完成年初预算的105.11%。决算数与年初预算数存在差异的主要原因是人员工资福利费增加。</w:t>
      </w:r>
    </w:p>
    <w:p>
      <w:pPr>
        <w:widowControl/>
        <w:spacing w:line="590" w:lineRule="exact"/>
        <w:ind w:firstLine="643" w:firstLineChars="200"/>
        <w:rPr>
          <w:rFonts w:hint="eastAsia" w:ascii="仿宋_GB2312" w:hAnsi="仿宋_GB2312" w:eastAsia="仿宋_GB2312"/>
          <w:color w:val="auto"/>
          <w:sz w:val="32"/>
        </w:rPr>
      </w:pPr>
      <w:r>
        <w:rPr>
          <w:rFonts w:hint="eastAsia" w:ascii="仿宋_GB2312" w:hAnsi="仿宋" w:eastAsia="仿宋_GB2312"/>
          <w:b/>
          <w:color w:val="auto"/>
          <w:sz w:val="32"/>
        </w:rPr>
        <w:t>3</w:t>
      </w:r>
      <w:r>
        <w:rPr>
          <w:rFonts w:hint="eastAsia" w:ascii="仿宋_GB2312" w:hAnsi="仿宋_GB2312" w:eastAsia="仿宋_GB2312" w:cs="仿宋_GB2312"/>
          <w:b/>
          <w:bCs/>
          <w:color w:val="auto"/>
          <w:sz w:val="32"/>
          <w:szCs w:val="32"/>
        </w:rPr>
        <w:t>．</w:t>
      </w:r>
      <w:r>
        <w:rPr>
          <w:rFonts w:hint="eastAsia" w:ascii="仿宋_GB2312" w:hAnsi="仿宋" w:eastAsia="仿宋_GB2312"/>
          <w:b/>
          <w:color w:val="auto"/>
          <w:sz w:val="32"/>
        </w:rPr>
        <w:t>教育支出（类）普通教育（款）其他普通教育支出（项）</w:t>
      </w:r>
      <w:r>
        <w:rPr>
          <w:rFonts w:hint="eastAsia" w:ascii="仿宋_GB2312" w:hAnsi="仿宋" w:eastAsia="仿宋_GB2312"/>
          <w:color w:val="auto"/>
          <w:sz w:val="32"/>
        </w:rPr>
        <w:t>年初预算为0万元，支出决算为80.93万元。</w:t>
      </w:r>
      <w:r>
        <w:rPr>
          <w:rFonts w:hint="eastAsia" w:ascii="仿宋_GB2312" w:hAnsi="仿宋_GB2312" w:eastAsia="仿宋_GB2312"/>
          <w:color w:val="auto"/>
          <w:sz w:val="32"/>
        </w:rPr>
        <w:t>决算数与年初预算数存在差异的主要原因是</w:t>
      </w:r>
      <w:r>
        <w:rPr>
          <w:rFonts w:hint="eastAsia" w:ascii="仿宋_GB2312" w:hAnsi="仿宋" w:eastAsia="仿宋_GB2312"/>
          <w:color w:val="auto"/>
          <w:sz w:val="32"/>
        </w:rPr>
        <w:t>年末预算调整增加了其他普通教育的支出</w:t>
      </w:r>
      <w:r>
        <w:rPr>
          <w:rFonts w:hint="eastAsia" w:ascii="仿宋_GB2312" w:hAnsi="仿宋_GB2312" w:eastAsia="仿宋_GB2312"/>
          <w:color w:val="auto"/>
          <w:sz w:val="32"/>
        </w:rPr>
        <w:t>。</w:t>
      </w:r>
    </w:p>
    <w:p>
      <w:pPr>
        <w:widowControl/>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4．教育支出（类）其他教育支出（款）其他教育支出（项）。</w:t>
      </w:r>
      <w:r>
        <w:rPr>
          <w:rFonts w:hint="eastAsia" w:ascii="仿宋_GB2312" w:hAnsi="仿宋_GB2312" w:eastAsia="仿宋_GB2312" w:cs="仿宋_GB2312"/>
          <w:color w:val="auto"/>
          <w:sz w:val="32"/>
          <w:szCs w:val="32"/>
        </w:rPr>
        <w:t>年初预算为0.00万元，支出决算为12万元。决算数与年初预算数存在差异的主要原因是年初预算未安排支出。</w:t>
      </w:r>
    </w:p>
    <w:p>
      <w:pPr>
        <w:widowControl/>
        <w:spacing w:line="590" w:lineRule="exact"/>
        <w:ind w:firstLine="482" w:firstLineChars="150"/>
        <w:rPr>
          <w:rFonts w:hint="eastAsia" w:ascii="仿宋_GB2312" w:hAnsi="仿宋" w:eastAsia="仿宋_GB2312"/>
          <w:color w:val="auto"/>
          <w:sz w:val="32"/>
        </w:rPr>
      </w:pPr>
      <w:r>
        <w:rPr>
          <w:rFonts w:hint="eastAsia" w:ascii="仿宋_GB2312" w:hAnsi="仿宋" w:eastAsia="仿宋_GB2312"/>
          <w:b/>
          <w:color w:val="auto"/>
          <w:sz w:val="32"/>
        </w:rPr>
        <w:t>5</w:t>
      </w:r>
      <w:r>
        <w:rPr>
          <w:rFonts w:hint="eastAsia" w:ascii="仿宋_GB2312" w:hAnsi="仿宋_GB2312" w:eastAsia="仿宋_GB2312" w:cs="仿宋_GB2312"/>
          <w:b/>
          <w:bCs/>
          <w:color w:val="auto"/>
          <w:sz w:val="32"/>
          <w:szCs w:val="32"/>
        </w:rPr>
        <w:t>．</w:t>
      </w:r>
      <w:r>
        <w:rPr>
          <w:rFonts w:hint="eastAsia" w:ascii="仿宋_GB2312" w:hAnsi="仿宋" w:eastAsia="仿宋_GB2312"/>
          <w:b/>
          <w:color w:val="auto"/>
          <w:sz w:val="32"/>
        </w:rPr>
        <w:t>社会保障和就业支出（类）行政事业单位</w:t>
      </w:r>
      <w:r>
        <w:rPr>
          <w:rFonts w:hint="eastAsia" w:ascii="仿宋_GB2312" w:hAnsi="仿宋" w:eastAsia="仿宋_GB2312"/>
          <w:b/>
          <w:color w:val="auto"/>
          <w:sz w:val="32"/>
          <w:lang w:val="en-US" w:eastAsia="zh-CN"/>
        </w:rPr>
        <w:t>养老支出</w:t>
      </w:r>
      <w:r>
        <w:rPr>
          <w:rFonts w:hint="eastAsia" w:ascii="仿宋_GB2312" w:hAnsi="仿宋" w:eastAsia="仿宋_GB2312"/>
          <w:b/>
          <w:color w:val="auto"/>
          <w:sz w:val="32"/>
        </w:rPr>
        <w:t>（款）机关事业单位基本养老保险缴费支出（项）</w:t>
      </w:r>
      <w:r>
        <w:rPr>
          <w:rFonts w:hint="eastAsia" w:ascii="仿宋_GB2312" w:hAnsi="仿宋" w:eastAsia="仿宋_GB2312"/>
          <w:color w:val="auto"/>
          <w:sz w:val="32"/>
        </w:rPr>
        <w:t>年初预算是</w:t>
      </w:r>
      <w:r>
        <w:rPr>
          <w:rFonts w:hint="eastAsia" w:ascii="仿宋_GB2312" w:hAnsi="仿宋" w:eastAsia="仿宋_GB2312"/>
          <w:color w:val="auto"/>
          <w:sz w:val="32"/>
          <w:lang w:val="en-US" w:eastAsia="zh-CN"/>
        </w:rPr>
        <w:t>33.67</w:t>
      </w:r>
      <w:r>
        <w:rPr>
          <w:rFonts w:hint="eastAsia" w:ascii="仿宋_GB2312" w:hAnsi="仿宋" w:eastAsia="仿宋_GB2312"/>
          <w:color w:val="auto"/>
          <w:sz w:val="32"/>
        </w:rPr>
        <w:t>万元，支出决算是</w:t>
      </w:r>
      <w:r>
        <w:rPr>
          <w:rFonts w:hint="eastAsia" w:ascii="仿宋_GB2312" w:hAnsi="仿宋" w:eastAsia="仿宋_GB2312"/>
          <w:color w:val="auto"/>
          <w:sz w:val="32"/>
          <w:lang w:val="en-US" w:eastAsia="zh-CN"/>
        </w:rPr>
        <w:t>33.67</w:t>
      </w:r>
      <w:r>
        <w:rPr>
          <w:rFonts w:hint="eastAsia" w:ascii="仿宋_GB2312" w:hAnsi="仿宋" w:eastAsia="仿宋_GB2312"/>
          <w:color w:val="auto"/>
          <w:sz w:val="32"/>
        </w:rPr>
        <w:t>万元，完成年初预算的10</w:t>
      </w:r>
      <w:r>
        <w:rPr>
          <w:rFonts w:hint="eastAsia" w:ascii="仿宋_GB2312" w:hAnsi="仿宋" w:eastAsia="仿宋_GB2312"/>
          <w:color w:val="auto"/>
          <w:sz w:val="32"/>
          <w:lang w:val="en-US" w:eastAsia="zh-CN"/>
        </w:rPr>
        <w:t>0</w:t>
      </w:r>
      <w:r>
        <w:rPr>
          <w:rFonts w:hint="eastAsia" w:ascii="仿宋_GB2312" w:hAnsi="仿宋" w:eastAsia="仿宋_GB2312"/>
          <w:color w:val="auto"/>
          <w:sz w:val="32"/>
        </w:rPr>
        <w:t>%</w:t>
      </w:r>
      <w:r>
        <w:rPr>
          <w:rFonts w:hint="eastAsia" w:ascii="仿宋_GB2312" w:hAnsi="仿宋" w:eastAsia="仿宋_GB2312"/>
          <w:color w:val="auto"/>
          <w:sz w:val="32"/>
          <w:lang w:eastAsia="zh-CN"/>
        </w:rPr>
        <w:t>。</w:t>
      </w:r>
      <w:r>
        <w:rPr>
          <w:rFonts w:hint="eastAsia" w:ascii="仿宋_GB2312" w:hAnsi="仿宋_GB2312" w:eastAsia="仿宋_GB2312"/>
          <w:color w:val="auto"/>
          <w:sz w:val="32"/>
        </w:rPr>
        <w:t>决算数与年初预算数不存在差异</w:t>
      </w:r>
      <w:r>
        <w:rPr>
          <w:rFonts w:hint="eastAsia" w:ascii="仿宋_GB2312" w:hAnsi="仿宋" w:eastAsia="仿宋_GB2312"/>
          <w:color w:val="auto"/>
          <w:sz w:val="32"/>
        </w:rPr>
        <w:t>。</w:t>
      </w:r>
    </w:p>
    <w:p>
      <w:pPr>
        <w:widowControl/>
        <w:spacing w:line="590" w:lineRule="exact"/>
        <w:ind w:firstLine="482" w:firstLineChars="150"/>
        <w:rPr>
          <w:rFonts w:hint="eastAsia" w:ascii="仿宋_GB2312" w:hAnsi="仿宋" w:eastAsia="仿宋_GB2312"/>
          <w:color w:val="auto"/>
          <w:sz w:val="32"/>
        </w:rPr>
      </w:pPr>
      <w:r>
        <w:rPr>
          <w:rFonts w:hint="eastAsia" w:ascii="仿宋_GB2312" w:hAnsi="仿宋" w:eastAsia="仿宋_GB2312"/>
          <w:b/>
          <w:color w:val="auto"/>
          <w:sz w:val="32"/>
          <w:lang w:val="en-US" w:eastAsia="zh-CN"/>
        </w:rPr>
        <w:t>6</w:t>
      </w:r>
      <w:r>
        <w:rPr>
          <w:rFonts w:hint="eastAsia" w:ascii="仿宋_GB2312" w:hAnsi="仿宋_GB2312" w:eastAsia="仿宋_GB2312" w:cs="仿宋_GB2312"/>
          <w:b/>
          <w:bCs/>
          <w:color w:val="auto"/>
          <w:sz w:val="32"/>
          <w:szCs w:val="32"/>
        </w:rPr>
        <w:t>．</w:t>
      </w:r>
      <w:r>
        <w:rPr>
          <w:rFonts w:hint="eastAsia" w:ascii="仿宋_GB2312" w:hAnsi="仿宋" w:eastAsia="仿宋_GB2312"/>
          <w:b/>
          <w:color w:val="auto"/>
          <w:sz w:val="32"/>
        </w:rPr>
        <w:t>社会保障和就业支出（类）行政事业单位</w:t>
      </w:r>
      <w:r>
        <w:rPr>
          <w:rFonts w:hint="eastAsia" w:ascii="仿宋_GB2312" w:hAnsi="仿宋" w:eastAsia="仿宋_GB2312"/>
          <w:b/>
          <w:color w:val="auto"/>
          <w:sz w:val="32"/>
          <w:lang w:val="en-US" w:eastAsia="zh-CN"/>
        </w:rPr>
        <w:t>养老支出</w:t>
      </w:r>
      <w:r>
        <w:rPr>
          <w:rFonts w:hint="eastAsia" w:ascii="仿宋_GB2312" w:hAnsi="仿宋" w:eastAsia="仿宋_GB2312"/>
          <w:b/>
          <w:color w:val="auto"/>
          <w:sz w:val="32"/>
        </w:rPr>
        <w:t>（款）</w:t>
      </w:r>
      <w:r>
        <w:rPr>
          <w:rFonts w:hint="eastAsia" w:ascii="仿宋_GB2312" w:hAnsi="仿宋" w:eastAsia="仿宋_GB2312"/>
          <w:b/>
          <w:color w:val="auto"/>
          <w:sz w:val="32"/>
          <w:lang w:eastAsia="zh-CN"/>
        </w:rPr>
        <w:t>事业单位离退休</w:t>
      </w:r>
      <w:r>
        <w:rPr>
          <w:rFonts w:hint="eastAsia" w:ascii="仿宋_GB2312" w:hAnsi="仿宋" w:eastAsia="仿宋_GB2312"/>
          <w:b/>
          <w:color w:val="auto"/>
          <w:sz w:val="32"/>
        </w:rPr>
        <w:t>（项）</w:t>
      </w:r>
      <w:r>
        <w:rPr>
          <w:rFonts w:hint="eastAsia" w:ascii="仿宋_GB2312" w:hAnsi="仿宋" w:eastAsia="仿宋_GB2312"/>
          <w:color w:val="auto"/>
          <w:sz w:val="32"/>
        </w:rPr>
        <w:t>年初预算是</w:t>
      </w:r>
      <w:r>
        <w:rPr>
          <w:rFonts w:hint="eastAsia" w:ascii="仿宋_GB2312" w:hAnsi="仿宋" w:eastAsia="仿宋_GB2312"/>
          <w:color w:val="auto"/>
          <w:sz w:val="32"/>
          <w:lang w:val="en-US" w:eastAsia="zh-CN"/>
        </w:rPr>
        <w:t>43.48</w:t>
      </w:r>
      <w:r>
        <w:rPr>
          <w:rFonts w:hint="eastAsia" w:ascii="仿宋_GB2312" w:hAnsi="仿宋" w:eastAsia="仿宋_GB2312"/>
          <w:color w:val="auto"/>
          <w:sz w:val="32"/>
        </w:rPr>
        <w:t>万元，支出决算是</w:t>
      </w:r>
      <w:r>
        <w:rPr>
          <w:rFonts w:hint="eastAsia" w:ascii="仿宋_GB2312" w:hAnsi="仿宋" w:eastAsia="仿宋_GB2312"/>
          <w:color w:val="auto"/>
          <w:sz w:val="32"/>
          <w:lang w:val="en-US" w:eastAsia="zh-CN"/>
        </w:rPr>
        <w:t>43.48</w:t>
      </w:r>
      <w:r>
        <w:rPr>
          <w:rFonts w:hint="eastAsia" w:ascii="仿宋_GB2312" w:hAnsi="仿宋" w:eastAsia="仿宋_GB2312"/>
          <w:color w:val="auto"/>
          <w:sz w:val="32"/>
        </w:rPr>
        <w:t>万元，完成年初预算的10</w:t>
      </w:r>
      <w:r>
        <w:rPr>
          <w:rFonts w:hint="eastAsia" w:ascii="仿宋_GB2312" w:hAnsi="仿宋" w:eastAsia="仿宋_GB2312"/>
          <w:color w:val="auto"/>
          <w:sz w:val="32"/>
          <w:lang w:val="en-US" w:eastAsia="zh-CN"/>
        </w:rPr>
        <w:t>0</w:t>
      </w:r>
      <w:r>
        <w:rPr>
          <w:rFonts w:hint="eastAsia" w:ascii="仿宋_GB2312" w:hAnsi="仿宋" w:eastAsia="仿宋_GB2312"/>
          <w:color w:val="auto"/>
          <w:sz w:val="32"/>
        </w:rPr>
        <w:t>%</w:t>
      </w:r>
      <w:r>
        <w:rPr>
          <w:rFonts w:hint="eastAsia" w:ascii="仿宋_GB2312" w:hAnsi="仿宋" w:eastAsia="仿宋_GB2312"/>
          <w:color w:val="auto"/>
          <w:sz w:val="32"/>
          <w:lang w:eastAsia="zh-CN"/>
        </w:rPr>
        <w:t>。</w:t>
      </w:r>
      <w:r>
        <w:rPr>
          <w:rFonts w:hint="eastAsia" w:ascii="仿宋_GB2312" w:hAnsi="仿宋_GB2312" w:eastAsia="仿宋_GB2312"/>
          <w:color w:val="auto"/>
          <w:sz w:val="32"/>
        </w:rPr>
        <w:t>决算数与年初预算数不存在差异</w:t>
      </w:r>
      <w:r>
        <w:rPr>
          <w:rFonts w:hint="eastAsia" w:ascii="仿宋_GB2312" w:hAnsi="仿宋" w:eastAsia="仿宋_GB2312"/>
          <w:color w:val="auto"/>
          <w:sz w:val="32"/>
        </w:rPr>
        <w:t>。</w:t>
      </w:r>
    </w:p>
    <w:p>
      <w:pPr>
        <w:widowControl/>
        <w:spacing w:line="590" w:lineRule="exact"/>
        <w:ind w:firstLine="643" w:firstLineChars="200"/>
        <w:rPr>
          <w:rFonts w:hint="eastAsia" w:ascii="仿宋_GB2312" w:hAnsi="仿宋" w:eastAsia="仿宋_GB2312"/>
          <w:color w:val="auto"/>
          <w:sz w:val="32"/>
        </w:rPr>
      </w:pPr>
      <w:r>
        <w:rPr>
          <w:rFonts w:hint="eastAsia" w:ascii="仿宋_GB2312" w:hAnsi="仿宋" w:eastAsia="仿宋_GB2312"/>
          <w:b/>
          <w:bCs/>
          <w:color w:val="auto"/>
          <w:sz w:val="32"/>
          <w:lang w:val="en-US" w:eastAsia="zh-CN"/>
        </w:rPr>
        <w:t>7</w:t>
      </w:r>
      <w:r>
        <w:rPr>
          <w:rFonts w:hint="eastAsia" w:ascii="仿宋_GB2312" w:hAnsi="仿宋_GB2312" w:eastAsia="仿宋_GB2312" w:cs="仿宋_GB2312"/>
          <w:b/>
          <w:bCs/>
          <w:color w:val="auto"/>
          <w:sz w:val="32"/>
          <w:szCs w:val="32"/>
        </w:rPr>
        <w:t>．</w:t>
      </w:r>
      <w:r>
        <w:rPr>
          <w:rFonts w:hint="eastAsia" w:ascii="仿宋_GB2312" w:hAnsi="仿宋" w:eastAsia="仿宋_GB2312"/>
          <w:b/>
          <w:bCs/>
          <w:color w:val="auto"/>
          <w:sz w:val="32"/>
        </w:rPr>
        <w:t>卫生健康支出（类）行政事业单位医疗（款）事业单位医疗（项）</w:t>
      </w:r>
      <w:r>
        <w:rPr>
          <w:rFonts w:hint="eastAsia" w:ascii="仿宋_GB2312" w:hAnsi="仿宋" w:eastAsia="仿宋_GB2312"/>
          <w:color w:val="auto"/>
          <w:sz w:val="32"/>
        </w:rPr>
        <w:t>年初预算是16.4</w:t>
      </w:r>
      <w:r>
        <w:rPr>
          <w:rFonts w:hint="eastAsia" w:ascii="仿宋_GB2312" w:hAnsi="仿宋" w:eastAsia="仿宋_GB2312"/>
          <w:color w:val="auto"/>
          <w:sz w:val="32"/>
          <w:lang w:val="en-US" w:eastAsia="zh-CN"/>
        </w:rPr>
        <w:t>0</w:t>
      </w:r>
      <w:r>
        <w:rPr>
          <w:rFonts w:hint="eastAsia" w:ascii="仿宋_GB2312" w:hAnsi="仿宋" w:eastAsia="仿宋_GB2312"/>
          <w:color w:val="auto"/>
          <w:sz w:val="32"/>
        </w:rPr>
        <w:t>万元，支出决算是20.28万元，完成年初预算的123.6</w:t>
      </w:r>
      <w:r>
        <w:rPr>
          <w:rFonts w:hint="eastAsia" w:ascii="仿宋_GB2312" w:hAnsi="仿宋" w:eastAsia="仿宋_GB2312"/>
          <w:color w:val="auto"/>
          <w:sz w:val="32"/>
          <w:lang w:val="en-US" w:eastAsia="zh-CN"/>
        </w:rPr>
        <w:t>6</w:t>
      </w:r>
      <w:r>
        <w:rPr>
          <w:rFonts w:hint="eastAsia" w:ascii="仿宋_GB2312" w:hAnsi="仿宋" w:eastAsia="仿宋_GB2312"/>
          <w:color w:val="auto"/>
          <w:sz w:val="32"/>
        </w:rPr>
        <w:t>%，</w:t>
      </w:r>
      <w:r>
        <w:rPr>
          <w:rFonts w:hint="eastAsia" w:ascii="仿宋_GB2312" w:hAnsi="仿宋_GB2312" w:eastAsia="仿宋_GB2312"/>
          <w:color w:val="auto"/>
          <w:sz w:val="32"/>
        </w:rPr>
        <w:t>决算数与年初预算数存在差异的主要原因是</w:t>
      </w:r>
      <w:r>
        <w:rPr>
          <w:rFonts w:hint="eastAsia" w:ascii="仿宋_GB2312" w:hAnsi="仿宋_GB2312" w:eastAsia="仿宋_GB2312" w:cs="仿宋_GB2312"/>
          <w:color w:val="auto"/>
          <w:sz w:val="32"/>
          <w:szCs w:val="32"/>
        </w:rPr>
        <w:t>医疗保险费增加</w:t>
      </w:r>
      <w:r>
        <w:rPr>
          <w:rFonts w:hint="eastAsia" w:ascii="仿宋_GB2312" w:hAnsi="仿宋" w:eastAsia="仿宋_GB2312"/>
          <w:color w:val="auto"/>
          <w:sz w:val="32"/>
        </w:rPr>
        <w:t>。</w:t>
      </w:r>
    </w:p>
    <w:p>
      <w:pPr>
        <w:widowControl/>
        <w:spacing w:line="590" w:lineRule="exact"/>
        <w:ind w:firstLine="640" w:firstLineChars="200"/>
        <w:outlineLvl w:val="1"/>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2021年度一般公共预算财政拨款基本支出599.04万元。其中：人员经费572.86万元，主要包括：基本工资、津贴补贴、绩效工资、机关事业单位基本养老保险缴费、</w:t>
      </w:r>
      <w:r>
        <w:rPr>
          <w:rFonts w:hint="eastAsia" w:ascii="仿宋_GB2312" w:hAnsi="仿宋_GB2312" w:eastAsia="仿宋_GB2312" w:cs="仿宋_GB2312"/>
          <w:color w:val="auto"/>
          <w:sz w:val="32"/>
          <w:szCs w:val="32"/>
          <w:lang w:val="en-US" w:eastAsia="zh-CN"/>
        </w:rPr>
        <w:t>职工基本医疗保险缴费、</w:t>
      </w:r>
      <w:r>
        <w:rPr>
          <w:rFonts w:hint="eastAsia" w:ascii="仿宋_GB2312" w:hAnsi="仿宋_GB2312" w:eastAsia="仿宋_GB2312" w:cs="仿宋_GB2312"/>
          <w:color w:val="auto"/>
          <w:sz w:val="32"/>
          <w:szCs w:val="32"/>
        </w:rPr>
        <w:t>其他社会保障缴费、退休费、生活补助、住房公积金、其他对个人和家庭的补助支出；公用经费26.19万元，主要包括：办公费、物业管理费、差旅费、维修（护）费、培训费、专用材料费、劳务费、工会经费、福利费、税金及附加费用。</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olor w:val="auto"/>
          <w:sz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年度“三公”经费财政拨款支出预算为1.6万元，支出决算为0万元。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年度“三公”经费支出决算数与预算数存在差异的主要原因是</w:t>
      </w:r>
      <w:r>
        <w:rPr>
          <w:rFonts w:hint="eastAsia" w:ascii="仿宋_GB2312" w:hAnsi="仿宋_GB2312" w:eastAsia="仿宋_GB2312"/>
          <w:color w:val="auto"/>
          <w:sz w:val="32"/>
        </w:rPr>
        <w:t>强了内部管理，</w:t>
      </w:r>
      <w:r>
        <w:rPr>
          <w:rFonts w:hint="eastAsia" w:ascii="仿宋_GB2312" w:hAnsi="仿宋_GB2312" w:eastAsia="仿宋_GB2312" w:cs="仿宋_GB2312"/>
          <w:color w:val="auto"/>
          <w:sz w:val="32"/>
          <w:szCs w:val="32"/>
        </w:rPr>
        <w:t>公务接待、公务用车费用减少</w:t>
      </w:r>
      <w:r>
        <w:rPr>
          <w:rFonts w:hint="eastAsia" w:ascii="仿宋_GB2312" w:hAnsi="仿宋_GB2312" w:eastAsia="仿宋_GB2312"/>
          <w:color w:val="auto"/>
          <w:sz w:val="32"/>
        </w:rPr>
        <w:t>，减少了三公经费的支出。</w:t>
      </w:r>
    </w:p>
    <w:p>
      <w:pPr>
        <w:widowControl/>
        <w:spacing w:line="590" w:lineRule="exact"/>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年度“三公”经费财政拨款支出决算中，因公出国（境）费支出决算0万元；公务用车购置及运行费支出决算0万元；公务接待费支出决算0万元。具体情况如下：</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1．因公出国（境）费</w:t>
      </w:r>
      <w:r>
        <w:rPr>
          <w:rFonts w:hint="eastAsia" w:ascii="仿宋_GB2312" w:hAnsi="仿宋_GB2312" w:eastAsia="仿宋_GB2312" w:cs="仿宋_GB2312"/>
          <w:color w:val="auto"/>
          <w:sz w:val="32"/>
          <w:szCs w:val="32"/>
        </w:rPr>
        <w:t>预算为0万元，支出决算为0万元。决算数与预算数不存在差异。</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预算为1万元，支出决算为0万元。决算数与预算数存在差异的主要原因是</w:t>
      </w:r>
      <w:r>
        <w:rPr>
          <w:rFonts w:hint="eastAsia" w:ascii="仿宋_GB2312" w:hAnsi="仿宋_GB2312" w:eastAsia="仿宋_GB2312"/>
          <w:color w:val="auto"/>
          <w:sz w:val="32"/>
        </w:rPr>
        <w:t>加强了车辆的管理，严格执行十八的规定。</w:t>
      </w:r>
      <w:r>
        <w:rPr>
          <w:rFonts w:hint="eastAsia" w:ascii="仿宋_GB2312" w:hAnsi="仿宋_GB2312" w:eastAsia="仿宋_GB2312" w:cs="仿宋_GB2312"/>
          <w:color w:val="auto"/>
          <w:sz w:val="32"/>
          <w:szCs w:val="32"/>
        </w:rPr>
        <w:t>其中：</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为0万元，购置车辆0台。</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0万元。主要用于</w:t>
      </w:r>
      <w:r>
        <w:rPr>
          <w:rFonts w:hint="eastAsia" w:ascii="仿宋_GB2312" w:hAnsi="仿宋_GB2312" w:eastAsia="仿宋_GB2312"/>
          <w:color w:val="auto"/>
          <w:sz w:val="32"/>
        </w:rPr>
        <w:t>于汽油费平时保养及保险</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年期末，单位开支财政拨款的公务用车保有量为1辆。</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预算为0.6万元，支出决算为0万元。决算数与预算数存在差异的主要原因是本年度无发生公务接待费支出。其中：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年度政府性基金预算财政拨款支出年初预算为0万元，支出决算为0万元。主要原因：</w:t>
      </w:r>
      <w:r>
        <w:rPr>
          <w:rFonts w:hint="eastAsia" w:ascii="仿宋_GB2312" w:hAnsi="仿宋_GB2312" w:eastAsia="仿宋_GB2312"/>
          <w:color w:val="auto"/>
          <w:sz w:val="32"/>
        </w:rPr>
        <w:t>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ascii="仿宋_GB2312" w:hAnsi="仿宋_GB2312" w:eastAsia="仿宋_GB2312"/>
          <w:color w:val="auto"/>
          <w:sz w:val="32"/>
        </w:rPr>
      </w:pPr>
      <w:r>
        <w:rPr>
          <w:rFonts w:hint="eastAsia" w:ascii="仿宋_GB2312" w:hAnsi="仿宋_GB2312" w:eastAsia="仿宋_GB2312"/>
          <w:color w:val="auto"/>
          <w:sz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360" w:lineRule="auto"/>
        <w:ind w:firstLine="964" w:firstLineChars="3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643.31万元，其中：基本支出599.04万元；支出项目0个，支出金额0万元。开展项目绩效自评项目0个，自评金额0万元；纳入重点绩效评价0个，评价金额0万元。</w:t>
      </w:r>
    </w:p>
    <w:p>
      <w:pPr>
        <w:widowControl/>
        <w:spacing w:line="360" w:lineRule="auto"/>
        <w:ind w:firstLine="964" w:firstLineChars="3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eastAsia="zh-CN"/>
        </w:rPr>
        <w:t>单位</w:t>
      </w:r>
      <w:r>
        <w:rPr>
          <w:rFonts w:hint="eastAsia" w:ascii="楷体_GB2312" w:hAnsi="楷体_GB2312" w:eastAsia="楷体_GB2312" w:cs="楷体_GB2312"/>
          <w:b/>
          <w:bCs/>
          <w:color w:val="auto"/>
          <w:sz w:val="32"/>
          <w:szCs w:val="32"/>
        </w:rPr>
        <w:t>整体和项目绩效自评结果。</w:t>
      </w:r>
    </w:p>
    <w:p>
      <w:pPr>
        <w:widowControl/>
        <w:spacing w:line="590" w:lineRule="exact"/>
        <w:ind w:firstLine="640" w:firstLineChars="200"/>
        <w:rPr>
          <w:rFonts w:hint="eastAsia" w:ascii="仿宋_GB2312" w:hAnsi="仿宋_GB2312" w:eastAsia="仿宋_GB2312"/>
          <w:color w:val="auto"/>
          <w:sz w:val="32"/>
        </w:rPr>
      </w:pPr>
      <w:r>
        <w:rPr>
          <w:rFonts w:hint="eastAsia" w:ascii="仿宋_GB2312" w:hAnsi="仿宋_GB2312" w:eastAsia="仿宋_GB2312" w:cs="仿宋_GB2312"/>
          <w:color w:val="auto"/>
          <w:sz w:val="32"/>
          <w:szCs w:val="32"/>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olor w:val="auto"/>
          <w:sz w:val="32"/>
        </w:rPr>
        <w:t>本单位2021整体预算年初数523.84万元，全年执行数643.31万元，根据年度总体目标和主要任务特点分别设置了整体预算绩效目标和绩效指标值进行考评，总分值100分，并分别设置了一、二、三级绩效指标；按照设定各项绩效指标进行打分自评，总得分90.2分。</w:t>
      </w:r>
    </w:p>
    <w:p>
      <w:pPr>
        <w:widowControl/>
        <w:spacing w:line="360" w:lineRule="auto"/>
        <w:ind w:firstLine="960" w:firstLineChars="300"/>
        <w:rPr>
          <w:rFonts w:hint="eastAsia" w:ascii="仿宋_GB2312" w:hAnsi="仿宋_GB2312" w:eastAsia="仿宋_GB2312"/>
          <w:color w:val="auto"/>
          <w:sz w:val="32"/>
        </w:rPr>
      </w:pPr>
      <w:r>
        <w:rPr>
          <w:rFonts w:hint="eastAsia" w:ascii="仿宋_GB2312" w:hAnsi="仿宋_GB2312" w:eastAsia="仿宋_GB2312" w:cs="仿宋_GB2312"/>
          <w:color w:val="auto"/>
          <w:sz w:val="32"/>
          <w:szCs w:val="32"/>
        </w:rPr>
        <w:t>二是项目绩效自评情况。我单位共有0个项目批复了绩效目标。</w:t>
      </w:r>
      <w:r>
        <w:rPr>
          <w:rFonts w:hint="eastAsia" w:ascii="仿宋_GB2312" w:hAnsi="仿宋_GB2312" w:eastAsia="仿宋_GB2312"/>
          <w:color w:val="auto"/>
          <w:sz w:val="32"/>
        </w:rPr>
        <w:t>本单位2021年度未有项目预算，未开展项目预算绩效评价工作。</w:t>
      </w:r>
    </w:p>
    <w:p>
      <w:pPr>
        <w:widowControl/>
        <w:spacing w:line="360" w:lineRule="auto"/>
        <w:ind w:firstLine="643" w:firstLineChars="200"/>
        <w:outlineLvl w:val="2"/>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（三）重点绩效评价结果。</w:t>
      </w:r>
    </w:p>
    <w:p>
      <w:pPr>
        <w:widowControl/>
        <w:ind w:firstLine="480" w:firstLineChars="150"/>
        <w:jc w:val="left"/>
        <w:rPr>
          <w:rFonts w:hint="eastAsia" w:ascii="黑体" w:hAnsi="宋体" w:eastAsia="黑体" w:cs="宋体"/>
          <w:color w:val="auto"/>
          <w:kern w:val="0"/>
          <w:sz w:val="28"/>
          <w:szCs w:val="28"/>
        </w:rPr>
      </w:pPr>
      <w:r>
        <w:rPr>
          <w:rFonts w:hint="eastAsia" w:ascii="仿宋_GB2312" w:hAnsi="仿宋_GB2312" w:eastAsia="仿宋_GB2312" w:cs="仿宋_GB2312"/>
          <w:color w:val="auto"/>
          <w:sz w:val="32"/>
          <w:szCs w:val="32"/>
        </w:rPr>
        <w:t>2021年我单位没有开展重点绩效评价的项目。</w:t>
      </w: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widowControl/>
        <w:jc w:val="left"/>
        <w:rPr>
          <w:rFonts w:hint="eastAsia" w:ascii="黑体" w:hAnsi="宋体" w:eastAsia="黑体" w:cs="宋体"/>
          <w:color w:val="auto"/>
          <w:kern w:val="0"/>
          <w:sz w:val="28"/>
          <w:szCs w:val="2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pPr>
      <w:r>
        <w:rPr>
          <w:rFonts w:hint="eastAsia" w:ascii="黑体" w:hAnsi="黑体" w:eastAsia="黑体" w:cs="黑体"/>
          <w:color w:val="auto"/>
          <w:sz w:val="48"/>
          <w:szCs w:val="48"/>
        </w:rPr>
        <w:t>第四部分  名词解释</w:t>
      </w:r>
    </w:p>
    <w:p>
      <w:pPr>
        <w:jc w:val="center"/>
        <w:rPr>
          <w:rFonts w:hint="eastAsia" w:ascii="黑体" w:hAnsi="黑体" w:eastAsia="黑体" w:cs="黑体"/>
          <w:color w:val="auto"/>
          <w:sz w:val="48"/>
          <w:szCs w:val="48"/>
        </w:rPr>
      </w:pPr>
    </w:p>
    <w:p>
      <w:pPr>
        <w:jc w:val="center"/>
        <w:outlineLvl w:val="0"/>
        <w:rPr>
          <w:rFonts w:hint="eastAsia"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一、财政拨款收入：单位从同级政府财政</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三、上级补助收入：事业单位从主管</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37882"/>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E301B"/>
    <w:rsid w:val="003F14F6"/>
    <w:rsid w:val="0041489C"/>
    <w:rsid w:val="0042585F"/>
    <w:rsid w:val="00445CAC"/>
    <w:rsid w:val="0046757C"/>
    <w:rsid w:val="00472E19"/>
    <w:rsid w:val="00487869"/>
    <w:rsid w:val="004A4326"/>
    <w:rsid w:val="004D5275"/>
    <w:rsid w:val="004F63DB"/>
    <w:rsid w:val="00505190"/>
    <w:rsid w:val="00507364"/>
    <w:rsid w:val="00546F7C"/>
    <w:rsid w:val="005A0C2F"/>
    <w:rsid w:val="005B1AE2"/>
    <w:rsid w:val="005E3397"/>
    <w:rsid w:val="00607D67"/>
    <w:rsid w:val="00616EC1"/>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91A53"/>
    <w:rsid w:val="007A48A3"/>
    <w:rsid w:val="007C029F"/>
    <w:rsid w:val="007C7F49"/>
    <w:rsid w:val="007D2A21"/>
    <w:rsid w:val="00815186"/>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A1E30"/>
    <w:rsid w:val="009F0FBB"/>
    <w:rsid w:val="009F546E"/>
    <w:rsid w:val="009F5E8C"/>
    <w:rsid w:val="00A079F0"/>
    <w:rsid w:val="00A42F43"/>
    <w:rsid w:val="00A51982"/>
    <w:rsid w:val="00A57BF7"/>
    <w:rsid w:val="00A71DC1"/>
    <w:rsid w:val="00A83D8A"/>
    <w:rsid w:val="00A93E7D"/>
    <w:rsid w:val="00AA260E"/>
    <w:rsid w:val="00AA44CB"/>
    <w:rsid w:val="00AA67CD"/>
    <w:rsid w:val="00AB5D86"/>
    <w:rsid w:val="00AD6761"/>
    <w:rsid w:val="00AE2FEA"/>
    <w:rsid w:val="00AE600E"/>
    <w:rsid w:val="00B0083B"/>
    <w:rsid w:val="00B040BC"/>
    <w:rsid w:val="00B209B8"/>
    <w:rsid w:val="00B20BBC"/>
    <w:rsid w:val="00B249F3"/>
    <w:rsid w:val="00B649BE"/>
    <w:rsid w:val="00B653A5"/>
    <w:rsid w:val="00B710DD"/>
    <w:rsid w:val="00B85908"/>
    <w:rsid w:val="00BB4667"/>
    <w:rsid w:val="00BE5A85"/>
    <w:rsid w:val="00BF4E6A"/>
    <w:rsid w:val="00BF5718"/>
    <w:rsid w:val="00C13474"/>
    <w:rsid w:val="00C3106E"/>
    <w:rsid w:val="00C60609"/>
    <w:rsid w:val="00C95CC1"/>
    <w:rsid w:val="00CA3F44"/>
    <w:rsid w:val="00CB03ED"/>
    <w:rsid w:val="00CE09EE"/>
    <w:rsid w:val="00CE212D"/>
    <w:rsid w:val="00CE4B38"/>
    <w:rsid w:val="00D1321A"/>
    <w:rsid w:val="00D30ADF"/>
    <w:rsid w:val="00D33CF8"/>
    <w:rsid w:val="00D41645"/>
    <w:rsid w:val="00D6315E"/>
    <w:rsid w:val="00D652C2"/>
    <w:rsid w:val="00D74EE2"/>
    <w:rsid w:val="00D83E19"/>
    <w:rsid w:val="00D86CAD"/>
    <w:rsid w:val="00DA00C9"/>
    <w:rsid w:val="00DA2B4B"/>
    <w:rsid w:val="00DB200E"/>
    <w:rsid w:val="00DB65F5"/>
    <w:rsid w:val="00DC4EBE"/>
    <w:rsid w:val="00DD0976"/>
    <w:rsid w:val="00DE3C5F"/>
    <w:rsid w:val="00E01C3E"/>
    <w:rsid w:val="00E13099"/>
    <w:rsid w:val="00E4339F"/>
    <w:rsid w:val="00E60B05"/>
    <w:rsid w:val="00E629EA"/>
    <w:rsid w:val="00E65A71"/>
    <w:rsid w:val="00E6777C"/>
    <w:rsid w:val="00EA394A"/>
    <w:rsid w:val="00EB05A3"/>
    <w:rsid w:val="00ED38B7"/>
    <w:rsid w:val="00EE051D"/>
    <w:rsid w:val="00F0131A"/>
    <w:rsid w:val="00F14C17"/>
    <w:rsid w:val="00F17041"/>
    <w:rsid w:val="00F218CF"/>
    <w:rsid w:val="00F44937"/>
    <w:rsid w:val="00F60D08"/>
    <w:rsid w:val="00F61A47"/>
    <w:rsid w:val="00F84422"/>
    <w:rsid w:val="00F95455"/>
    <w:rsid w:val="00FA574D"/>
    <w:rsid w:val="00FC2588"/>
    <w:rsid w:val="00FE5FB5"/>
    <w:rsid w:val="00FE7AD9"/>
    <w:rsid w:val="01322275"/>
    <w:rsid w:val="01DC6F05"/>
    <w:rsid w:val="02A3489A"/>
    <w:rsid w:val="02CA138D"/>
    <w:rsid w:val="032C5278"/>
    <w:rsid w:val="033646FC"/>
    <w:rsid w:val="03C75F80"/>
    <w:rsid w:val="0478364D"/>
    <w:rsid w:val="053D4C0D"/>
    <w:rsid w:val="0557532E"/>
    <w:rsid w:val="060103F1"/>
    <w:rsid w:val="06CE28B2"/>
    <w:rsid w:val="0799329C"/>
    <w:rsid w:val="08397436"/>
    <w:rsid w:val="086F16A7"/>
    <w:rsid w:val="08D03DAF"/>
    <w:rsid w:val="09760F77"/>
    <w:rsid w:val="0A0F7225"/>
    <w:rsid w:val="0A2B7D82"/>
    <w:rsid w:val="0ADC40E9"/>
    <w:rsid w:val="0AE607F4"/>
    <w:rsid w:val="0B386127"/>
    <w:rsid w:val="0B451598"/>
    <w:rsid w:val="0BEC73F4"/>
    <w:rsid w:val="0BF00A21"/>
    <w:rsid w:val="0C392698"/>
    <w:rsid w:val="0E1F1202"/>
    <w:rsid w:val="10BD36F6"/>
    <w:rsid w:val="11BF0649"/>
    <w:rsid w:val="123E3E08"/>
    <w:rsid w:val="133212F4"/>
    <w:rsid w:val="139574F6"/>
    <w:rsid w:val="13D22E22"/>
    <w:rsid w:val="15A23C30"/>
    <w:rsid w:val="161C2DFF"/>
    <w:rsid w:val="16373578"/>
    <w:rsid w:val="16C904B6"/>
    <w:rsid w:val="16D3336B"/>
    <w:rsid w:val="17200028"/>
    <w:rsid w:val="17806C36"/>
    <w:rsid w:val="17A74F62"/>
    <w:rsid w:val="18A47774"/>
    <w:rsid w:val="18CF4554"/>
    <w:rsid w:val="1A5225DD"/>
    <w:rsid w:val="1A8D28EB"/>
    <w:rsid w:val="1A9F2D78"/>
    <w:rsid w:val="1B2E6FD8"/>
    <w:rsid w:val="1B877D21"/>
    <w:rsid w:val="1C4319A9"/>
    <w:rsid w:val="1E443B4B"/>
    <w:rsid w:val="1E994F4A"/>
    <w:rsid w:val="1EAF0224"/>
    <w:rsid w:val="1F2230A4"/>
    <w:rsid w:val="20210932"/>
    <w:rsid w:val="202448E0"/>
    <w:rsid w:val="20F614FE"/>
    <w:rsid w:val="21302EEA"/>
    <w:rsid w:val="21DA0C5F"/>
    <w:rsid w:val="22031A80"/>
    <w:rsid w:val="22376FB5"/>
    <w:rsid w:val="23E152D7"/>
    <w:rsid w:val="23EE2489"/>
    <w:rsid w:val="255D43C8"/>
    <w:rsid w:val="26714EF8"/>
    <w:rsid w:val="26876BDD"/>
    <w:rsid w:val="2714632A"/>
    <w:rsid w:val="27541E73"/>
    <w:rsid w:val="27B0539E"/>
    <w:rsid w:val="29365CF8"/>
    <w:rsid w:val="299469B3"/>
    <w:rsid w:val="2A805789"/>
    <w:rsid w:val="2ADC0D75"/>
    <w:rsid w:val="2B4A0E52"/>
    <w:rsid w:val="2BB53DEC"/>
    <w:rsid w:val="2C975890"/>
    <w:rsid w:val="2C9D5399"/>
    <w:rsid w:val="2DEF21BB"/>
    <w:rsid w:val="2E4A2F05"/>
    <w:rsid w:val="2ECC1061"/>
    <w:rsid w:val="2FA476AD"/>
    <w:rsid w:val="303F7540"/>
    <w:rsid w:val="31DD00BF"/>
    <w:rsid w:val="3293174C"/>
    <w:rsid w:val="32BB38D4"/>
    <w:rsid w:val="32C9376D"/>
    <w:rsid w:val="33512609"/>
    <w:rsid w:val="33780472"/>
    <w:rsid w:val="33AF0905"/>
    <w:rsid w:val="355932F4"/>
    <w:rsid w:val="35611882"/>
    <w:rsid w:val="357B7A5A"/>
    <w:rsid w:val="36746FC3"/>
    <w:rsid w:val="368763AE"/>
    <w:rsid w:val="391D2D26"/>
    <w:rsid w:val="395D59E7"/>
    <w:rsid w:val="39A93932"/>
    <w:rsid w:val="3A915562"/>
    <w:rsid w:val="3B8D4765"/>
    <w:rsid w:val="3C000DBA"/>
    <w:rsid w:val="3CC40882"/>
    <w:rsid w:val="3DC045D3"/>
    <w:rsid w:val="3E407328"/>
    <w:rsid w:val="3E504FFB"/>
    <w:rsid w:val="3E615CD0"/>
    <w:rsid w:val="3E9C47F6"/>
    <w:rsid w:val="3EA967A5"/>
    <w:rsid w:val="3ED05D86"/>
    <w:rsid w:val="3F0D3245"/>
    <w:rsid w:val="3F8B0112"/>
    <w:rsid w:val="3FAB3095"/>
    <w:rsid w:val="3FE45947"/>
    <w:rsid w:val="41242965"/>
    <w:rsid w:val="435671EA"/>
    <w:rsid w:val="440809E9"/>
    <w:rsid w:val="442407A6"/>
    <w:rsid w:val="44805EA1"/>
    <w:rsid w:val="45032389"/>
    <w:rsid w:val="45710696"/>
    <w:rsid w:val="46142B1B"/>
    <w:rsid w:val="47E60DD0"/>
    <w:rsid w:val="48735039"/>
    <w:rsid w:val="492C684B"/>
    <w:rsid w:val="49500594"/>
    <w:rsid w:val="49E7604E"/>
    <w:rsid w:val="49EF3802"/>
    <w:rsid w:val="4AD41C9C"/>
    <w:rsid w:val="4BF67CDD"/>
    <w:rsid w:val="4BFFD203"/>
    <w:rsid w:val="4D173441"/>
    <w:rsid w:val="4D4622D3"/>
    <w:rsid w:val="4D603DD6"/>
    <w:rsid w:val="4EBF010F"/>
    <w:rsid w:val="4F471EB0"/>
    <w:rsid w:val="51331326"/>
    <w:rsid w:val="51740A7F"/>
    <w:rsid w:val="51A5541E"/>
    <w:rsid w:val="51C96242"/>
    <w:rsid w:val="53906AE1"/>
    <w:rsid w:val="54F46F60"/>
    <w:rsid w:val="55A37BEA"/>
    <w:rsid w:val="56362CD2"/>
    <w:rsid w:val="566201FD"/>
    <w:rsid w:val="5784687B"/>
    <w:rsid w:val="57846959"/>
    <w:rsid w:val="578E6A87"/>
    <w:rsid w:val="5A5E76E4"/>
    <w:rsid w:val="5AC2203A"/>
    <w:rsid w:val="5CBB3334"/>
    <w:rsid w:val="5D115FAF"/>
    <w:rsid w:val="5ED23BBA"/>
    <w:rsid w:val="60F671D2"/>
    <w:rsid w:val="62811722"/>
    <w:rsid w:val="62E75A72"/>
    <w:rsid w:val="64571880"/>
    <w:rsid w:val="649125B6"/>
    <w:rsid w:val="652F4C1A"/>
    <w:rsid w:val="666D37F1"/>
    <w:rsid w:val="67087D8F"/>
    <w:rsid w:val="671F687E"/>
    <w:rsid w:val="67F415F8"/>
    <w:rsid w:val="682640D1"/>
    <w:rsid w:val="684B73E5"/>
    <w:rsid w:val="6A047A2A"/>
    <w:rsid w:val="6BFB0CD4"/>
    <w:rsid w:val="6EFB7548"/>
    <w:rsid w:val="6F3831C3"/>
    <w:rsid w:val="6F8B71C1"/>
    <w:rsid w:val="6FD31DA6"/>
    <w:rsid w:val="70753482"/>
    <w:rsid w:val="707B522A"/>
    <w:rsid w:val="73194D05"/>
    <w:rsid w:val="7384370C"/>
    <w:rsid w:val="73A83B0E"/>
    <w:rsid w:val="744D3EF9"/>
    <w:rsid w:val="745F50E2"/>
    <w:rsid w:val="74794411"/>
    <w:rsid w:val="75867C40"/>
    <w:rsid w:val="75B10B26"/>
    <w:rsid w:val="76432199"/>
    <w:rsid w:val="768360B3"/>
    <w:rsid w:val="76F44829"/>
    <w:rsid w:val="77A267C0"/>
    <w:rsid w:val="78882278"/>
    <w:rsid w:val="78B118A6"/>
    <w:rsid w:val="79135044"/>
    <w:rsid w:val="79791BEA"/>
    <w:rsid w:val="7A7D0F99"/>
    <w:rsid w:val="7BDF2728"/>
    <w:rsid w:val="7D66076A"/>
    <w:rsid w:val="7E4A0E7C"/>
    <w:rsid w:val="7E9EF9E6"/>
    <w:rsid w:val="7EFD449D"/>
    <w:rsid w:val="7F7974D2"/>
    <w:rsid w:val="7FDDDFF7"/>
    <w:rsid w:val="B5F6FB8C"/>
    <w:rsid w:val="E7DF4612"/>
    <w:rsid w:val="EFAE9109"/>
    <w:rsid w:val="F5FF4B1C"/>
    <w:rsid w:val="F7DDF356"/>
    <w:rsid w:val="FD35D9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7843</Words>
  <Characters>9500</Characters>
  <Lines>83</Lines>
  <Paragraphs>23</Paragraphs>
  <TotalTime>12</TotalTime>
  <ScaleCrop>false</ScaleCrop>
  <LinksUpToDate>false</LinksUpToDate>
  <CharactersWithSpaces>9723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2023-04-04T02:24:00Z</cp:lastPrinted>
  <dcterms:modified xsi:type="dcterms:W3CDTF">2023-09-17T11:19:17Z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DDE0A074C6CD426F85D19AC7796CE7B1_13</vt:lpwstr>
  </property>
</Properties>
</file>