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许昌市社会养老保险中心单位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lang w:eastAsia="zh-CN"/>
        </w:rPr>
        <w:t>许昌市社会养老保险中心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 xml:space="preserve">第二部分 </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 xml:space="preserve">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hint="eastAsia" w:ascii="黑体" w:hAnsi="黑体" w:eastAsia="黑体" w:cs="黑体"/>
          <w:sz w:val="32"/>
          <w:szCs w:val="32"/>
          <w:highlight w:val="none"/>
          <w:lang w:val="en-US" w:eastAsia="zh-CN"/>
        </w:rPr>
        <w:t xml:space="preserve">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jc w:val="center"/>
        <w:rPr>
          <w:rFonts w:hint="eastAsia"/>
          <w:sz w:val="48"/>
          <w:szCs w:val="48"/>
        </w:rPr>
      </w:pPr>
    </w:p>
    <w:p>
      <w:pPr>
        <w:widowControl/>
        <w:jc w:val="center"/>
        <w:outlineLvl w:val="0"/>
        <w:rPr>
          <w:rFonts w:hint="eastAsia" w:ascii="黑体" w:hAnsi="黑体" w:eastAsia="黑体" w:cs="黑体"/>
          <w:sz w:val="48"/>
          <w:szCs w:val="48"/>
          <w:highlight w:val="none"/>
          <w:lang w:eastAsia="zh-CN"/>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许昌市社会养老保险中心</w:t>
      </w: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负责辖区内企业养老保险、城乡居民养老保险的申报登记、养老保险费征缴、基金管理、待遇审核，编制基金预、决算；市直机关事业单位养老保险的征缴、发放和基金管理工作；承担统计、信息管理、养老金社会化发放，退休人员社会化管理服务及社会保险稽核工作；对所属各县（市、区）企业养老保险中心实行垂直管理。</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许昌市社会养老保险中心内设机构10个，包括：办公室、企业职工管理科、机关事业单位职工管理科、城乡居民养老保险科、待遇审核科、退休人员管理服务科、基金征缴科、基金财务科、内控稽核科、信息和个人账户管理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从决算单位构成看，许昌市社会养老保险中心</w:t>
      </w:r>
      <w:r>
        <w:rPr>
          <w:rFonts w:hint="eastAsia" w:ascii="仿宋_GB2312" w:hAnsi="仿宋_GB2312" w:eastAsia="仿宋_GB2312"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纳入本</w:t>
      </w:r>
      <w:r>
        <w:rPr>
          <w:rFonts w:hint="eastAsia" w:ascii="仿宋_GB2312" w:hAnsi="仿宋_GB2312" w:eastAsia="仿宋_GB2312"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年度</w:t>
      </w:r>
      <w:r>
        <w:rPr>
          <w:rFonts w:hint="eastAsia" w:ascii="仿宋_GB2312" w:hAnsi="仿宋_GB2312" w:eastAsia="仿宋_GB2312"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决算编制范围的单位共1个，具体是：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许昌市社会养老保险中心</w:t>
      </w:r>
    </w:p>
    <w:p>
      <w:pPr>
        <w:widowControl/>
        <w:jc w:val="left"/>
        <w:rPr>
          <w:rFonts w:hint="eastAsia" w:ascii="黑体" w:hAnsi="宋体" w:eastAsia="黑体" w:cs="宋体"/>
          <w:kern w:val="0"/>
          <w:sz w:val="28"/>
          <w:szCs w:val="28"/>
          <w:highlight w:val="none"/>
        </w:rPr>
      </w:pPr>
    </w:p>
    <w:p>
      <w:pPr>
        <w:pStyle w:val="2"/>
        <w:rPr>
          <w:rFonts w:hint="eastAsia"/>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48"/>
          <w:szCs w:val="48"/>
          <w:highlight w:val="none"/>
        </w:rPr>
      </w:pPr>
    </w:p>
    <w:p>
      <w:pPr>
        <w:widowControl/>
        <w:jc w:val="left"/>
        <w:rPr>
          <w:rFonts w:hint="eastAsia" w:ascii="黑体" w:hAnsi="宋体" w:eastAsia="黑体" w:cs="宋体"/>
          <w:kern w:val="0"/>
          <w:sz w:val="48"/>
          <w:szCs w:val="48"/>
          <w:highlight w:val="none"/>
        </w:rPr>
      </w:pPr>
    </w:p>
    <w:p>
      <w:pPr>
        <w:widowControl/>
        <w:jc w:val="left"/>
        <w:rPr>
          <w:rFonts w:hint="eastAsia" w:ascii="黑体" w:hAnsi="宋体" w:eastAsia="黑体" w:cs="宋体"/>
          <w:kern w:val="0"/>
          <w:sz w:val="48"/>
          <w:szCs w:val="48"/>
          <w:highlight w:val="none"/>
        </w:rPr>
      </w:pPr>
    </w:p>
    <w:p>
      <w:pPr>
        <w:widowControl/>
        <w:jc w:val="left"/>
        <w:rPr>
          <w:rFonts w:hint="eastAsia" w:ascii="黑体" w:hAnsi="宋体" w:eastAsia="黑体" w:cs="宋体"/>
          <w:kern w:val="0"/>
          <w:sz w:val="48"/>
          <w:szCs w:val="48"/>
          <w:highlight w:val="none"/>
        </w:rPr>
      </w:pPr>
    </w:p>
    <w:p>
      <w:pPr>
        <w:widowControl/>
        <w:jc w:val="left"/>
        <w:rPr>
          <w:rFonts w:hint="eastAsia" w:ascii="黑体" w:hAnsi="宋体" w:eastAsia="黑体" w:cs="宋体"/>
          <w:kern w:val="0"/>
          <w:sz w:val="48"/>
          <w:szCs w:val="48"/>
          <w:highlight w:val="none"/>
        </w:rPr>
      </w:pPr>
    </w:p>
    <w:p>
      <w:pPr>
        <w:pStyle w:val="2"/>
        <w:ind w:left="0" w:leftChars="0" w:firstLine="0" w:firstLineChars="0"/>
        <w:rPr>
          <w:rFonts w:hint="eastAsia" w:ascii="黑体" w:hAnsi="宋体" w:eastAsia="黑体" w:cs="宋体"/>
          <w:kern w:val="0"/>
          <w:sz w:val="48"/>
          <w:szCs w:val="48"/>
          <w:highlight w:val="none"/>
        </w:rPr>
      </w:pPr>
    </w:p>
    <w:p>
      <w:pPr>
        <w:pStyle w:val="2"/>
        <w:rPr>
          <w:rFonts w:hint="eastAsia" w:ascii="黑体" w:hAnsi="宋体" w:eastAsia="黑体" w:cs="宋体"/>
          <w:kern w:val="0"/>
          <w:sz w:val="48"/>
          <w:szCs w:val="48"/>
          <w:highlight w:val="none"/>
        </w:rPr>
      </w:pPr>
    </w:p>
    <w:p>
      <w:pPr>
        <w:pStyle w:val="2"/>
        <w:rPr>
          <w:rFonts w:hint="eastAsia" w:ascii="黑体" w:hAnsi="宋体" w:eastAsia="黑体" w:cs="宋体"/>
          <w:kern w:val="0"/>
          <w:sz w:val="48"/>
          <w:szCs w:val="48"/>
          <w:highlight w:val="none"/>
        </w:rPr>
      </w:pPr>
    </w:p>
    <w:p>
      <w:pPr>
        <w:pStyle w:val="2"/>
        <w:rPr>
          <w:rFonts w:hint="eastAsia" w:ascii="黑体" w:hAnsi="宋体" w:eastAsia="黑体" w:cs="宋体"/>
          <w:kern w:val="0"/>
          <w:sz w:val="48"/>
          <w:szCs w:val="48"/>
          <w:highlight w:val="none"/>
        </w:rPr>
      </w:pPr>
    </w:p>
    <w:p>
      <w:pPr>
        <w:widowControl/>
        <w:jc w:val="left"/>
        <w:rPr>
          <w:rFonts w:hint="eastAsia" w:ascii="黑体" w:hAnsi="宋体" w:eastAsia="黑体" w:cs="宋体"/>
          <w:kern w:val="0"/>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7"/>
        <w:tblW w:w="13890" w:type="dxa"/>
        <w:tblInd w:w="91" w:type="dxa"/>
        <w:tblLayout w:type="autofit"/>
        <w:tblCellMar>
          <w:top w:w="0" w:type="dxa"/>
          <w:left w:w="108" w:type="dxa"/>
          <w:bottom w:w="0" w:type="dxa"/>
          <w:right w:w="108" w:type="dxa"/>
        </w:tblCellMar>
      </w:tblPr>
      <w:tblGrid>
        <w:gridCol w:w="4602"/>
        <w:gridCol w:w="808"/>
        <w:gridCol w:w="1350"/>
        <w:gridCol w:w="4331"/>
        <w:gridCol w:w="808"/>
        <w:gridCol w:w="1991"/>
      </w:tblGrid>
      <w:tr>
        <w:tblPrEx>
          <w:tblCellMar>
            <w:top w:w="0" w:type="dxa"/>
            <w:left w:w="108" w:type="dxa"/>
            <w:bottom w:w="0" w:type="dxa"/>
            <w:right w:w="108" w:type="dxa"/>
          </w:tblCellMar>
        </w:tblPrEx>
        <w:trPr>
          <w:trHeight w:val="390" w:hRule="atLeast"/>
        </w:trPr>
        <w:tc>
          <w:tcPr>
            <w:tcW w:w="1389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CellMar>
            <w:top w:w="0" w:type="dxa"/>
            <w:left w:w="108" w:type="dxa"/>
            <w:bottom w:w="0" w:type="dxa"/>
            <w:right w:w="108" w:type="dxa"/>
          </w:tblCellMar>
        </w:tblPrEx>
        <w:trPr>
          <w:trHeight w:val="397"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CellMar>
            <w:top w:w="0" w:type="dxa"/>
            <w:left w:w="108" w:type="dxa"/>
            <w:bottom w:w="0" w:type="dxa"/>
            <w:right w:w="108" w:type="dxa"/>
          </w:tblCellMar>
        </w:tblPrEx>
        <w:trPr>
          <w:trHeight w:val="397"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：许昌市社会养老保险中心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97"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3,953.57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3,958.99</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108.78</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3,953.57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4,079.94</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4,079.94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4,079.94</w:t>
            </w:r>
          </w:p>
        </w:tc>
      </w:tr>
      <w:tr>
        <w:tblPrEx>
          <w:tblCellMar>
            <w:top w:w="0" w:type="dxa"/>
            <w:left w:w="108" w:type="dxa"/>
            <w:bottom w:w="0" w:type="dxa"/>
            <w:right w:w="108" w:type="dxa"/>
          </w:tblCellMar>
        </w:tblPrEx>
        <w:trPr>
          <w:trHeight w:val="397"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4002" w:type="dxa"/>
        <w:tblInd w:w="91" w:type="dxa"/>
        <w:tblLayout w:type="fixed"/>
        <w:tblCellMar>
          <w:top w:w="0" w:type="dxa"/>
          <w:left w:w="108" w:type="dxa"/>
          <w:bottom w:w="0" w:type="dxa"/>
          <w:right w:w="108" w:type="dxa"/>
        </w:tblCellMar>
      </w:tblPr>
      <w:tblGrid>
        <w:gridCol w:w="246"/>
        <w:gridCol w:w="246"/>
        <w:gridCol w:w="591"/>
        <w:gridCol w:w="4205"/>
        <w:gridCol w:w="1566"/>
        <w:gridCol w:w="1284"/>
        <w:gridCol w:w="1248"/>
        <w:gridCol w:w="1216"/>
        <w:gridCol w:w="1134"/>
        <w:gridCol w:w="1116"/>
        <w:gridCol w:w="1150"/>
      </w:tblGrid>
      <w:tr>
        <w:tblPrEx>
          <w:tblCellMar>
            <w:top w:w="0" w:type="dxa"/>
            <w:left w:w="108" w:type="dxa"/>
            <w:bottom w:w="0" w:type="dxa"/>
            <w:right w:w="108" w:type="dxa"/>
          </w:tblCellMar>
        </w:tblPrEx>
        <w:trPr>
          <w:trHeight w:val="390" w:hRule="atLeast"/>
        </w:trPr>
        <w:tc>
          <w:tcPr>
            <w:tcW w:w="14002"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CellMar>
            <w:top w:w="0" w:type="dxa"/>
            <w:left w:w="108" w:type="dxa"/>
            <w:bottom w:w="0" w:type="dxa"/>
            <w:right w:w="108" w:type="dxa"/>
          </w:tblCellMar>
        </w:tblPrEx>
        <w:trPr>
          <w:trHeight w:val="397" w:hRule="atLeast"/>
        </w:trPr>
        <w:tc>
          <w:tcPr>
            <w:tcW w:w="24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4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9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8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3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66"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CellMar>
            <w:top w:w="0" w:type="dxa"/>
            <w:left w:w="108" w:type="dxa"/>
            <w:bottom w:w="0" w:type="dxa"/>
            <w:right w:w="108" w:type="dxa"/>
          </w:tblCellMar>
        </w:tblPrEx>
        <w:trPr>
          <w:trHeight w:val="397" w:hRule="atLeast"/>
        </w:trPr>
        <w:tc>
          <w:tcPr>
            <w:tcW w:w="5288"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：许昌市社会养老保险中心</w:t>
            </w:r>
          </w:p>
        </w:tc>
        <w:tc>
          <w:tcPr>
            <w:tcW w:w="15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8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3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66"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97" w:hRule="atLeast"/>
        </w:trPr>
        <w:tc>
          <w:tcPr>
            <w:tcW w:w="528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6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28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24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3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1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1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CellMar>
            <w:top w:w="0" w:type="dxa"/>
            <w:left w:w="108" w:type="dxa"/>
            <w:bottom w:w="0" w:type="dxa"/>
            <w:right w:w="108" w:type="dxa"/>
          </w:tblCellMar>
        </w:tblPrEx>
        <w:trPr>
          <w:trHeight w:val="397" w:hRule="atLeast"/>
        </w:trPr>
        <w:tc>
          <w:tcPr>
            <w:tcW w:w="1083"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20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08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0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08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0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528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6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108" w:type="dxa"/>
            <w:bottom w:w="0" w:type="dxa"/>
            <w:right w:w="108" w:type="dxa"/>
          </w:tblCellMar>
        </w:tblPrEx>
        <w:trPr>
          <w:trHeight w:val="397" w:hRule="atLeast"/>
        </w:trPr>
        <w:tc>
          <w:tcPr>
            <w:tcW w:w="528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3,953.57</w:t>
            </w:r>
          </w:p>
        </w:tc>
        <w:tc>
          <w:tcPr>
            <w:tcW w:w="12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3,953.57</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11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08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2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12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08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2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12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08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2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12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34" w:type="dxa"/>
            <w:tcBorders>
              <w:top w:val="nil"/>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08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2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3,845.14</w:t>
            </w:r>
          </w:p>
        </w:tc>
        <w:tc>
          <w:tcPr>
            <w:tcW w:w="12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3,845.14</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08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42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2,270.83</w:t>
            </w:r>
          </w:p>
        </w:tc>
        <w:tc>
          <w:tcPr>
            <w:tcW w:w="12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2,270.83</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08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42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2,270.83</w:t>
            </w:r>
          </w:p>
        </w:tc>
        <w:tc>
          <w:tcPr>
            <w:tcW w:w="12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2,270.83</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08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2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608.56</w:t>
            </w:r>
          </w:p>
        </w:tc>
        <w:tc>
          <w:tcPr>
            <w:tcW w:w="12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608.56</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08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2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82.84</w:t>
            </w:r>
          </w:p>
        </w:tc>
        <w:tc>
          <w:tcPr>
            <w:tcW w:w="12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82.84</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08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42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388.22</w:t>
            </w:r>
          </w:p>
        </w:tc>
        <w:tc>
          <w:tcPr>
            <w:tcW w:w="12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388.22</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08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2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137.50</w:t>
            </w:r>
          </w:p>
        </w:tc>
        <w:tc>
          <w:tcPr>
            <w:tcW w:w="12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137.50</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08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20806</w:t>
            </w:r>
          </w:p>
        </w:tc>
        <w:tc>
          <w:tcPr>
            <w:tcW w:w="42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企业改革补助</w:t>
            </w:r>
          </w:p>
        </w:tc>
        <w:tc>
          <w:tcPr>
            <w:tcW w:w="1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965.75</w:t>
            </w:r>
          </w:p>
        </w:tc>
        <w:tc>
          <w:tcPr>
            <w:tcW w:w="12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965.75</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08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2080699</w:t>
            </w:r>
          </w:p>
        </w:tc>
        <w:tc>
          <w:tcPr>
            <w:tcW w:w="42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其他企业改革发展补助</w:t>
            </w:r>
          </w:p>
        </w:tc>
        <w:tc>
          <w:tcPr>
            <w:tcW w:w="1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965.75</w:t>
            </w:r>
          </w:p>
        </w:tc>
        <w:tc>
          <w:tcPr>
            <w:tcW w:w="12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965.75</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08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2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96.26</w:t>
            </w:r>
          </w:p>
        </w:tc>
        <w:tc>
          <w:tcPr>
            <w:tcW w:w="12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96.26</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08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2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96.26</w:t>
            </w:r>
          </w:p>
        </w:tc>
        <w:tc>
          <w:tcPr>
            <w:tcW w:w="12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96.26</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08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2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68.30</w:t>
            </w:r>
          </w:p>
        </w:tc>
        <w:tc>
          <w:tcPr>
            <w:tcW w:w="12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68.30</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08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2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2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4002"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86" w:type="dxa"/>
        <w:tblInd w:w="91" w:type="dxa"/>
        <w:tblLayout w:type="fixed"/>
        <w:tblCellMar>
          <w:top w:w="0" w:type="dxa"/>
          <w:left w:w="108" w:type="dxa"/>
          <w:bottom w:w="0" w:type="dxa"/>
          <w:right w:w="108" w:type="dxa"/>
        </w:tblCellMar>
      </w:tblPr>
      <w:tblGrid>
        <w:gridCol w:w="244"/>
        <w:gridCol w:w="245"/>
        <w:gridCol w:w="624"/>
        <w:gridCol w:w="3975"/>
        <w:gridCol w:w="1616"/>
        <w:gridCol w:w="1350"/>
        <w:gridCol w:w="1198"/>
        <w:gridCol w:w="1636"/>
        <w:gridCol w:w="1150"/>
        <w:gridCol w:w="1948"/>
      </w:tblGrid>
      <w:tr>
        <w:tblPrEx>
          <w:tblCellMar>
            <w:top w:w="0" w:type="dxa"/>
            <w:left w:w="108" w:type="dxa"/>
            <w:bottom w:w="0" w:type="dxa"/>
            <w:right w:w="108" w:type="dxa"/>
          </w:tblCellMar>
        </w:tblPrEx>
        <w:trPr>
          <w:trHeight w:val="390" w:hRule="atLeast"/>
        </w:trPr>
        <w:tc>
          <w:tcPr>
            <w:tcW w:w="13986"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CellMar>
            <w:top w:w="0" w:type="dxa"/>
            <w:left w:w="108" w:type="dxa"/>
            <w:bottom w:w="0" w:type="dxa"/>
            <w:right w:w="108" w:type="dxa"/>
          </w:tblCellMar>
        </w:tblPrEx>
        <w:trPr>
          <w:trHeight w:val="397" w:hRule="atLeast"/>
        </w:trPr>
        <w:tc>
          <w:tcPr>
            <w:tcW w:w="244"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2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9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09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CellMar>
            <w:top w:w="0" w:type="dxa"/>
            <w:left w:w="108" w:type="dxa"/>
            <w:bottom w:w="0" w:type="dxa"/>
            <w:right w:w="108" w:type="dxa"/>
          </w:tblCellMar>
        </w:tblPrEx>
        <w:trPr>
          <w:trHeight w:val="397" w:hRule="atLeast"/>
        </w:trPr>
        <w:tc>
          <w:tcPr>
            <w:tcW w:w="5088"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：许昌市社会养老保险中心</w:t>
            </w:r>
          </w:p>
        </w:tc>
        <w:tc>
          <w:tcPr>
            <w:tcW w:w="1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9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09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97" w:hRule="atLeast"/>
        </w:trPr>
        <w:tc>
          <w:tcPr>
            <w:tcW w:w="508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3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9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3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1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94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CellMar>
            <w:top w:w="0" w:type="dxa"/>
            <w:left w:w="108" w:type="dxa"/>
            <w:bottom w:w="0" w:type="dxa"/>
            <w:right w:w="108" w:type="dxa"/>
          </w:tblCellMar>
        </w:tblPrEx>
        <w:trPr>
          <w:trHeight w:val="397" w:hRule="atLeast"/>
        </w:trPr>
        <w:tc>
          <w:tcPr>
            <w:tcW w:w="1113"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7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11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7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11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7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508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9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97" w:hRule="atLeast"/>
        </w:trPr>
        <w:tc>
          <w:tcPr>
            <w:tcW w:w="508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4,079.94</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3,114.19</w:t>
            </w:r>
          </w:p>
        </w:tc>
        <w:tc>
          <w:tcPr>
            <w:tcW w:w="11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965.75</w:t>
            </w:r>
          </w:p>
        </w:tc>
        <w:tc>
          <w:tcPr>
            <w:tcW w:w="16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c>
          <w:tcPr>
            <w:tcW w:w="19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1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11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6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9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1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11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6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9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1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11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6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9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1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3,958.99</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2,993.24</w:t>
            </w:r>
          </w:p>
        </w:tc>
        <w:tc>
          <w:tcPr>
            <w:tcW w:w="11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965.75</w:t>
            </w:r>
          </w:p>
        </w:tc>
        <w:tc>
          <w:tcPr>
            <w:tcW w:w="16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9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1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3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2,372.70</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2,372.70</w:t>
            </w:r>
          </w:p>
        </w:tc>
        <w:tc>
          <w:tcPr>
            <w:tcW w:w="11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6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9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1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3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2,372.70</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2,372.70</w:t>
            </w:r>
          </w:p>
        </w:tc>
        <w:tc>
          <w:tcPr>
            <w:tcW w:w="11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6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9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1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620.54</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620.54</w:t>
            </w:r>
          </w:p>
        </w:tc>
        <w:tc>
          <w:tcPr>
            <w:tcW w:w="11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6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9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1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82.84</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82.84</w:t>
            </w:r>
          </w:p>
        </w:tc>
        <w:tc>
          <w:tcPr>
            <w:tcW w:w="11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6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9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1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388.22</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388.22</w:t>
            </w:r>
          </w:p>
        </w:tc>
        <w:tc>
          <w:tcPr>
            <w:tcW w:w="11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6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9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1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149.48</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149.48</w:t>
            </w:r>
          </w:p>
        </w:tc>
        <w:tc>
          <w:tcPr>
            <w:tcW w:w="11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6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9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1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20806</w:t>
            </w:r>
          </w:p>
        </w:tc>
        <w:tc>
          <w:tcPr>
            <w:tcW w:w="3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企业改革补助</w:t>
            </w:r>
          </w:p>
        </w:tc>
        <w:tc>
          <w:tcPr>
            <w:tcW w:w="1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965.75</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1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965.75</w:t>
            </w:r>
          </w:p>
        </w:tc>
        <w:tc>
          <w:tcPr>
            <w:tcW w:w="16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9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1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2080699</w:t>
            </w:r>
          </w:p>
        </w:tc>
        <w:tc>
          <w:tcPr>
            <w:tcW w:w="3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其他企业改革发展补助</w:t>
            </w:r>
          </w:p>
        </w:tc>
        <w:tc>
          <w:tcPr>
            <w:tcW w:w="1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965.75</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965.75</w:t>
            </w:r>
          </w:p>
        </w:tc>
        <w:tc>
          <w:tcPr>
            <w:tcW w:w="16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9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1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108.78</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108.78</w:t>
            </w:r>
          </w:p>
        </w:tc>
        <w:tc>
          <w:tcPr>
            <w:tcW w:w="11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6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9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1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108.78</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108.78</w:t>
            </w:r>
          </w:p>
        </w:tc>
        <w:tc>
          <w:tcPr>
            <w:tcW w:w="11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6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9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1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70.65</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70.65</w:t>
            </w:r>
          </w:p>
        </w:tc>
        <w:tc>
          <w:tcPr>
            <w:tcW w:w="11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6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9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1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38.13</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38.13</w:t>
            </w:r>
          </w:p>
        </w:tc>
        <w:tc>
          <w:tcPr>
            <w:tcW w:w="11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6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c>
          <w:tcPr>
            <w:tcW w:w="19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3986"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19" w:type="dxa"/>
        <w:tblInd w:w="91" w:type="dxa"/>
        <w:tblLayout w:type="fixed"/>
        <w:tblCellMar>
          <w:top w:w="0" w:type="dxa"/>
          <w:left w:w="108" w:type="dxa"/>
          <w:bottom w:w="0" w:type="dxa"/>
          <w:right w:w="108" w:type="dxa"/>
        </w:tblCellMar>
      </w:tblPr>
      <w:tblGrid>
        <w:gridCol w:w="3171"/>
        <w:gridCol w:w="517"/>
        <w:gridCol w:w="1183"/>
        <w:gridCol w:w="3533"/>
        <w:gridCol w:w="584"/>
        <w:gridCol w:w="1100"/>
        <w:gridCol w:w="1333"/>
        <w:gridCol w:w="1200"/>
        <w:gridCol w:w="1298"/>
      </w:tblGrid>
      <w:tr>
        <w:tblPrEx>
          <w:tblCellMar>
            <w:top w:w="0" w:type="dxa"/>
            <w:left w:w="108" w:type="dxa"/>
            <w:bottom w:w="0" w:type="dxa"/>
            <w:right w:w="108" w:type="dxa"/>
          </w:tblCellMar>
        </w:tblPrEx>
        <w:trPr>
          <w:trHeight w:val="390" w:hRule="atLeast"/>
        </w:trPr>
        <w:tc>
          <w:tcPr>
            <w:tcW w:w="13919"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CellMar>
            <w:top w:w="0" w:type="dxa"/>
            <w:left w:w="108" w:type="dxa"/>
            <w:bottom w:w="0" w:type="dxa"/>
            <w:right w:w="108" w:type="dxa"/>
          </w:tblCellMar>
        </w:tblPrEx>
        <w:trPr>
          <w:trHeight w:val="369" w:hRule="atLeast"/>
        </w:trPr>
        <w:tc>
          <w:tcPr>
            <w:tcW w:w="3171"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1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5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9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CellMar>
            <w:top w:w="0" w:type="dxa"/>
            <w:left w:w="108" w:type="dxa"/>
            <w:bottom w:w="0" w:type="dxa"/>
            <w:right w:w="108" w:type="dxa"/>
          </w:tblCellMar>
        </w:tblPrEx>
        <w:trPr>
          <w:trHeight w:val="369" w:hRule="atLeast"/>
        </w:trPr>
        <w:tc>
          <w:tcPr>
            <w:tcW w:w="4871"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：许昌市社会养老保险中心</w:t>
            </w:r>
          </w:p>
        </w:tc>
        <w:tc>
          <w:tcPr>
            <w:tcW w:w="35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9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69" w:hRule="atLeast"/>
        </w:trPr>
        <w:tc>
          <w:tcPr>
            <w:tcW w:w="487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048"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CellMar>
            <w:top w:w="0" w:type="dxa"/>
            <w:left w:w="108" w:type="dxa"/>
            <w:bottom w:w="0" w:type="dxa"/>
            <w:right w:w="108" w:type="dxa"/>
          </w:tblCellMar>
        </w:tblPrEx>
        <w:trPr>
          <w:trHeight w:val="369" w:hRule="atLeast"/>
        </w:trPr>
        <w:tc>
          <w:tcPr>
            <w:tcW w:w="3171"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1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8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3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0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3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29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CellMar>
            <w:top w:w="0" w:type="dxa"/>
            <w:left w:w="108" w:type="dxa"/>
            <w:bottom w:w="0" w:type="dxa"/>
            <w:right w:w="108" w:type="dxa"/>
          </w:tblCellMar>
        </w:tblPrEx>
        <w:trPr>
          <w:trHeight w:val="369" w:hRule="atLeast"/>
        </w:trPr>
        <w:tc>
          <w:tcPr>
            <w:tcW w:w="317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3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17"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8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84"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3,953.57</w:t>
            </w: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3,958.99</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3,958.99</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108.78</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108.78</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3,953.57</w:t>
            </w: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4,079.94</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4,079.94</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126.37</w:t>
            </w: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126.37</w:t>
            </w:r>
          </w:p>
        </w:tc>
        <w:tc>
          <w:tcPr>
            <w:tcW w:w="35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35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35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9" w:hRule="atLeast"/>
        </w:trPr>
        <w:tc>
          <w:tcPr>
            <w:tcW w:w="317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17"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4,079.94</w:t>
            </w:r>
          </w:p>
        </w:tc>
        <w:tc>
          <w:tcPr>
            <w:tcW w:w="353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4,079.94</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4,079.94</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2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69" w:hRule="atLeast"/>
        </w:trPr>
        <w:tc>
          <w:tcPr>
            <w:tcW w:w="13919"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52" w:type="dxa"/>
        <w:tblInd w:w="91" w:type="dxa"/>
        <w:tblLayout w:type="fixed"/>
        <w:tblCellMar>
          <w:top w:w="0" w:type="dxa"/>
          <w:left w:w="108" w:type="dxa"/>
          <w:bottom w:w="0" w:type="dxa"/>
          <w:right w:w="108" w:type="dxa"/>
        </w:tblCellMar>
      </w:tblPr>
      <w:tblGrid>
        <w:gridCol w:w="326"/>
        <w:gridCol w:w="327"/>
        <w:gridCol w:w="766"/>
        <w:gridCol w:w="4250"/>
        <w:gridCol w:w="2450"/>
        <w:gridCol w:w="3083"/>
        <w:gridCol w:w="2750"/>
      </w:tblGrid>
      <w:tr>
        <w:tblPrEx>
          <w:tblCellMar>
            <w:top w:w="0" w:type="dxa"/>
            <w:left w:w="108" w:type="dxa"/>
            <w:bottom w:w="0" w:type="dxa"/>
            <w:right w:w="108" w:type="dxa"/>
          </w:tblCellMar>
        </w:tblPrEx>
        <w:trPr>
          <w:trHeight w:val="390" w:hRule="atLeast"/>
        </w:trPr>
        <w:tc>
          <w:tcPr>
            <w:tcW w:w="13952"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CellMar>
            <w:top w:w="0" w:type="dxa"/>
            <w:left w:w="108" w:type="dxa"/>
            <w:bottom w:w="0" w:type="dxa"/>
            <w:right w:w="108" w:type="dxa"/>
          </w:tblCellMar>
        </w:tblPrEx>
        <w:trPr>
          <w:trHeight w:val="397" w:hRule="atLeast"/>
        </w:trPr>
        <w:tc>
          <w:tcPr>
            <w:tcW w:w="32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08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5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CellMar>
            <w:top w:w="0" w:type="dxa"/>
            <w:left w:w="108" w:type="dxa"/>
            <w:bottom w:w="0" w:type="dxa"/>
            <w:right w:w="108" w:type="dxa"/>
          </w:tblCellMar>
        </w:tblPrEx>
        <w:trPr>
          <w:trHeight w:val="397" w:hRule="atLeast"/>
        </w:trPr>
        <w:tc>
          <w:tcPr>
            <w:tcW w:w="5669"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：许昌市社会养老保险中心</w:t>
            </w:r>
          </w:p>
        </w:tc>
        <w:tc>
          <w:tcPr>
            <w:tcW w:w="24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08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5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97" w:hRule="atLeast"/>
        </w:trPr>
        <w:tc>
          <w:tcPr>
            <w:tcW w:w="566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283"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CellMar>
            <w:top w:w="0" w:type="dxa"/>
            <w:left w:w="108" w:type="dxa"/>
            <w:bottom w:w="0" w:type="dxa"/>
            <w:right w:w="108" w:type="dxa"/>
          </w:tblCellMar>
        </w:tblPrEx>
        <w:trPr>
          <w:trHeight w:val="397" w:hRule="atLeast"/>
        </w:trPr>
        <w:tc>
          <w:tcPr>
            <w:tcW w:w="1419"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25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4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08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7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397" w:hRule="atLeast"/>
        </w:trPr>
        <w:tc>
          <w:tcPr>
            <w:tcW w:w="141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5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4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8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141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5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4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8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566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4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8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397" w:hRule="atLeast"/>
        </w:trPr>
        <w:tc>
          <w:tcPr>
            <w:tcW w:w="566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4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4,079.94</w:t>
            </w:r>
          </w:p>
        </w:tc>
        <w:tc>
          <w:tcPr>
            <w:tcW w:w="3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3,114.19</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965.75</w:t>
            </w:r>
          </w:p>
        </w:tc>
      </w:tr>
      <w:tr>
        <w:tblPrEx>
          <w:tblCellMar>
            <w:top w:w="0" w:type="dxa"/>
            <w:left w:w="108" w:type="dxa"/>
            <w:bottom w:w="0" w:type="dxa"/>
            <w:right w:w="108" w:type="dxa"/>
          </w:tblCellMar>
        </w:tblPrEx>
        <w:trPr>
          <w:trHeight w:val="397" w:hRule="atLeast"/>
        </w:trPr>
        <w:tc>
          <w:tcPr>
            <w:tcW w:w="1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4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3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4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3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4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3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4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3,958.99</w:t>
            </w:r>
          </w:p>
        </w:tc>
        <w:tc>
          <w:tcPr>
            <w:tcW w:w="3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2,993.24</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965.75</w:t>
            </w:r>
          </w:p>
        </w:tc>
      </w:tr>
      <w:tr>
        <w:tblPrEx>
          <w:tblCellMar>
            <w:top w:w="0" w:type="dxa"/>
            <w:left w:w="108" w:type="dxa"/>
            <w:bottom w:w="0" w:type="dxa"/>
            <w:right w:w="108" w:type="dxa"/>
          </w:tblCellMar>
        </w:tblPrEx>
        <w:trPr>
          <w:trHeight w:val="397" w:hRule="atLeast"/>
        </w:trPr>
        <w:tc>
          <w:tcPr>
            <w:tcW w:w="1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4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4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2,372.70</w:t>
            </w:r>
          </w:p>
        </w:tc>
        <w:tc>
          <w:tcPr>
            <w:tcW w:w="3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2,372.70</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4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4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2,372.70</w:t>
            </w:r>
          </w:p>
        </w:tc>
        <w:tc>
          <w:tcPr>
            <w:tcW w:w="3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2,372.70</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4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620.54</w:t>
            </w:r>
          </w:p>
        </w:tc>
        <w:tc>
          <w:tcPr>
            <w:tcW w:w="3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620.54</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4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82.84</w:t>
            </w:r>
          </w:p>
        </w:tc>
        <w:tc>
          <w:tcPr>
            <w:tcW w:w="3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82.84</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4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24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388.22</w:t>
            </w:r>
          </w:p>
        </w:tc>
        <w:tc>
          <w:tcPr>
            <w:tcW w:w="3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388.22</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4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149.48</w:t>
            </w:r>
          </w:p>
        </w:tc>
        <w:tc>
          <w:tcPr>
            <w:tcW w:w="3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149.48</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20806</w:t>
            </w:r>
          </w:p>
        </w:tc>
        <w:tc>
          <w:tcPr>
            <w:tcW w:w="4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企业改革补助</w:t>
            </w:r>
          </w:p>
        </w:tc>
        <w:tc>
          <w:tcPr>
            <w:tcW w:w="24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965.75</w:t>
            </w:r>
          </w:p>
        </w:tc>
        <w:tc>
          <w:tcPr>
            <w:tcW w:w="3083" w:type="dxa"/>
            <w:tcBorders>
              <w:top w:val="nil"/>
              <w:left w:val="nil"/>
              <w:bottom w:val="single" w:color="000000" w:sz="4" w:space="0"/>
              <w:right w:val="single" w:color="000000" w:sz="4" w:space="0"/>
            </w:tcBorders>
            <w:noWrap/>
            <w:vAlign w:val="center"/>
          </w:tcPr>
          <w:p>
            <w:pPr>
              <w:jc w:val="right"/>
              <w:rPr>
                <w:rFonts w:hint="default" w:ascii="宋体" w:hAnsi="宋体" w:eastAsia="宋体" w:cs="宋体"/>
                <w:i w:val="0"/>
                <w:iCs w:val="0"/>
                <w:color w:val="000000"/>
                <w:sz w:val="22"/>
                <w:szCs w:val="22"/>
                <w:u w:val="none"/>
                <w:lang w:val="en-US" w:eastAsia="zh-CN"/>
              </w:rPr>
            </w:pP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965.75</w:t>
            </w:r>
          </w:p>
        </w:tc>
      </w:tr>
      <w:tr>
        <w:tblPrEx>
          <w:tblCellMar>
            <w:top w:w="0" w:type="dxa"/>
            <w:left w:w="108" w:type="dxa"/>
            <w:bottom w:w="0" w:type="dxa"/>
            <w:right w:w="108" w:type="dxa"/>
          </w:tblCellMar>
        </w:tblPrEx>
        <w:trPr>
          <w:trHeight w:val="397" w:hRule="atLeast"/>
        </w:trPr>
        <w:tc>
          <w:tcPr>
            <w:tcW w:w="1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2080699</w:t>
            </w:r>
          </w:p>
        </w:tc>
        <w:tc>
          <w:tcPr>
            <w:tcW w:w="4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其他企业改革发展补助</w:t>
            </w:r>
          </w:p>
        </w:tc>
        <w:tc>
          <w:tcPr>
            <w:tcW w:w="24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965.75</w:t>
            </w:r>
          </w:p>
        </w:tc>
        <w:tc>
          <w:tcPr>
            <w:tcW w:w="3083" w:type="dxa"/>
            <w:tcBorders>
              <w:top w:val="nil"/>
              <w:left w:val="nil"/>
              <w:bottom w:val="single" w:color="000000" w:sz="4" w:space="0"/>
              <w:right w:val="single" w:color="000000" w:sz="4" w:space="0"/>
            </w:tcBorders>
            <w:noWrap/>
            <w:vAlign w:val="center"/>
          </w:tcPr>
          <w:p>
            <w:pPr>
              <w:jc w:val="right"/>
              <w:rPr>
                <w:rFonts w:hint="default" w:ascii="宋体" w:hAnsi="宋体" w:eastAsia="宋体" w:cs="宋体"/>
                <w:i w:val="0"/>
                <w:iCs w:val="0"/>
                <w:color w:val="000000"/>
                <w:sz w:val="22"/>
                <w:szCs w:val="22"/>
                <w:u w:val="none"/>
                <w:lang w:val="en-US" w:eastAsia="zh-CN"/>
              </w:rPr>
            </w:pP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965.75</w:t>
            </w:r>
          </w:p>
        </w:tc>
      </w:tr>
      <w:tr>
        <w:tblPrEx>
          <w:tblCellMar>
            <w:top w:w="0" w:type="dxa"/>
            <w:left w:w="108" w:type="dxa"/>
            <w:bottom w:w="0" w:type="dxa"/>
            <w:right w:w="108" w:type="dxa"/>
          </w:tblCellMar>
        </w:tblPrEx>
        <w:trPr>
          <w:trHeight w:val="397" w:hRule="atLeast"/>
        </w:trPr>
        <w:tc>
          <w:tcPr>
            <w:tcW w:w="1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4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108.78</w:t>
            </w:r>
          </w:p>
        </w:tc>
        <w:tc>
          <w:tcPr>
            <w:tcW w:w="3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108.78</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4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108.78</w:t>
            </w:r>
          </w:p>
        </w:tc>
        <w:tc>
          <w:tcPr>
            <w:tcW w:w="3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108.78</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4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70.65</w:t>
            </w:r>
          </w:p>
        </w:tc>
        <w:tc>
          <w:tcPr>
            <w:tcW w:w="3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70.65</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4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38.13</w:t>
            </w:r>
          </w:p>
        </w:tc>
        <w:tc>
          <w:tcPr>
            <w:tcW w:w="30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38.13</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13952"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819" w:type="dxa"/>
        <w:tblInd w:w="91" w:type="dxa"/>
        <w:tblLayout w:type="fixed"/>
        <w:tblCellMar>
          <w:top w:w="0" w:type="dxa"/>
          <w:left w:w="108" w:type="dxa"/>
          <w:bottom w:w="0" w:type="dxa"/>
          <w:right w:w="108" w:type="dxa"/>
        </w:tblCellMar>
      </w:tblPr>
      <w:tblGrid>
        <w:gridCol w:w="769"/>
        <w:gridCol w:w="2935"/>
        <w:gridCol w:w="1200"/>
        <w:gridCol w:w="817"/>
        <w:gridCol w:w="2500"/>
        <w:gridCol w:w="898"/>
        <w:gridCol w:w="902"/>
        <w:gridCol w:w="2693"/>
        <w:gridCol w:w="1105"/>
      </w:tblGrid>
      <w:tr>
        <w:tblPrEx>
          <w:tblCellMar>
            <w:top w:w="0" w:type="dxa"/>
            <w:left w:w="108" w:type="dxa"/>
            <w:bottom w:w="0" w:type="dxa"/>
            <w:right w:w="108" w:type="dxa"/>
          </w:tblCellMar>
        </w:tblPrEx>
        <w:trPr>
          <w:trHeight w:val="390" w:hRule="atLeast"/>
        </w:trPr>
        <w:tc>
          <w:tcPr>
            <w:tcW w:w="13819"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CellMar>
            <w:top w:w="0" w:type="dxa"/>
            <w:left w:w="108" w:type="dxa"/>
            <w:bottom w:w="0" w:type="dxa"/>
            <w:right w:w="108" w:type="dxa"/>
          </w:tblCellMar>
        </w:tblPrEx>
        <w:trPr>
          <w:trHeight w:val="397" w:hRule="atLeast"/>
        </w:trPr>
        <w:tc>
          <w:tcPr>
            <w:tcW w:w="769"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9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1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5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9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79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CellMar>
            <w:top w:w="0" w:type="dxa"/>
            <w:left w:w="108" w:type="dxa"/>
            <w:bottom w:w="0" w:type="dxa"/>
            <w:right w:w="108" w:type="dxa"/>
          </w:tblCellMar>
        </w:tblPrEx>
        <w:trPr>
          <w:trHeight w:val="397" w:hRule="atLeast"/>
        </w:trPr>
        <w:tc>
          <w:tcPr>
            <w:tcW w:w="3704" w:type="dxa"/>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：许昌市社会养老保险中心</w:t>
            </w: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1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5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9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79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97" w:hRule="atLeast"/>
        </w:trPr>
        <w:tc>
          <w:tcPr>
            <w:tcW w:w="490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915"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CellMar>
            <w:top w:w="0" w:type="dxa"/>
            <w:left w:w="108" w:type="dxa"/>
            <w:bottom w:w="0" w:type="dxa"/>
            <w:right w:w="108" w:type="dxa"/>
          </w:tblCellMar>
        </w:tblPrEx>
        <w:trPr>
          <w:trHeight w:val="397" w:hRule="atLeast"/>
        </w:trPr>
        <w:tc>
          <w:tcPr>
            <w:tcW w:w="76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9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1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5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9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0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69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397" w:hRule="atLeast"/>
        </w:trPr>
        <w:tc>
          <w:tcPr>
            <w:tcW w:w="76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1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9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9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2,382.22</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236.47</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614.17</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43.78</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938.79</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8.05</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408.97</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159.54</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74.84</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35.46</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144.32</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491.20</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490.46</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0.86</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23.43</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6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127.31</w:t>
            </w:r>
          </w:p>
        </w:tc>
        <w:tc>
          <w:tcPr>
            <w:tcW w:w="90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69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90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69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76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3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90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69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7" w:hRule="atLeast"/>
        </w:trPr>
        <w:tc>
          <w:tcPr>
            <w:tcW w:w="370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2,873.43</w:t>
            </w:r>
          </w:p>
        </w:tc>
        <w:tc>
          <w:tcPr>
            <w:tcW w:w="7810"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240.76</w:t>
            </w:r>
          </w:p>
        </w:tc>
      </w:tr>
      <w:tr>
        <w:tblPrEx>
          <w:tblCellMar>
            <w:top w:w="0" w:type="dxa"/>
            <w:left w:w="108" w:type="dxa"/>
            <w:bottom w:w="0" w:type="dxa"/>
            <w:right w:w="108" w:type="dxa"/>
          </w:tblCellMar>
        </w:tblPrEx>
        <w:trPr>
          <w:trHeight w:val="397" w:hRule="atLeast"/>
        </w:trPr>
        <w:tc>
          <w:tcPr>
            <w:tcW w:w="13819"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eastAsia="zh-CN" w:bidi="ar"/>
              </w:rPr>
              <w:t>许昌市社会养老保险中心</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公务用车</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公务用车</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公务用车</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公务用车</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注：本表反映</w:t>
            </w:r>
            <w:r>
              <w:rPr>
                <w:rFonts w:hint="eastAsia" w:ascii="宋体" w:hAnsi="宋体" w:cs="宋体"/>
                <w:color w:val="000000"/>
                <w:kern w:val="0"/>
                <w:sz w:val="22"/>
                <w:szCs w:val="22"/>
                <w:highlight w:val="none"/>
                <w:lang w:eastAsia="zh-CN" w:bidi="ar"/>
              </w:rPr>
              <w:t>单位</w:t>
            </w:r>
            <w:r>
              <w:rPr>
                <w:rFonts w:hint="eastAsia" w:ascii="宋体" w:hAnsi="宋体" w:cs="宋体"/>
                <w:color w:val="000000"/>
                <w:kern w:val="0"/>
                <w:sz w:val="22"/>
                <w:szCs w:val="22"/>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p>
            <w:pPr>
              <w:widowControl/>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sz w:val="22"/>
                <w:szCs w:val="22"/>
                <w:highlight w:val="none"/>
              </w:rPr>
              <w:t>说明：我</w:t>
            </w:r>
            <w:r>
              <w:rPr>
                <w:rFonts w:hint="eastAsia" w:ascii="宋体" w:hAnsi="宋体" w:cs="宋体"/>
                <w:color w:val="000000"/>
                <w:sz w:val="22"/>
                <w:szCs w:val="22"/>
                <w:highlight w:val="none"/>
                <w:lang w:eastAsia="zh-CN"/>
              </w:rPr>
              <w:t>单位</w:t>
            </w:r>
            <w:r>
              <w:rPr>
                <w:rFonts w:hint="eastAsia" w:ascii="宋体" w:hAnsi="宋体" w:eastAsia="宋体" w:cs="宋体"/>
                <w:color w:val="000000"/>
                <w:sz w:val="22"/>
                <w:szCs w:val="22"/>
                <w:highlight w:val="none"/>
              </w:rPr>
              <w:t>没有预算安排的三公经费，也没有预算安排的三公支出，故本表无数据</w:t>
            </w:r>
            <w:r>
              <w:rPr>
                <w:rFonts w:hint="eastAsia" w:ascii="宋体" w:hAnsi="宋体" w:eastAsia="宋体" w:cs="宋体"/>
                <w:color w:val="000000"/>
                <w:sz w:val="22"/>
                <w:szCs w:val="22"/>
                <w:highlight w:val="none"/>
                <w:lang w:eastAsia="zh-CN"/>
              </w:rPr>
              <w:t>。</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14018" w:type="dxa"/>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eastAsia="zh-CN" w:bidi="ar"/>
              </w:rPr>
              <w:t>许昌市社会养老保险中心</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eastAsia="zh-CN" w:bidi="ar"/>
              </w:rPr>
              <w:t>年初</w:t>
            </w:r>
            <w:r>
              <w:rPr>
                <w:rFonts w:hint="eastAsia" w:ascii="宋体" w:hAnsi="宋体" w:cs="宋体"/>
                <w:color w:val="000000"/>
                <w:kern w:val="0"/>
                <w:sz w:val="22"/>
                <w:szCs w:val="22"/>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功能分类</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注：本表反映</w:t>
            </w:r>
            <w:r>
              <w:rPr>
                <w:rFonts w:hint="eastAsia" w:ascii="宋体" w:hAnsi="宋体" w:cs="宋体"/>
                <w:color w:val="000000"/>
                <w:kern w:val="0"/>
                <w:sz w:val="22"/>
                <w:szCs w:val="22"/>
                <w:highlight w:val="none"/>
                <w:lang w:eastAsia="zh-CN" w:bidi="ar"/>
              </w:rPr>
              <w:t>单位</w:t>
            </w:r>
            <w:r>
              <w:rPr>
                <w:rFonts w:hint="eastAsia" w:ascii="宋体" w:hAnsi="宋体" w:cs="宋体"/>
                <w:color w:val="000000"/>
                <w:kern w:val="0"/>
                <w:sz w:val="22"/>
                <w:szCs w:val="22"/>
                <w:highlight w:val="none"/>
                <w:lang w:bidi="ar"/>
              </w:rPr>
              <w:t>本年度政府性基金预算财政拨款收入、支出及结转和结余情况。</w:t>
            </w:r>
          </w:p>
          <w:p>
            <w:pPr>
              <w:widowControl/>
              <w:jc w:val="left"/>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说明：我</w:t>
            </w:r>
            <w:r>
              <w:rPr>
                <w:rFonts w:hint="eastAsia" w:ascii="宋体" w:hAnsi="宋体" w:cs="宋体"/>
                <w:color w:val="000000"/>
                <w:sz w:val="22"/>
                <w:szCs w:val="22"/>
                <w:highlight w:val="none"/>
                <w:lang w:eastAsia="zh-CN"/>
              </w:rPr>
              <w:t>单位</w:t>
            </w:r>
            <w:r>
              <w:rPr>
                <w:rFonts w:hint="eastAsia" w:ascii="宋体" w:hAnsi="宋体" w:cs="宋体"/>
                <w:color w:val="000000"/>
                <w:sz w:val="22"/>
                <w:szCs w:val="22"/>
                <w:highlight w:val="none"/>
              </w:rPr>
              <w:t>没有政府性基金收入，也没有使用政府性基金安排的支出，故本表无数据。</w:t>
            </w:r>
          </w:p>
          <w:p>
            <w:pPr>
              <w:widowControl/>
              <w:jc w:val="left"/>
              <w:textAlignment w:val="center"/>
              <w:rPr>
                <w:rFonts w:ascii="宋体" w:hAnsi="宋体" w:cs="宋体"/>
                <w:color w:val="000000"/>
                <w:sz w:val="22"/>
                <w:szCs w:val="22"/>
                <w:highlight w:val="none"/>
              </w:rPr>
            </w:pPr>
          </w:p>
          <w:p>
            <w:pPr>
              <w:widowControl/>
              <w:jc w:val="center"/>
              <w:textAlignment w:val="center"/>
              <w:rPr>
                <w:rFonts w:hint="eastAsia" w:ascii="宋体" w:hAnsi="宋体" w:cs="宋体"/>
                <w:color w:val="000000"/>
                <w:sz w:val="22"/>
                <w:szCs w:val="22"/>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48"/>
          <w:szCs w:val="48"/>
          <w:highlight w:val="none"/>
        </w:rPr>
      </w:pPr>
    </w:p>
    <w:p>
      <w:pPr>
        <w:widowControl/>
        <w:jc w:val="left"/>
        <w:rPr>
          <w:rFonts w:ascii="黑体" w:hAnsi="宋体" w:eastAsia="黑体" w:cs="宋体"/>
          <w:kern w:val="0"/>
          <w:sz w:val="48"/>
          <w:szCs w:val="48"/>
          <w:highlight w:val="none"/>
        </w:rPr>
      </w:pPr>
    </w:p>
    <w:p>
      <w:pPr>
        <w:widowControl/>
        <w:jc w:val="left"/>
        <w:rPr>
          <w:rFonts w:ascii="黑体" w:hAnsi="宋体" w:eastAsia="黑体" w:cs="宋体"/>
          <w:kern w:val="0"/>
          <w:sz w:val="48"/>
          <w:szCs w:val="48"/>
          <w:highlight w:val="none"/>
        </w:rPr>
      </w:pPr>
    </w:p>
    <w:p>
      <w:pPr>
        <w:widowControl/>
        <w:jc w:val="left"/>
        <w:rPr>
          <w:rFonts w:ascii="黑体" w:hAnsi="宋体" w:eastAsia="黑体" w:cs="宋体"/>
          <w:kern w:val="0"/>
          <w:sz w:val="48"/>
          <w:szCs w:val="48"/>
          <w:highlight w:val="none"/>
        </w:rPr>
      </w:pPr>
    </w:p>
    <w:p>
      <w:pPr>
        <w:widowControl/>
        <w:jc w:val="left"/>
        <w:rPr>
          <w:rFonts w:ascii="黑体" w:hAnsi="宋体" w:eastAsia="黑体" w:cs="宋体"/>
          <w:kern w:val="0"/>
          <w:sz w:val="48"/>
          <w:szCs w:val="48"/>
          <w:highlight w:val="none"/>
        </w:rPr>
      </w:pPr>
    </w:p>
    <w:p>
      <w:pPr>
        <w:pStyle w:val="2"/>
        <w:rPr>
          <w:rFonts w:ascii="黑体" w:hAnsi="宋体" w:eastAsia="黑体" w:cs="宋体"/>
          <w:kern w:val="0"/>
          <w:sz w:val="48"/>
          <w:szCs w:val="48"/>
          <w:highlight w:val="none"/>
        </w:rPr>
      </w:pPr>
    </w:p>
    <w:p>
      <w:pPr>
        <w:pStyle w:val="2"/>
        <w:rPr>
          <w:rFonts w:ascii="黑体" w:hAnsi="宋体" w:eastAsia="黑体" w:cs="宋体"/>
          <w:kern w:val="0"/>
          <w:sz w:val="48"/>
          <w:szCs w:val="48"/>
          <w:highlight w:val="none"/>
        </w:rPr>
      </w:pPr>
    </w:p>
    <w:p>
      <w:pPr>
        <w:pStyle w:val="2"/>
        <w:rPr>
          <w:rFonts w:ascii="黑体" w:hAnsi="宋体" w:eastAsia="黑体" w:cs="宋体"/>
          <w:kern w:val="0"/>
          <w:sz w:val="48"/>
          <w:szCs w:val="48"/>
          <w:highlight w:val="none"/>
        </w:rPr>
      </w:pPr>
    </w:p>
    <w:p>
      <w:pPr>
        <w:pStyle w:val="2"/>
        <w:ind w:left="0" w:leftChars="0" w:firstLine="0" w:firstLineChars="0"/>
        <w:rPr>
          <w:rFonts w:ascii="黑体" w:hAnsi="宋体" w:eastAsia="黑体" w:cs="宋体"/>
          <w:kern w:val="0"/>
          <w:sz w:val="48"/>
          <w:szCs w:val="48"/>
          <w:highlight w:val="none"/>
        </w:rPr>
      </w:pPr>
    </w:p>
    <w:p>
      <w:pPr>
        <w:widowControl/>
        <w:jc w:val="left"/>
        <w:rPr>
          <w:rFonts w:hint="eastAsia" w:ascii="黑体" w:hAnsi="宋体" w:eastAsia="黑体" w:cs="宋体"/>
          <w:kern w:val="0"/>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4079.94</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381.48</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10.31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代发市直企业退休教师生活补贴和增资差额</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3953.57</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3953.57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%；上级补助收入0.00万元，占0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%；事业收入0.00万元，占0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%；经营收入0.00万元，占0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%；附属单位上缴收入0.00万元，占0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%；其他收入0.00万元，占0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4079.94</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3114.19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76.33</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965.75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23.67</w:t>
      </w:r>
      <w:r>
        <w:rPr>
          <w:rFonts w:hint="eastAsia" w:ascii="仿宋_GB2312" w:hAnsi="仿宋_GB2312" w:eastAsia="仿宋_GB2312" w:cs="仿宋_GB2312"/>
          <w:sz w:val="32"/>
          <w:szCs w:val="32"/>
          <w:highlight w:val="none"/>
        </w:rPr>
        <w:t>%；上缴上级支出0.00万元，占0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%；经营支出0.00万元，占0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%；对附属单位补助支出0.00万元，占0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4079.94</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381.48</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10.31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代发市直企业退休教师生活补贴和增资差额</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0"/>
          <w:szCs w:val="30"/>
          <w:highlight w:val="none"/>
        </w:rPr>
      </w:pPr>
      <w:r>
        <w:rPr>
          <w:rFonts w:hint="eastAsia" w:ascii="楷体_GB2312" w:hAnsi="楷体_GB2312" w:eastAsia="楷体_GB2312" w:cs="楷体_GB2312"/>
          <w:b/>
          <w:bCs/>
          <w:sz w:val="32"/>
          <w:szCs w:val="32"/>
          <w:highlight w:val="none"/>
        </w:rPr>
        <w:t>（一）总体情况</w:t>
      </w: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0"/>
          <w:szCs w:val="30"/>
          <w:highlight w:val="none"/>
        </w:rPr>
        <w:t>2021</w:t>
      </w:r>
      <w:r>
        <w:rPr>
          <w:rFonts w:hint="eastAsia" w:ascii="仿宋_GB2312" w:hAnsi="仿宋_GB2312" w:eastAsia="仿宋_GB2312" w:cs="仿宋_GB2312"/>
          <w:sz w:val="30"/>
          <w:szCs w:val="30"/>
          <w:highlight w:val="none"/>
        </w:rPr>
        <w:t>年度一般公共预算财</w:t>
      </w:r>
      <w:r>
        <w:rPr>
          <w:rFonts w:hint="eastAsia" w:ascii="仿宋_GB2312" w:hAnsi="仿宋_GB2312" w:eastAsia="仿宋_GB2312" w:cs="仿宋_GB2312"/>
          <w:sz w:val="32"/>
          <w:szCs w:val="32"/>
          <w:highlight w:val="none"/>
        </w:rPr>
        <w:t>政拨款支出</w:t>
      </w:r>
      <w:r>
        <w:rPr>
          <w:rFonts w:hint="eastAsia" w:ascii="仿宋_GB2312" w:hAnsi="仿宋_GB2312" w:eastAsia="仿宋_GB2312" w:cs="仿宋_GB2312"/>
          <w:sz w:val="32"/>
          <w:szCs w:val="32"/>
          <w:highlight w:val="none"/>
          <w:lang w:val="en-US" w:eastAsia="zh-CN"/>
        </w:rPr>
        <w:t>4079.94</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598.85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17.20</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代发市直企业退休教师生活补贴和增资差额</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4079.94</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12.17</w:t>
      </w:r>
      <w:r>
        <w:rPr>
          <w:rFonts w:hint="eastAsia" w:ascii="仿宋_GB2312" w:hAnsi="仿宋_GB2312" w:eastAsia="仿宋_GB2312" w:cs="仿宋_GB2312"/>
          <w:sz w:val="32"/>
          <w:szCs w:val="32"/>
          <w:highlight w:val="none"/>
        </w:rPr>
        <w:t>万元，占0.</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%；社会保障和就业（类）支出</w:t>
      </w:r>
      <w:r>
        <w:rPr>
          <w:rFonts w:hint="eastAsia" w:ascii="仿宋_GB2312" w:hAnsi="仿宋_GB2312" w:eastAsia="仿宋_GB2312" w:cs="仿宋_GB2312"/>
          <w:sz w:val="32"/>
          <w:szCs w:val="32"/>
          <w:highlight w:val="none"/>
          <w:lang w:val="en-US" w:eastAsia="zh-CN"/>
        </w:rPr>
        <w:t>3958.99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97.03</w:t>
      </w:r>
      <w:r>
        <w:rPr>
          <w:rFonts w:hint="eastAsia" w:ascii="仿宋_GB2312" w:hAnsi="仿宋_GB2312" w:eastAsia="仿宋_GB2312" w:cs="仿宋_GB2312"/>
          <w:sz w:val="32"/>
          <w:szCs w:val="32"/>
          <w:highlight w:val="none"/>
        </w:rPr>
        <w:t>%；卫生健康（类）支出</w:t>
      </w:r>
      <w:r>
        <w:rPr>
          <w:rFonts w:hint="eastAsia" w:ascii="仿宋_GB2312" w:hAnsi="仿宋_GB2312" w:eastAsia="仿宋_GB2312" w:cs="仿宋_GB2312"/>
          <w:sz w:val="32"/>
          <w:szCs w:val="32"/>
          <w:highlight w:val="none"/>
          <w:lang w:val="en-US" w:eastAsia="zh-CN"/>
        </w:rPr>
        <w:t>108.78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2.67</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2717.58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4079.94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150.13</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年初预算为12.17万元，支出决算为12.17万元，完成年初预算的100.00%。决算数与年初预算数不存在差异。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2．社会保障和就业支出（类）人力资源和社会保障管理事务（款）行政运行（项）。</w:t>
      </w:r>
      <w:r>
        <w:rPr>
          <w:rFonts w:hint="eastAsia" w:ascii="仿宋_GB2312" w:hAnsi="仿宋_GB2312" w:eastAsia="仿宋_GB2312" w:cs="仿宋_GB2312"/>
          <w:color w:val="auto"/>
          <w:sz w:val="32"/>
          <w:szCs w:val="32"/>
          <w:highlight w:val="none"/>
          <w:lang w:val="en-US" w:eastAsia="zh-CN"/>
        </w:rPr>
        <w:t>年初预算为2335.21万元，支出决算为2372.70万元，完成年初预算的101.61%。决算数与年初预算数存在差异的主要原因是</w:t>
      </w:r>
      <w:r>
        <w:rPr>
          <w:rFonts w:hint="eastAsia" w:ascii="仿宋_GB2312" w:hAnsi="仿宋_GB2312" w:eastAsia="仿宋_GB2312" w:cs="仿宋_GB2312"/>
          <w:color w:val="auto"/>
          <w:kern w:val="2"/>
          <w:sz w:val="32"/>
          <w:szCs w:val="32"/>
          <w:highlight w:val="none"/>
          <w:lang w:val="en-US" w:eastAsia="zh-CN" w:bidi="ar-SA"/>
        </w:rPr>
        <w:t>新增财政供养人员</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年初预算为82.98万元，支出决算为82.84万元，完成年初预算的99.83%。决算数与年初预算数存在差异的主要原因是年初发放退休人员2020年第四季度平时健康休养费与2021年预算发放标准存在差异。</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年初预算为0.00万元，支出决算为388.22万元。决算数与年初预算数存在差异的主要原因是转入本单位基金户代发市直企业退休教师生活补贴和增资差额。</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5．社会保障和就业支出（类）行政事业单位养老支出（款）机关事业单位基本养老保险缴费支出（项）。</w:t>
      </w:r>
      <w:r>
        <w:rPr>
          <w:rFonts w:hint="eastAsia" w:ascii="仿宋_GB2312" w:hAnsi="仿宋_GB2312" w:eastAsia="仿宋_GB2312" w:cs="仿宋_GB2312"/>
          <w:b w:val="0"/>
          <w:bCs w:val="0"/>
          <w:color w:val="auto"/>
          <w:sz w:val="32"/>
          <w:szCs w:val="32"/>
          <w:highlight w:val="none"/>
          <w:lang w:val="en-US" w:eastAsia="zh-CN"/>
        </w:rPr>
        <w:t>年初预算为141.1万元，支出决算为149.48万元，完成年初预算的105.94%。决算数与年初预算数存在差异的主要原因是新增财政供养人员。</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6．社会保障和就业支出（类）企业改革补助（款）其他企业改革发展补助（项）。</w:t>
      </w:r>
      <w:r>
        <w:rPr>
          <w:rFonts w:hint="eastAsia" w:ascii="仿宋_GB2312" w:hAnsi="仿宋_GB2312" w:eastAsia="仿宋_GB2312" w:cs="仿宋_GB2312"/>
          <w:b w:val="0"/>
          <w:bCs w:val="0"/>
          <w:color w:val="auto"/>
          <w:sz w:val="32"/>
          <w:szCs w:val="32"/>
          <w:highlight w:val="none"/>
          <w:lang w:val="en-US" w:eastAsia="zh-CN"/>
        </w:rPr>
        <w:t>年初预算为0.00万元，支出决算为965.75万元。决算数与年初预算数存在差异的主要原因是转入本单位基金支出户代发2021年度职教幼教退休教师待遇补助、差额自收自支事业单位离休干部离休费及公用特需、企业离休干部生活补助。</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7.卫生健康支出（类）行政事业单位医疗（款）行政单位医疗（项）。</w:t>
      </w:r>
      <w:r>
        <w:rPr>
          <w:rFonts w:hint="eastAsia" w:ascii="仿宋_GB2312" w:hAnsi="仿宋_GB2312" w:eastAsia="仿宋_GB2312" w:cs="仿宋_GB2312"/>
          <w:b w:val="0"/>
          <w:bCs w:val="0"/>
          <w:color w:val="auto"/>
          <w:sz w:val="32"/>
          <w:szCs w:val="32"/>
          <w:highlight w:val="none"/>
          <w:lang w:val="en-US" w:eastAsia="zh-CN"/>
        </w:rPr>
        <w:t>年初预算为74.84万元，支出决算为70.65万元，完成年初预算的94.40%。决算数与年初预算数存在差异的主要原因是1-6月医疗保险缴费基数低于2021年预算。</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8.卫生健康支出（类）行政事业单位医疗（款）公务员医疗补助（项）。</w:t>
      </w:r>
      <w:r>
        <w:rPr>
          <w:rFonts w:hint="eastAsia" w:ascii="仿宋_GB2312" w:hAnsi="仿宋_GB2312" w:eastAsia="仿宋_GB2312" w:cs="仿宋_GB2312"/>
          <w:b w:val="0"/>
          <w:bCs w:val="0"/>
          <w:color w:val="auto"/>
          <w:sz w:val="32"/>
          <w:szCs w:val="32"/>
          <w:highlight w:val="none"/>
          <w:lang w:val="en-US" w:eastAsia="zh-CN"/>
        </w:rPr>
        <w:t>年初预算为71.28万元，支出决算为38.13万元，完成年初预算的53.49%。决算数与年初预算数存在差异的主要原因是部分县（市、区）没有执行公务员医疗补助政策。</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3114.19</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2873.43</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eastAsia="zh-CN"/>
        </w:rPr>
        <w:t>职工基本医疗保险缴费、公务员医疗补助缴费、其他社会保障缴费、</w:t>
      </w:r>
      <w:r>
        <w:rPr>
          <w:rFonts w:hint="eastAsia" w:ascii="仿宋_GB2312" w:hAnsi="仿宋_GB2312" w:eastAsia="仿宋_GB2312" w:cs="仿宋_GB2312"/>
          <w:sz w:val="32"/>
          <w:szCs w:val="32"/>
          <w:highlight w:val="none"/>
        </w:rPr>
        <w:t>住房公积金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其他工资福利支出、退休费、生活补助；公用经费</w:t>
      </w:r>
      <w:r>
        <w:rPr>
          <w:rFonts w:hint="eastAsia" w:ascii="仿宋_GB2312" w:hAnsi="仿宋_GB2312" w:eastAsia="仿宋_GB2312" w:cs="仿宋_GB2312"/>
          <w:sz w:val="32"/>
          <w:szCs w:val="32"/>
          <w:highlight w:val="none"/>
          <w:lang w:val="en-US" w:eastAsia="zh-CN"/>
        </w:rPr>
        <w:t>240.76</w:t>
      </w:r>
      <w:r>
        <w:rPr>
          <w:rFonts w:hint="eastAsia" w:ascii="仿宋_GB2312" w:hAnsi="仿宋_GB2312" w:eastAsia="仿宋_GB2312" w:cs="仿宋_GB2312"/>
          <w:sz w:val="32"/>
          <w:szCs w:val="32"/>
          <w:highlight w:val="none"/>
        </w:rPr>
        <w:t>万元，主要包括：办公费、印刷费、邮电费、差旅费、维修（护）费、劳务费、工会经费、福利费、其他交通费用、其他商品和服务支出、办公设备购置</w:t>
      </w:r>
      <w:r>
        <w:rPr>
          <w:rFonts w:hint="eastAsia" w:ascii="仿宋_GB2312" w:hAnsi="仿宋_GB2312" w:eastAsia="仿宋_GB2312" w:cs="仿宋_GB2312"/>
          <w:sz w:val="32"/>
          <w:szCs w:val="32"/>
          <w:highlight w:val="none"/>
          <w:lang w:eastAsia="zh-CN"/>
        </w:rPr>
        <w:t>、无形资产购置</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万元。决算数与预算数不存在差异。因公出国（境）团组数0个，</w:t>
      </w:r>
      <w:r>
        <w:rPr>
          <w:rFonts w:hint="eastAsia" w:ascii="仿宋_GB2312" w:hAnsi="仿宋_GB2312" w:eastAsia="仿宋_GB2312" w:cs="仿宋_GB2312"/>
          <w:sz w:val="32"/>
          <w:szCs w:val="32"/>
          <w:highlight w:val="none"/>
          <w:lang w:eastAsia="zh-CN"/>
        </w:rPr>
        <w:t>累计</w:t>
      </w:r>
      <w:r>
        <w:rPr>
          <w:rFonts w:hint="eastAsia" w:ascii="仿宋_GB2312" w:hAnsi="仿宋_GB2312" w:eastAsia="仿宋_GB2312" w:cs="仿宋_GB2312"/>
          <w:sz w:val="32"/>
          <w:szCs w:val="32"/>
          <w:highlight w:val="none"/>
        </w:rPr>
        <w:t>0人</w:t>
      </w:r>
      <w:r>
        <w:rPr>
          <w:rFonts w:hint="eastAsia" w:ascii="仿宋_GB2312" w:hAnsi="仿宋_GB2312" w:eastAsia="仿宋_GB2312" w:cs="仿宋_GB2312"/>
          <w:sz w:val="32"/>
          <w:szCs w:val="32"/>
          <w:highlight w:val="none"/>
          <w:lang w:eastAsia="zh-CN"/>
        </w:rPr>
        <w:t>次。</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2021年度政府性基金预算财政拨款支出年初预算为0.00万元，支出决算为0.00万元。不存在项目年末结转和结余资金数额较大</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情况说明：我</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2021年度没有政府性基金收入，也没有使用政府性基金安排的支出。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305.09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240.76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78.91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kern w:val="2"/>
          <w:sz w:val="32"/>
          <w:szCs w:val="32"/>
          <w:highlight w:val="none"/>
          <w:lang w:val="en-US" w:eastAsia="zh-CN" w:bidi="ar-SA"/>
        </w:rPr>
        <w:t>严肃财经纪律，严格管理，缩减开支</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24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严格履行预算绩效管理主体责任，组织相关科室进行线上实操培训，以绩效目标为导向，做好绩效运行监控，提升绩效自评质量，不断提高绩效管理工作水平，充分发挥财政资金使用效益。</w:t>
      </w:r>
    </w:p>
    <w:p>
      <w:pPr>
        <w:keepNext w:val="0"/>
        <w:keepLines w:val="0"/>
        <w:pageBreakBefore w:val="0"/>
        <w:widowControl/>
        <w:kinsoku/>
        <w:wordWrap/>
        <w:overflowPunct/>
        <w:topLinePunct w:val="0"/>
        <w:autoSpaceDE/>
        <w:autoSpaceDN/>
        <w:bidi w:val="0"/>
        <w:adjustRightInd/>
        <w:snapToGrid/>
        <w:spacing w:line="24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财政资金预算配置合理合规，预算执行严格有序，预算管理规范可控，资金效益合乎预期。二是项目绩效自评情况。我单位共有3个项目批复了绩效目标，项目金额965.75万元。其中：</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许昌市社会养老保险中心3个，项目金额965.75万元。</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99分。其中：3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both"/>
        <w:outlineLvl w:val="0"/>
        <w:rPr>
          <w:rFonts w:hint="eastAsia" w:ascii="黑体" w:hAnsi="黑体" w:eastAsia="黑体" w:cs="黑体"/>
          <w:sz w:val="48"/>
          <w:szCs w:val="48"/>
          <w:highlight w:val="none"/>
        </w:rPr>
      </w:pPr>
    </w:p>
    <w:p>
      <w:pPr>
        <w:pStyle w:val="2"/>
        <w:rPr>
          <w:rFonts w:hint="eastAsia"/>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取得的财政预算资金。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和上级单位取得的非财政补助收入。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zNGMyNzhhYzkzMzZjZDhkMzZiODIzZTc3OTk1Y2E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C4070"/>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4B7019F"/>
    <w:rsid w:val="053D4C0D"/>
    <w:rsid w:val="0557532E"/>
    <w:rsid w:val="0799329C"/>
    <w:rsid w:val="08397436"/>
    <w:rsid w:val="086F16A7"/>
    <w:rsid w:val="09F21490"/>
    <w:rsid w:val="0A0F7225"/>
    <w:rsid w:val="0A2B7D82"/>
    <w:rsid w:val="0AC756B6"/>
    <w:rsid w:val="0ADC40E9"/>
    <w:rsid w:val="0AE607F4"/>
    <w:rsid w:val="0B386127"/>
    <w:rsid w:val="0B451598"/>
    <w:rsid w:val="0BEC73F4"/>
    <w:rsid w:val="0C2773B5"/>
    <w:rsid w:val="0C392698"/>
    <w:rsid w:val="0D3C4EE5"/>
    <w:rsid w:val="0D8C215D"/>
    <w:rsid w:val="10BD36F6"/>
    <w:rsid w:val="11BF0649"/>
    <w:rsid w:val="123E3E08"/>
    <w:rsid w:val="133212F4"/>
    <w:rsid w:val="13D22E22"/>
    <w:rsid w:val="161C2DFF"/>
    <w:rsid w:val="16373578"/>
    <w:rsid w:val="16D3336B"/>
    <w:rsid w:val="17200028"/>
    <w:rsid w:val="17806C36"/>
    <w:rsid w:val="17A74F62"/>
    <w:rsid w:val="17C8729C"/>
    <w:rsid w:val="18A47774"/>
    <w:rsid w:val="195939BC"/>
    <w:rsid w:val="1A8D28EB"/>
    <w:rsid w:val="1A9F2D78"/>
    <w:rsid w:val="1AD622CB"/>
    <w:rsid w:val="1B2E6FD8"/>
    <w:rsid w:val="1B877D21"/>
    <w:rsid w:val="1C4319A9"/>
    <w:rsid w:val="1E443B4B"/>
    <w:rsid w:val="1E994F4A"/>
    <w:rsid w:val="1EAF0224"/>
    <w:rsid w:val="1F2230A4"/>
    <w:rsid w:val="20210932"/>
    <w:rsid w:val="202448E0"/>
    <w:rsid w:val="20F614FE"/>
    <w:rsid w:val="21302EEA"/>
    <w:rsid w:val="22376FB5"/>
    <w:rsid w:val="23E152D7"/>
    <w:rsid w:val="23EE2489"/>
    <w:rsid w:val="255D43C8"/>
    <w:rsid w:val="26714EF8"/>
    <w:rsid w:val="26876BDD"/>
    <w:rsid w:val="26FE0936"/>
    <w:rsid w:val="2714632A"/>
    <w:rsid w:val="27541E73"/>
    <w:rsid w:val="27B0539E"/>
    <w:rsid w:val="29365CF8"/>
    <w:rsid w:val="299469B3"/>
    <w:rsid w:val="2A805789"/>
    <w:rsid w:val="2ADC0D75"/>
    <w:rsid w:val="2B4A0E52"/>
    <w:rsid w:val="2C975890"/>
    <w:rsid w:val="2DEF21BB"/>
    <w:rsid w:val="2E4A2F05"/>
    <w:rsid w:val="2ECC1061"/>
    <w:rsid w:val="2FA476AD"/>
    <w:rsid w:val="303F7540"/>
    <w:rsid w:val="31DD00BF"/>
    <w:rsid w:val="3208063B"/>
    <w:rsid w:val="3293174C"/>
    <w:rsid w:val="32BB38D4"/>
    <w:rsid w:val="32C9376D"/>
    <w:rsid w:val="33780472"/>
    <w:rsid w:val="33AF0905"/>
    <w:rsid w:val="355932F4"/>
    <w:rsid w:val="35611882"/>
    <w:rsid w:val="36746FC3"/>
    <w:rsid w:val="368763AE"/>
    <w:rsid w:val="395D59E7"/>
    <w:rsid w:val="39A93932"/>
    <w:rsid w:val="3A915562"/>
    <w:rsid w:val="3B8D4765"/>
    <w:rsid w:val="3C000DBA"/>
    <w:rsid w:val="3D941D44"/>
    <w:rsid w:val="3DC045D3"/>
    <w:rsid w:val="3E504FFB"/>
    <w:rsid w:val="3E615CD0"/>
    <w:rsid w:val="3E9C47F6"/>
    <w:rsid w:val="3F8B0112"/>
    <w:rsid w:val="3FAB3095"/>
    <w:rsid w:val="3FE45947"/>
    <w:rsid w:val="41242965"/>
    <w:rsid w:val="423627D6"/>
    <w:rsid w:val="435671EA"/>
    <w:rsid w:val="43D32A1C"/>
    <w:rsid w:val="440809E9"/>
    <w:rsid w:val="442407A6"/>
    <w:rsid w:val="44805EA1"/>
    <w:rsid w:val="45710696"/>
    <w:rsid w:val="45784A51"/>
    <w:rsid w:val="46142B1B"/>
    <w:rsid w:val="46146B81"/>
    <w:rsid w:val="475C0A03"/>
    <w:rsid w:val="47E60DD0"/>
    <w:rsid w:val="48337E98"/>
    <w:rsid w:val="48735039"/>
    <w:rsid w:val="492C684B"/>
    <w:rsid w:val="49500594"/>
    <w:rsid w:val="49E7604E"/>
    <w:rsid w:val="4BF67CDD"/>
    <w:rsid w:val="4D173441"/>
    <w:rsid w:val="4D603DD6"/>
    <w:rsid w:val="4EBF010F"/>
    <w:rsid w:val="4F471EB0"/>
    <w:rsid w:val="51331326"/>
    <w:rsid w:val="51740A7F"/>
    <w:rsid w:val="51A5541E"/>
    <w:rsid w:val="51C96242"/>
    <w:rsid w:val="52E4674E"/>
    <w:rsid w:val="53906AE1"/>
    <w:rsid w:val="54F46F60"/>
    <w:rsid w:val="55A37BEA"/>
    <w:rsid w:val="56362CD2"/>
    <w:rsid w:val="5784687B"/>
    <w:rsid w:val="57846959"/>
    <w:rsid w:val="578E6A87"/>
    <w:rsid w:val="579B0B1D"/>
    <w:rsid w:val="57AE3BDC"/>
    <w:rsid w:val="5AC2203A"/>
    <w:rsid w:val="5BDA1E2A"/>
    <w:rsid w:val="5C0221E1"/>
    <w:rsid w:val="5CBB3334"/>
    <w:rsid w:val="5D115FAF"/>
    <w:rsid w:val="60F26575"/>
    <w:rsid w:val="61E60E8F"/>
    <w:rsid w:val="62811722"/>
    <w:rsid w:val="62E75A72"/>
    <w:rsid w:val="64571880"/>
    <w:rsid w:val="649125B6"/>
    <w:rsid w:val="64BD6C6D"/>
    <w:rsid w:val="652F4C1A"/>
    <w:rsid w:val="666D37F1"/>
    <w:rsid w:val="67087D8F"/>
    <w:rsid w:val="671F687E"/>
    <w:rsid w:val="67F415F8"/>
    <w:rsid w:val="682640D1"/>
    <w:rsid w:val="684B73E5"/>
    <w:rsid w:val="6A047A2A"/>
    <w:rsid w:val="6CB5427B"/>
    <w:rsid w:val="6CD659CA"/>
    <w:rsid w:val="6E1C24F9"/>
    <w:rsid w:val="6E462347"/>
    <w:rsid w:val="6EFB7548"/>
    <w:rsid w:val="6F2257C0"/>
    <w:rsid w:val="6F3831C3"/>
    <w:rsid w:val="6F8001BF"/>
    <w:rsid w:val="6F8B71C1"/>
    <w:rsid w:val="70753482"/>
    <w:rsid w:val="707B522A"/>
    <w:rsid w:val="73194D05"/>
    <w:rsid w:val="73A83B0E"/>
    <w:rsid w:val="740511E0"/>
    <w:rsid w:val="744D3EF9"/>
    <w:rsid w:val="74794411"/>
    <w:rsid w:val="75867C40"/>
    <w:rsid w:val="75A23164"/>
    <w:rsid w:val="75B10B26"/>
    <w:rsid w:val="76432199"/>
    <w:rsid w:val="76F44829"/>
    <w:rsid w:val="77A267C0"/>
    <w:rsid w:val="78882278"/>
    <w:rsid w:val="78B118A6"/>
    <w:rsid w:val="79135044"/>
    <w:rsid w:val="79A85840"/>
    <w:rsid w:val="7A7D0F99"/>
    <w:rsid w:val="7E230FA6"/>
    <w:rsid w:val="7E4A0E7C"/>
    <w:rsid w:val="7EFD449D"/>
    <w:rsid w:val="7F457A97"/>
    <w:rsid w:val="AD5867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3">
    <w:name w:val="Balloon Text"/>
    <w:basedOn w:val="1"/>
    <w:link w:val="12"/>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cs="宋体"/>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nhideWhenUsed/>
    <w:qFormat/>
    <w:uiPriority w:val="99"/>
    <w:rPr>
      <w:color w:val="800080"/>
      <w:u w:val="single"/>
    </w:rPr>
  </w:style>
  <w:style w:type="character" w:styleId="11">
    <w:name w:val="Hyperlink"/>
    <w:unhideWhenUsed/>
    <w:qFormat/>
    <w:uiPriority w:val="99"/>
    <w:rPr>
      <w:color w:val="0000FF"/>
      <w:u w:val="single"/>
    </w:rPr>
  </w:style>
  <w:style w:type="character" w:customStyle="1" w:styleId="12">
    <w:name w:val="批注框文本 Char"/>
    <w:link w:val="3"/>
    <w:semiHidden/>
    <w:qFormat/>
    <w:uiPriority w:val="99"/>
    <w:rPr>
      <w:kern w:val="2"/>
      <w:sz w:val="18"/>
      <w:szCs w:val="18"/>
    </w:rPr>
  </w:style>
  <w:style w:type="character" w:customStyle="1" w:styleId="13">
    <w:name w:val="页脚 Char"/>
    <w:link w:val="4"/>
    <w:qFormat/>
    <w:uiPriority w:val="99"/>
    <w:rPr>
      <w:kern w:val="2"/>
      <w:sz w:val="18"/>
      <w:szCs w:val="18"/>
    </w:rPr>
  </w:style>
  <w:style w:type="character" w:customStyle="1" w:styleId="14">
    <w:name w:val="页眉 Char"/>
    <w:link w:val="5"/>
    <w:qFormat/>
    <w:uiPriority w:val="99"/>
    <w:rPr>
      <w:kern w:val="2"/>
      <w:sz w:val="18"/>
      <w:szCs w:val="18"/>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21"/>
    <w:qFormat/>
    <w:uiPriority w:val="0"/>
    <w:rPr>
      <w:rFonts w:hint="eastAsia" w:ascii="宋体" w:hAnsi="宋体" w:eastAsia="宋体" w:cs="宋体"/>
      <w:color w:val="000000"/>
      <w:sz w:val="22"/>
      <w:szCs w:val="22"/>
      <w:u w:val="none"/>
    </w:rPr>
  </w:style>
  <w:style w:type="character" w:customStyle="1" w:styleId="17">
    <w:name w:val="font51"/>
    <w:qFormat/>
    <w:uiPriority w:val="0"/>
    <w:rPr>
      <w:rFonts w:hint="eastAsia" w:ascii="宋体" w:hAnsi="宋体" w:eastAsia="宋体" w:cs="宋体"/>
      <w:color w:val="000000"/>
      <w:sz w:val="24"/>
      <w:szCs w:val="24"/>
      <w:u w:val="none"/>
    </w:rPr>
  </w:style>
  <w:style w:type="character" w:customStyle="1" w:styleId="18">
    <w:name w:val="font11"/>
    <w:qFormat/>
    <w:uiPriority w:val="0"/>
    <w:rPr>
      <w:rFonts w:hint="eastAsia" w:ascii="宋体" w:hAnsi="宋体" w:eastAsia="宋体" w:cs="宋体"/>
      <w:color w:val="000000"/>
      <w:sz w:val="20"/>
      <w:szCs w:val="20"/>
      <w:u w:val="none"/>
    </w:rPr>
  </w:style>
  <w:style w:type="character" w:customStyle="1" w:styleId="19">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8147</Words>
  <Characters>10151</Characters>
  <Lines>60</Lines>
  <Paragraphs>16</Paragraphs>
  <TotalTime>138</TotalTime>
  <ScaleCrop>false</ScaleCrop>
  <LinksUpToDate>false</LinksUpToDate>
  <CharactersWithSpaces>10652</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WPS_486400848</cp:lastModifiedBy>
  <cp:lastPrinted>2018-07-24T18:50:00Z</cp:lastPrinted>
  <dcterms:modified xsi:type="dcterms:W3CDTF">2023-05-10T07:28:57Z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F4F7C53DA2C74BFDA388F1063870EABE</vt:lpwstr>
  </property>
</Properties>
</file>