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许昌市畜牧技术推广站单位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eastAsia="zh-CN"/>
        </w:rPr>
        <w:t>许昌市畜牧技术推广站</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 xml:space="preserve">第一部分  </w:t>
      </w:r>
      <w:r>
        <w:rPr>
          <w:rFonts w:hint="eastAsia" w:ascii="黑体" w:hAnsi="黑体" w:eastAsia="黑体" w:cs="黑体"/>
          <w:color w:val="auto"/>
          <w:sz w:val="48"/>
          <w:szCs w:val="48"/>
          <w:highlight w:val="none"/>
          <w:lang w:eastAsia="zh-CN"/>
        </w:rPr>
        <w:t>许昌市畜牧技术推广站</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wordWrap/>
        <w:adjustRightInd/>
        <w:snapToGrid/>
        <w:spacing w:before="0" w:after="0" w:line="590" w:lineRule="exact"/>
        <w:ind w:firstLine="640" w:firstLineChars="200"/>
        <w:jc w:val="left"/>
        <w:textAlignment w:val="auto"/>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单位</w:t>
      </w:r>
      <w:r>
        <w:rPr>
          <w:rFonts w:hint="eastAsia" w:ascii="黑体" w:hAnsi="黑体" w:eastAsia="黑体" w:cs="黑体"/>
          <w:bCs/>
          <w:color w:val="auto"/>
          <w:sz w:val="32"/>
          <w:szCs w:val="32"/>
          <w:highlight w:val="none"/>
        </w:rPr>
        <w:t>职责</w:t>
      </w:r>
    </w:p>
    <w:p>
      <w:pPr>
        <w:wordWrap/>
        <w:adjustRightInd/>
        <w:snapToGrid/>
        <w:spacing w:before="0" w:after="0" w:line="590" w:lineRule="exact"/>
        <w:ind w:left="36" w:right="13" w:firstLine="643"/>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(一) 贯彻落实畜牧业生产及畜禽良种保护、饲草饲料 生产等法律法规和政策。</w:t>
      </w:r>
    </w:p>
    <w:p>
      <w:pPr>
        <w:wordWrap/>
        <w:adjustRightInd/>
        <w:snapToGrid/>
        <w:spacing w:before="0" w:after="0" w:line="590" w:lineRule="exact"/>
        <w:ind w:left="36" w:right="13" w:firstLine="643"/>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(二) 承担全市畜禽饲养技术培训、推广普及和科技成 果的转化与利用。</w:t>
      </w:r>
    </w:p>
    <w:p>
      <w:pPr>
        <w:wordWrap/>
        <w:adjustRightInd/>
        <w:snapToGrid/>
        <w:spacing w:before="0" w:after="0" w:line="590" w:lineRule="exact"/>
        <w:ind w:left="36" w:right="13" w:firstLine="643"/>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(三) 制定并组织实施全市畜禽改良规划和畜禽改良技 术指导与培训。</w:t>
      </w:r>
    </w:p>
    <w:p>
      <w:pPr>
        <w:wordWrap/>
        <w:adjustRightInd/>
        <w:snapToGrid/>
        <w:spacing w:before="0" w:after="0" w:line="590" w:lineRule="exact"/>
        <w:ind w:left="36" w:right="13" w:firstLine="643"/>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(四) 负责全市畜禽良种引进、繁育发展与普及。</w:t>
      </w:r>
    </w:p>
    <w:p>
      <w:pPr>
        <w:wordWrap/>
        <w:adjustRightInd/>
        <w:snapToGrid/>
        <w:spacing w:before="0" w:after="0" w:line="590" w:lineRule="exact"/>
        <w:ind w:left="36" w:right="13" w:firstLine="643"/>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(五) 承担全市饲草饲料资源的开发利用。</w:t>
      </w:r>
    </w:p>
    <w:p>
      <w:pPr>
        <w:wordWrap/>
        <w:adjustRightInd/>
        <w:snapToGrid/>
        <w:spacing w:before="0" w:after="0" w:line="590" w:lineRule="exact"/>
        <w:ind w:left="36" w:right="13" w:firstLine="643"/>
        <w:textAlignment w:val="auto"/>
        <w:rPr>
          <w:rFonts w:hint="eastAsia" w:ascii="仿宋" w:hAnsi="仿宋" w:eastAsia="仿宋" w:cs="仿宋"/>
          <w:color w:val="auto"/>
          <w:spacing w:val="15"/>
          <w:sz w:val="32"/>
          <w:szCs w:val="32"/>
          <w:highlight w:val="none"/>
        </w:rPr>
      </w:pPr>
      <w:r>
        <w:rPr>
          <w:rFonts w:hint="eastAsia" w:ascii="仿宋_GB2312" w:hAnsi="仿宋_GB2312" w:eastAsia="仿宋_GB2312" w:cs="仿宋_GB2312"/>
          <w:color w:val="auto"/>
          <w:kern w:val="0"/>
          <w:sz w:val="32"/>
          <w:szCs w:val="32"/>
          <w:highlight w:val="none"/>
          <w:lang w:eastAsia="zh-CN"/>
        </w:rPr>
        <w:t>(六) 研究推广畜禽饲料配方及配套饲养技术。</w:t>
      </w:r>
    </w:p>
    <w:p>
      <w:pPr>
        <w:widowControl/>
        <w:wordWrap/>
        <w:adjustRightInd/>
        <w:snapToGrid/>
        <w:spacing w:before="0" w:after="0" w:line="590" w:lineRule="exact"/>
        <w:ind w:firstLine="640" w:firstLineChars="200"/>
        <w:jc w:val="left"/>
        <w:textAlignment w:val="auto"/>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ordWrap/>
        <w:adjustRightInd/>
        <w:snapToGrid/>
        <w:spacing w:before="0" w:after="0" w:line="590" w:lineRule="exact"/>
        <w:ind w:left="36" w:right="13" w:firstLine="643"/>
        <w:textAlignment w:val="auto"/>
        <w:rPr>
          <w:rFonts w:ascii="仿宋" w:hAnsi="仿宋" w:eastAsia="仿宋" w:cs="仿宋"/>
          <w:color w:val="auto"/>
          <w:sz w:val="31"/>
          <w:szCs w:val="31"/>
          <w:highlight w:val="none"/>
        </w:rPr>
      </w:pPr>
      <w:r>
        <w:rPr>
          <w:rFonts w:hint="eastAsia" w:ascii="仿宋_GB2312" w:hAnsi="仿宋_GB2312" w:eastAsia="仿宋_GB2312" w:cs="仿宋_GB2312"/>
          <w:color w:val="auto"/>
          <w:kern w:val="0"/>
          <w:sz w:val="32"/>
          <w:szCs w:val="32"/>
          <w:highlight w:val="none"/>
          <w:lang w:eastAsia="zh-CN"/>
        </w:rPr>
        <w:t>许昌市畜牧技术推广站内</w:t>
      </w:r>
      <w:r>
        <w:rPr>
          <w:rFonts w:hint="eastAsia" w:ascii="仿宋_GB2312" w:hAnsi="仿宋_GB2312" w:eastAsia="仿宋_GB2312" w:cs="仿宋_GB2312"/>
          <w:color w:val="auto"/>
          <w:kern w:val="0"/>
          <w:sz w:val="32"/>
          <w:szCs w:val="32"/>
          <w:highlight w:val="none"/>
        </w:rPr>
        <w:t>设</w:t>
      </w:r>
      <w:r>
        <w:rPr>
          <w:rFonts w:hint="eastAsia" w:ascii="仿宋_GB2312" w:hAnsi="仿宋_GB2312" w:eastAsia="仿宋_GB2312" w:cs="仿宋_GB2312"/>
          <w:color w:val="auto"/>
          <w:kern w:val="0"/>
          <w:sz w:val="32"/>
          <w:szCs w:val="32"/>
          <w:highlight w:val="none"/>
          <w:lang w:eastAsia="zh-CN"/>
        </w:rPr>
        <w:t>科室</w:t>
      </w: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个，包括：</w:t>
      </w:r>
      <w:r>
        <w:rPr>
          <w:rFonts w:hint="eastAsia" w:ascii="仿宋_GB2312" w:hAnsi="仿宋_GB2312" w:eastAsia="仿宋_GB2312" w:cs="仿宋_GB2312"/>
          <w:color w:val="auto"/>
          <w:kern w:val="0"/>
          <w:sz w:val="32"/>
          <w:szCs w:val="32"/>
          <w:highlight w:val="none"/>
          <w:lang w:eastAsia="zh-CN"/>
        </w:rPr>
        <w:t>综合办公室</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良种推广科、技术推广科、饲草饲料科</w:t>
      </w:r>
      <w:r>
        <w:rPr>
          <w:rFonts w:ascii="仿宋" w:hAnsi="仿宋" w:eastAsia="仿宋" w:cs="仿宋"/>
          <w:color w:val="auto"/>
          <w:spacing w:val="4"/>
          <w:sz w:val="31"/>
          <w:szCs w:val="31"/>
          <w:highlight w:val="none"/>
        </w:rPr>
        <w:t>。</w:t>
      </w:r>
    </w:p>
    <w:p>
      <w:pPr>
        <w:wordWrap/>
        <w:adjustRightInd/>
        <w:snapToGrid/>
        <w:spacing w:before="0" w:after="0" w:line="590" w:lineRule="exact"/>
        <w:ind w:left="36" w:right="13" w:firstLine="643"/>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从决算单位构成看，</w:t>
      </w:r>
      <w:r>
        <w:rPr>
          <w:rFonts w:hint="eastAsia" w:ascii="仿宋_GB2312" w:hAnsi="仿宋_GB2312" w:eastAsia="仿宋_GB2312" w:cs="仿宋_GB2312"/>
          <w:color w:val="auto"/>
          <w:kern w:val="0"/>
          <w:sz w:val="32"/>
          <w:szCs w:val="32"/>
          <w:highlight w:val="none"/>
          <w:lang w:eastAsia="zh-CN"/>
        </w:rPr>
        <w:t>许昌市畜牧技术推广站单位</w:t>
      </w:r>
      <w:r>
        <w:rPr>
          <w:rFonts w:hint="eastAsia" w:ascii="仿宋_GB2312" w:hAnsi="仿宋_GB2312" w:eastAsia="仿宋_GB2312" w:cs="仿宋_GB2312"/>
          <w:color w:val="auto"/>
          <w:kern w:val="0"/>
          <w:sz w:val="32"/>
          <w:szCs w:val="32"/>
          <w:highlight w:val="none"/>
        </w:rPr>
        <w:t>决算包</w:t>
      </w:r>
      <w:r>
        <w:rPr>
          <w:rFonts w:hint="eastAsia" w:ascii="仿宋_GB2312" w:hAnsi="仿宋_GB2312" w:eastAsia="仿宋_GB2312" w:cs="仿宋_GB2312"/>
          <w:color w:val="auto"/>
          <w:kern w:val="0"/>
          <w:sz w:val="32"/>
          <w:szCs w:val="32"/>
          <w:highlight w:val="none"/>
          <w:lang w:eastAsia="zh-CN"/>
        </w:rPr>
        <w:t>括：本级决算（</w:t>
      </w:r>
      <w:r>
        <w:rPr>
          <w:rFonts w:hint="eastAsia" w:ascii="仿宋_GB2312" w:hAnsi="仿宋_GB2312" w:eastAsia="仿宋_GB2312" w:cs="仿宋_GB2312"/>
          <w:color w:val="auto"/>
          <w:kern w:val="0"/>
          <w:sz w:val="32"/>
          <w:szCs w:val="32"/>
          <w:highlight w:val="none"/>
          <w:lang w:val="en-US" w:eastAsia="zh-CN"/>
        </w:rPr>
        <w:t>1个</w:t>
      </w:r>
      <w:r>
        <w:rPr>
          <w:rFonts w:hint="eastAsia" w:ascii="仿宋_GB2312" w:hAnsi="仿宋_GB2312" w:eastAsia="仿宋_GB2312" w:cs="仿宋_GB2312"/>
          <w:color w:val="auto"/>
          <w:kern w:val="0"/>
          <w:sz w:val="32"/>
          <w:szCs w:val="32"/>
          <w:highlight w:val="none"/>
          <w:lang w:eastAsia="zh-CN"/>
        </w:rPr>
        <w:t>）。</w:t>
      </w:r>
    </w:p>
    <w:p>
      <w:pPr>
        <w:wordWrap/>
        <w:adjustRightInd/>
        <w:snapToGrid/>
        <w:spacing w:before="0" w:after="0" w:line="590" w:lineRule="exact"/>
        <w:ind w:left="36" w:right="13" w:firstLine="643"/>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ordWrap/>
        <w:adjustRightInd/>
        <w:snapToGrid/>
        <w:spacing w:before="0" w:after="0" w:line="590" w:lineRule="exact"/>
        <w:ind w:left="36" w:right="13" w:firstLine="643"/>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lang w:eastAsia="zh-CN"/>
        </w:rPr>
        <w:t>许昌市畜牧技术推广站</w:t>
      </w:r>
    </w:p>
    <w:p>
      <w:pPr>
        <w:widowControl/>
        <w:jc w:val="left"/>
        <w:rPr>
          <w:rFonts w:hint="eastAsia" w:ascii="仿宋_GB2312" w:hAnsi="仿宋_GB2312" w:eastAsia="仿宋_GB2312" w:cs="仿宋_GB2312"/>
          <w:color w:val="auto"/>
          <w:kern w:val="0"/>
          <w:sz w:val="32"/>
          <w:szCs w:val="32"/>
          <w:highlight w:val="none"/>
        </w:rPr>
      </w:pP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3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077"/>
        <w:gridCol w:w="544"/>
        <w:gridCol w:w="3063"/>
        <w:gridCol w:w="3376"/>
        <w:gridCol w:w="545"/>
        <w:gridCol w:w="3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4" w:hRule="atLeast"/>
        </w:trPr>
        <w:tc>
          <w:tcPr>
            <w:tcW w:w="13940" w:type="dxa"/>
            <w:gridSpan w:val="6"/>
            <w:vAlign w:val="bottom"/>
          </w:tcPr>
          <w:p>
            <w:pPr>
              <w:autoSpaceDN w:val="0"/>
              <w:jc w:val="center"/>
              <w:textAlignment w:val="bottom"/>
              <w:rPr>
                <w:rFonts w:hint="default" w:ascii="宋体" w:hAnsi="宋体" w:eastAsia="宋体"/>
                <w:b w:val="0"/>
                <w:i w:val="0"/>
                <w:color w:val="auto"/>
                <w:sz w:val="30"/>
                <w:highlight w:val="none"/>
                <w:u w:val="none"/>
                <w:lang w:eastAsia="zh-CN"/>
              </w:rPr>
            </w:pPr>
            <w:r>
              <w:rPr>
                <w:rFonts w:hint="default" w:ascii="宋体" w:hAnsi="宋体" w:eastAsia="宋体"/>
                <w:b w:val="0"/>
                <w:i w:val="0"/>
                <w:color w:val="auto"/>
                <w:sz w:val="32"/>
                <w:szCs w:val="32"/>
                <w:highlight w:val="none"/>
                <w:u w:val="none"/>
                <w:lang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4" w:hRule="atLeast"/>
        </w:trPr>
        <w:tc>
          <w:tcPr>
            <w:tcW w:w="3077" w:type="dxa"/>
            <w:vAlign w:val="bottom"/>
          </w:tcPr>
          <w:p>
            <w:pPr>
              <w:autoSpaceDN w:val="0"/>
              <w:jc w:val="left"/>
              <w:textAlignment w:val="bottom"/>
              <w:rPr>
                <w:rFonts w:hint="default" w:ascii="Arial" w:hAnsi="宋体"/>
                <w:b w:val="0"/>
                <w:i w:val="0"/>
                <w:color w:val="auto"/>
                <w:sz w:val="20"/>
                <w:highlight w:val="none"/>
                <w:u w:val="none"/>
              </w:rPr>
            </w:pPr>
          </w:p>
        </w:tc>
        <w:tc>
          <w:tcPr>
            <w:tcW w:w="544" w:type="dxa"/>
            <w:vAlign w:val="bottom"/>
          </w:tcPr>
          <w:p>
            <w:pPr>
              <w:autoSpaceDN w:val="0"/>
              <w:jc w:val="left"/>
              <w:textAlignment w:val="bottom"/>
              <w:rPr>
                <w:rFonts w:hint="default" w:ascii="Arial" w:hAnsi="宋体"/>
                <w:b w:val="0"/>
                <w:i w:val="0"/>
                <w:color w:val="auto"/>
                <w:sz w:val="20"/>
                <w:highlight w:val="none"/>
                <w:u w:val="none"/>
              </w:rPr>
            </w:pPr>
          </w:p>
        </w:tc>
        <w:tc>
          <w:tcPr>
            <w:tcW w:w="3063" w:type="dxa"/>
            <w:vAlign w:val="bottom"/>
          </w:tcPr>
          <w:p>
            <w:pPr>
              <w:autoSpaceDN w:val="0"/>
              <w:jc w:val="left"/>
              <w:textAlignment w:val="bottom"/>
              <w:rPr>
                <w:rFonts w:hint="default" w:ascii="Arial" w:hAnsi="宋体"/>
                <w:b w:val="0"/>
                <w:i w:val="0"/>
                <w:color w:val="auto"/>
                <w:sz w:val="20"/>
                <w:highlight w:val="none"/>
                <w:u w:val="none"/>
              </w:rPr>
            </w:pPr>
          </w:p>
        </w:tc>
        <w:tc>
          <w:tcPr>
            <w:tcW w:w="3376" w:type="dxa"/>
            <w:vAlign w:val="bottom"/>
          </w:tcPr>
          <w:p>
            <w:pPr>
              <w:autoSpaceDN w:val="0"/>
              <w:jc w:val="left"/>
              <w:textAlignment w:val="bottom"/>
              <w:rPr>
                <w:rFonts w:hint="default" w:ascii="Arial" w:hAnsi="宋体"/>
                <w:b w:val="0"/>
                <w:i w:val="0"/>
                <w:color w:val="auto"/>
                <w:sz w:val="20"/>
                <w:highlight w:val="none"/>
                <w:u w:val="none"/>
              </w:rPr>
            </w:pPr>
          </w:p>
        </w:tc>
        <w:tc>
          <w:tcPr>
            <w:tcW w:w="545" w:type="dxa"/>
            <w:vAlign w:val="bottom"/>
          </w:tcPr>
          <w:p>
            <w:pPr>
              <w:autoSpaceDN w:val="0"/>
              <w:jc w:val="left"/>
              <w:textAlignment w:val="bottom"/>
              <w:rPr>
                <w:rFonts w:hint="default" w:ascii="Arial" w:hAnsi="宋体"/>
                <w:b w:val="0"/>
                <w:i w:val="0"/>
                <w:color w:val="auto"/>
                <w:sz w:val="20"/>
                <w:highlight w:val="none"/>
                <w:u w:val="none"/>
              </w:rPr>
            </w:pPr>
          </w:p>
        </w:tc>
        <w:tc>
          <w:tcPr>
            <w:tcW w:w="3335" w:type="dxa"/>
            <w:vAlign w:val="bottom"/>
          </w:tcPr>
          <w:p>
            <w:pPr>
              <w:autoSpaceDN w:val="0"/>
              <w:jc w:val="right"/>
              <w:textAlignment w:val="bottom"/>
              <w:rPr>
                <w:rFonts w:hint="default" w:ascii="宋体" w:hAnsi="宋体" w:eastAsia="宋体"/>
                <w:b w:val="0"/>
                <w:i w:val="0"/>
                <w:color w:val="auto"/>
                <w:sz w:val="20"/>
                <w:highlight w:val="none"/>
                <w:u w:val="none"/>
                <w:lang w:eastAsia="zh-CN"/>
              </w:rPr>
            </w:pPr>
            <w:r>
              <w:rPr>
                <w:rFonts w:hint="default" w:ascii="宋体" w:hAnsi="宋体" w:eastAsia="宋体"/>
                <w:b w:val="0"/>
                <w:i w:val="0"/>
                <w:color w:val="auto"/>
                <w:sz w:val="20"/>
                <w:highlight w:val="none"/>
                <w:u w:val="none"/>
                <w:lang w:eastAsia="zh-CN"/>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7" w:hRule="atLeast"/>
        </w:trPr>
        <w:tc>
          <w:tcPr>
            <w:tcW w:w="3077" w:type="dxa"/>
            <w:vAlign w:val="bottom"/>
          </w:tcPr>
          <w:p>
            <w:pPr>
              <w:autoSpaceDN w:val="0"/>
              <w:jc w:val="left"/>
              <w:textAlignment w:val="bottom"/>
              <w:rPr>
                <w:rFonts w:hint="default" w:ascii="宋体" w:hAnsi="宋体" w:eastAsia="宋体"/>
                <w:b w:val="0"/>
                <w:i w:val="0"/>
                <w:color w:val="auto"/>
                <w:sz w:val="20"/>
                <w:highlight w:val="none"/>
                <w:u w:val="none"/>
                <w:lang w:eastAsia="zh-CN"/>
              </w:rPr>
            </w:pPr>
            <w:r>
              <w:rPr>
                <w:rFonts w:hint="eastAsia" w:ascii="宋体" w:hAnsi="宋体"/>
                <w:b w:val="0"/>
                <w:i w:val="0"/>
                <w:color w:val="auto"/>
                <w:sz w:val="20"/>
                <w:highlight w:val="none"/>
                <w:u w:val="none"/>
                <w:lang w:eastAsia="zh-CN"/>
              </w:rPr>
              <w:t>单位</w:t>
            </w:r>
            <w:r>
              <w:rPr>
                <w:rFonts w:hint="default" w:ascii="宋体" w:hAnsi="宋体" w:eastAsia="宋体"/>
                <w:b w:val="0"/>
                <w:i w:val="0"/>
                <w:color w:val="auto"/>
                <w:sz w:val="20"/>
                <w:highlight w:val="none"/>
                <w:u w:val="none"/>
                <w:lang w:eastAsia="zh-CN"/>
              </w:rPr>
              <w:t>：许昌市畜牧技术推广站</w:t>
            </w:r>
          </w:p>
        </w:tc>
        <w:tc>
          <w:tcPr>
            <w:tcW w:w="544" w:type="dxa"/>
            <w:vAlign w:val="bottom"/>
          </w:tcPr>
          <w:p>
            <w:pPr>
              <w:autoSpaceDN w:val="0"/>
              <w:jc w:val="left"/>
              <w:textAlignment w:val="bottom"/>
              <w:rPr>
                <w:rFonts w:hint="default" w:ascii="Arial" w:hAnsi="宋体"/>
                <w:b w:val="0"/>
                <w:i w:val="0"/>
                <w:color w:val="auto"/>
                <w:sz w:val="20"/>
                <w:highlight w:val="none"/>
                <w:u w:val="none"/>
              </w:rPr>
            </w:pPr>
          </w:p>
        </w:tc>
        <w:tc>
          <w:tcPr>
            <w:tcW w:w="3063" w:type="dxa"/>
            <w:vAlign w:val="bottom"/>
          </w:tcPr>
          <w:p>
            <w:pPr>
              <w:autoSpaceDN w:val="0"/>
              <w:jc w:val="left"/>
              <w:textAlignment w:val="bottom"/>
              <w:rPr>
                <w:rFonts w:hint="default" w:ascii="Arial" w:hAnsi="宋体"/>
                <w:b w:val="0"/>
                <w:i w:val="0"/>
                <w:color w:val="auto"/>
                <w:sz w:val="20"/>
                <w:highlight w:val="none"/>
                <w:u w:val="none"/>
              </w:rPr>
            </w:pPr>
          </w:p>
        </w:tc>
        <w:tc>
          <w:tcPr>
            <w:tcW w:w="3376" w:type="dxa"/>
            <w:vAlign w:val="bottom"/>
          </w:tcPr>
          <w:p>
            <w:pPr>
              <w:autoSpaceDN w:val="0"/>
              <w:jc w:val="left"/>
              <w:textAlignment w:val="bottom"/>
              <w:rPr>
                <w:rFonts w:hint="default" w:ascii="Arial" w:hAnsi="宋体"/>
                <w:b w:val="0"/>
                <w:i w:val="0"/>
                <w:color w:val="auto"/>
                <w:sz w:val="20"/>
                <w:highlight w:val="none"/>
                <w:u w:val="none"/>
              </w:rPr>
            </w:pPr>
          </w:p>
        </w:tc>
        <w:tc>
          <w:tcPr>
            <w:tcW w:w="545" w:type="dxa"/>
            <w:vAlign w:val="bottom"/>
          </w:tcPr>
          <w:p>
            <w:pPr>
              <w:autoSpaceDN w:val="0"/>
              <w:jc w:val="left"/>
              <w:textAlignment w:val="bottom"/>
              <w:rPr>
                <w:rFonts w:hint="default" w:ascii="Arial" w:hAnsi="宋体"/>
                <w:b w:val="0"/>
                <w:i w:val="0"/>
                <w:color w:val="auto"/>
                <w:sz w:val="20"/>
                <w:highlight w:val="none"/>
                <w:u w:val="none"/>
              </w:rPr>
            </w:pPr>
          </w:p>
        </w:tc>
        <w:tc>
          <w:tcPr>
            <w:tcW w:w="3335" w:type="dxa"/>
            <w:vAlign w:val="bottom"/>
          </w:tcPr>
          <w:p>
            <w:pPr>
              <w:autoSpaceDN w:val="0"/>
              <w:jc w:val="right"/>
              <w:textAlignment w:val="bottom"/>
              <w:rPr>
                <w:rFonts w:hint="default" w:ascii="宋体" w:hAnsi="宋体" w:eastAsia="宋体"/>
                <w:b w:val="0"/>
                <w:i w:val="0"/>
                <w:color w:val="auto"/>
                <w:sz w:val="20"/>
                <w:highlight w:val="none"/>
                <w:u w:val="none"/>
                <w:lang w:eastAsia="zh-CN"/>
              </w:rPr>
            </w:pPr>
            <w:r>
              <w:rPr>
                <w:rFonts w:hint="default" w:ascii="宋体" w:hAnsi="宋体" w:eastAsia="宋体"/>
                <w:b w:val="0"/>
                <w:i w:val="0"/>
                <w:color w:val="auto"/>
                <w:sz w:val="20"/>
                <w:highlight w:val="none"/>
                <w:u w:val="none"/>
                <w:lang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6684" w:type="dxa"/>
            <w:gridSpan w:val="3"/>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收入</w:t>
            </w:r>
          </w:p>
        </w:tc>
        <w:tc>
          <w:tcPr>
            <w:tcW w:w="7256" w:type="dxa"/>
            <w:gridSpan w:val="3"/>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项目</w:t>
            </w: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行次</w:t>
            </w:r>
          </w:p>
        </w:tc>
        <w:tc>
          <w:tcPr>
            <w:tcW w:w="306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金额</w:t>
            </w:r>
          </w:p>
        </w:tc>
        <w:tc>
          <w:tcPr>
            <w:tcW w:w="337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项目</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行次</w:t>
            </w:r>
          </w:p>
        </w:tc>
        <w:tc>
          <w:tcPr>
            <w:tcW w:w="333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栏次</w:t>
            </w: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p>
        </w:tc>
        <w:tc>
          <w:tcPr>
            <w:tcW w:w="306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1</w:t>
            </w:r>
          </w:p>
        </w:tc>
        <w:tc>
          <w:tcPr>
            <w:tcW w:w="337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栏次</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p>
        </w:tc>
        <w:tc>
          <w:tcPr>
            <w:tcW w:w="333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一、一般公共预算财政拨款收入</w:t>
            </w: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1</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440.31</w:t>
            </w: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一、一般公共服务支出</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32</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二、政府性基金预算财政拨款收入</w:t>
            </w: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2</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二、外交支出</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33</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83"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三、国有资本经营预算财政拨款收入</w:t>
            </w: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三、国防支出</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34</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四、上级补助收入</w:t>
            </w: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4</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四、公共安全支出</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35</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五、事业收入</w:t>
            </w: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5</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五、教育支出</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36</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六、经营收入</w:t>
            </w: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6</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六、科学技术支出</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37</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七、附属单位上缴收入</w:t>
            </w: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7</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七、文化旅游体育与传媒支出</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38</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八、其他收入</w:t>
            </w: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8</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八、社会保障和就业支出</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39</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93.06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9</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九、卫生健康支出</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40</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11.86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10</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十、节能环保支出</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41</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11</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十一、城乡社区支出</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42</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12</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十二、农林水支出</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43</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389.23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13</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十三、交通运输支出</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44</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14</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十四、资源勘探工业信息等支出</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45</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15</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十五、商业服务业等支出</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46</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16</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十六、金融支出</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47</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17</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十七、援助其他地区支出</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48</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18</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十八、自然资源海洋气象等支出</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49</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19</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十九、住房保障支出</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50</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20</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二十、粮油物资储备支出</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51</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21</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二十一、国有资本经营预算支出</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52</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22</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二十二、灾害防治及应急管理支出</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53</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23</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二十三、其他支出</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54</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auto"/>
                <w:sz w:val="20"/>
                <w:highlight w:val="none"/>
                <w:u w:val="none"/>
                <w:lang w:eastAsia="zh-CN"/>
              </w:rPr>
            </w:pP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0"/>
                <w:highlight w:val="none"/>
                <w:u w:val="none"/>
                <w:lang w:eastAsia="zh-CN"/>
              </w:rPr>
            </w:pPr>
            <w:r>
              <w:rPr>
                <w:rFonts w:hint="default" w:ascii="宋体" w:hAnsi="宋体" w:eastAsia="宋体"/>
                <w:b w:val="0"/>
                <w:i w:val="0"/>
                <w:color w:val="auto"/>
                <w:sz w:val="20"/>
                <w:highlight w:val="none"/>
                <w:u w:val="none"/>
                <w:lang w:eastAsia="zh-CN"/>
              </w:rPr>
              <w:t>24</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0"/>
                <w:highlight w:val="none"/>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二十四、债务还本支出</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55</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0"/>
                <w:highlight w:val="none"/>
                <w:u w:val="none"/>
                <w:lang w:eastAsia="zh-CN"/>
              </w:rPr>
            </w:pP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0"/>
                <w:highlight w:val="none"/>
                <w:u w:val="none"/>
                <w:lang w:eastAsia="zh-CN"/>
              </w:rPr>
            </w:pPr>
            <w:r>
              <w:rPr>
                <w:rFonts w:hint="default" w:ascii="宋体" w:hAnsi="宋体" w:eastAsia="宋体"/>
                <w:b w:val="0"/>
                <w:i w:val="0"/>
                <w:color w:val="auto"/>
                <w:sz w:val="20"/>
                <w:highlight w:val="none"/>
                <w:u w:val="none"/>
                <w:lang w:eastAsia="zh-CN"/>
              </w:rPr>
              <w:t>25</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0"/>
                <w:highlight w:val="none"/>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二十五、债务付息支出</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56</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0"/>
                <w:highlight w:val="none"/>
                <w:u w:val="none"/>
                <w:lang w:eastAsia="zh-CN"/>
              </w:rPr>
            </w:pP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0"/>
                <w:highlight w:val="none"/>
                <w:u w:val="none"/>
                <w:lang w:eastAsia="zh-CN"/>
              </w:rPr>
            </w:pPr>
            <w:r>
              <w:rPr>
                <w:rFonts w:hint="default" w:ascii="宋体" w:hAnsi="宋体" w:eastAsia="宋体"/>
                <w:b w:val="0"/>
                <w:i w:val="0"/>
                <w:color w:val="auto"/>
                <w:sz w:val="20"/>
                <w:highlight w:val="none"/>
                <w:u w:val="none"/>
                <w:lang w:eastAsia="zh-CN"/>
              </w:rPr>
              <w:t>26</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0"/>
                <w:highlight w:val="none"/>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二十六、抗疫特别国债安排的支出</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57</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auto"/>
                <w:sz w:val="22"/>
                <w:highlight w:val="none"/>
                <w:u w:val="none"/>
                <w:lang w:eastAsia="zh-CN"/>
              </w:rPr>
            </w:pPr>
            <w:r>
              <w:rPr>
                <w:rFonts w:hint="default" w:ascii="宋体" w:hAnsi="宋体" w:eastAsia="宋体"/>
                <w:b/>
                <w:i w:val="0"/>
                <w:color w:val="auto"/>
                <w:sz w:val="22"/>
                <w:highlight w:val="none"/>
                <w:u w:val="none"/>
                <w:lang w:eastAsia="zh-CN"/>
              </w:rPr>
              <w:t>本年收入合计</w:t>
            </w: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27</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440.31</w:t>
            </w:r>
          </w:p>
        </w:tc>
        <w:tc>
          <w:tcPr>
            <w:tcW w:w="337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auto"/>
                <w:sz w:val="22"/>
                <w:highlight w:val="none"/>
                <w:u w:val="none"/>
                <w:lang w:eastAsia="zh-CN"/>
              </w:rPr>
            </w:pPr>
            <w:r>
              <w:rPr>
                <w:rFonts w:hint="default" w:ascii="宋体" w:hAnsi="宋体" w:eastAsia="宋体"/>
                <w:b/>
                <w:i w:val="0"/>
                <w:color w:val="auto"/>
                <w:sz w:val="22"/>
                <w:highlight w:val="none"/>
                <w:u w:val="none"/>
                <w:lang w:eastAsia="zh-CN"/>
              </w:rPr>
              <w:t>本年支出合计</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58</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496.43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使用非财政拨款结余</w:t>
            </w: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28</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结余分配</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59</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年初结转和结余</w:t>
            </w: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29</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56.12</w:t>
            </w: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年末结转和结余</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60</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61</w:t>
            </w:r>
          </w:p>
        </w:tc>
        <w:tc>
          <w:tcPr>
            <w:tcW w:w="333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auto"/>
                <w:sz w:val="22"/>
                <w:highlight w:val="none"/>
                <w:u w:val="none"/>
                <w:lang w:eastAsia="zh-CN"/>
              </w:rPr>
            </w:pPr>
            <w:r>
              <w:rPr>
                <w:rFonts w:hint="default" w:ascii="宋体" w:hAnsi="宋体" w:eastAsia="宋体"/>
                <w:b/>
                <w:i w:val="0"/>
                <w:color w:val="auto"/>
                <w:sz w:val="22"/>
                <w:highlight w:val="none"/>
                <w:u w:val="none"/>
                <w:lang w:eastAsia="zh-CN"/>
              </w:rPr>
              <w:t>总计</w:t>
            </w:r>
          </w:p>
        </w:tc>
        <w:tc>
          <w:tcPr>
            <w:tcW w:w="544" w:type="dxa"/>
            <w:tcBorders>
              <w:bottom w:val="single" w:color="000000" w:sz="8"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31</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496.43</w:t>
            </w:r>
          </w:p>
        </w:tc>
        <w:tc>
          <w:tcPr>
            <w:tcW w:w="337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auto"/>
                <w:sz w:val="22"/>
                <w:highlight w:val="none"/>
                <w:u w:val="none"/>
                <w:lang w:eastAsia="zh-CN"/>
              </w:rPr>
            </w:pPr>
            <w:r>
              <w:rPr>
                <w:rFonts w:hint="default" w:ascii="宋体" w:hAnsi="宋体" w:eastAsia="宋体"/>
                <w:b/>
                <w:i w:val="0"/>
                <w:color w:val="auto"/>
                <w:sz w:val="22"/>
                <w:highlight w:val="none"/>
                <w:u w:val="none"/>
                <w:lang w:eastAsia="zh-CN"/>
              </w:rPr>
              <w:t>总计</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62</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496.43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6" w:hRule="atLeast"/>
        </w:trPr>
        <w:tc>
          <w:tcPr>
            <w:tcW w:w="13940" w:type="dxa"/>
            <w:gridSpan w:val="6"/>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注：本表反映</w:t>
            </w:r>
            <w:r>
              <w:rPr>
                <w:rFonts w:hint="eastAsia" w:ascii="宋体" w:hAnsi="宋体"/>
                <w:b w:val="0"/>
                <w:i w:val="0"/>
                <w:color w:val="auto"/>
                <w:sz w:val="22"/>
                <w:highlight w:val="none"/>
                <w:u w:val="none"/>
                <w:lang w:eastAsia="zh-CN"/>
              </w:rPr>
              <w:t>单位</w:t>
            </w:r>
            <w:r>
              <w:rPr>
                <w:rFonts w:hint="default" w:ascii="宋体" w:hAnsi="宋体" w:eastAsia="宋体"/>
                <w:b w:val="0"/>
                <w:i w:val="0"/>
                <w:color w:val="auto"/>
                <w:sz w:val="22"/>
                <w:highlight w:val="none"/>
                <w:u w:val="none"/>
                <w:lang w:eastAsia="zh-CN"/>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38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27"/>
        <w:gridCol w:w="59"/>
        <w:gridCol w:w="1928"/>
        <w:gridCol w:w="896"/>
        <w:gridCol w:w="88"/>
        <w:gridCol w:w="1465"/>
        <w:gridCol w:w="176"/>
        <w:gridCol w:w="1377"/>
        <w:gridCol w:w="264"/>
        <w:gridCol w:w="1289"/>
        <w:gridCol w:w="352"/>
        <w:gridCol w:w="1201"/>
        <w:gridCol w:w="440"/>
        <w:gridCol w:w="1113"/>
        <w:gridCol w:w="528"/>
        <w:gridCol w:w="16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845" w:type="dxa"/>
            <w:gridSpan w:val="16"/>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宋体" w:hAnsi="宋体" w:eastAsia="宋体" w:cs="宋体"/>
                <w:color w:val="auto"/>
                <w:kern w:val="0"/>
                <w:sz w:val="32"/>
                <w:szCs w:val="32"/>
                <w:highlight w:val="none"/>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27"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59"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28"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96"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53"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53"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53"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53"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53"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170" w:type="dxa"/>
            <w:gridSpan w:val="2"/>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910" w:type="dxa"/>
            <w:gridSpan w:val="4"/>
            <w:tcBorders>
              <w:top w:val="nil"/>
              <w:left w:val="nil"/>
              <w:bottom w:val="nil"/>
              <w:right w:val="nil"/>
            </w:tcBorders>
            <w:tcMar>
              <w:top w:w="15" w:type="dxa"/>
              <w:left w:w="15" w:type="dxa"/>
              <w:right w:w="15" w:type="dxa"/>
            </w:tcMar>
            <w:vAlign w:val="center"/>
          </w:tcPr>
          <w:p>
            <w:pPr>
              <w:jc w:val="both"/>
              <w:rPr>
                <w:rFonts w:hint="eastAsia" w:ascii="宋体" w:hAnsi="宋体" w:cs="宋体"/>
                <w:color w:val="auto"/>
                <w:sz w:val="20"/>
                <w:szCs w:val="20"/>
                <w:highlight w:val="none"/>
              </w:rPr>
            </w:pPr>
            <w:r>
              <w:rPr>
                <w:rFonts w:hint="eastAsia" w:ascii="宋体" w:hAnsi="宋体" w:cs="宋体"/>
                <w:color w:val="auto"/>
                <w:kern w:val="0"/>
                <w:sz w:val="20"/>
                <w:szCs w:val="20"/>
                <w:highlight w:val="none"/>
                <w:lang w:eastAsia="zh-CN"/>
              </w:rPr>
              <w:t>单位</w:t>
            </w:r>
            <w:r>
              <w:rPr>
                <w:rFonts w:hint="eastAsia" w:ascii="宋体" w:hAnsi="宋体" w:cs="宋体"/>
                <w:color w:val="auto"/>
                <w:kern w:val="0"/>
                <w:sz w:val="20"/>
                <w:szCs w:val="20"/>
                <w:highlight w:val="none"/>
              </w:rPr>
              <w:t>：</w:t>
            </w:r>
            <w:r>
              <w:rPr>
                <w:rFonts w:hint="eastAsia" w:ascii="宋体" w:hAnsi="宋体" w:cs="宋体"/>
                <w:color w:val="auto"/>
                <w:kern w:val="0"/>
                <w:sz w:val="20"/>
                <w:szCs w:val="20"/>
                <w:highlight w:val="none"/>
                <w:lang w:eastAsia="zh-CN"/>
              </w:rPr>
              <w:t>许昌市畜牧技术推广站</w:t>
            </w:r>
          </w:p>
        </w:tc>
        <w:tc>
          <w:tcPr>
            <w:tcW w:w="1553"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53" w:type="dxa"/>
            <w:gridSpan w:val="2"/>
            <w:tcBorders>
              <w:top w:val="nil"/>
              <w:left w:val="nil"/>
              <w:bottom w:val="nil"/>
              <w:right w:val="nil"/>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553"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53"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53"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170" w:type="dxa"/>
            <w:gridSpan w:val="2"/>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014" w:type="dxa"/>
            <w:gridSpan w:val="3"/>
            <w:tcBorders>
              <w:top w:val="single" w:color="000000" w:sz="8" w:space="0"/>
              <w:left w:val="single" w:color="000000" w:sz="8"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项    目</w:t>
            </w:r>
          </w:p>
        </w:tc>
        <w:tc>
          <w:tcPr>
            <w:tcW w:w="984"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本年收入合计</w:t>
            </w:r>
          </w:p>
        </w:tc>
        <w:tc>
          <w:tcPr>
            <w:tcW w:w="1641"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财政拨款收入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上级补助收入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事业收入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经营收入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附属单位上缴收入</w:t>
            </w:r>
          </w:p>
        </w:tc>
        <w:tc>
          <w:tcPr>
            <w:tcW w:w="1642" w:type="dxa"/>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vMerge w:val="restart"/>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功能分类</w:t>
            </w:r>
          </w:p>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科目编码</w:t>
            </w:r>
          </w:p>
        </w:tc>
        <w:tc>
          <w:tcPr>
            <w:tcW w:w="192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科目名称</w:t>
            </w:r>
          </w:p>
        </w:tc>
        <w:tc>
          <w:tcPr>
            <w:tcW w:w="984"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642"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vMerge w:val="continue"/>
            <w:tcBorders>
              <w:top w:val="single" w:color="000000" w:sz="4" w:space="0"/>
              <w:left w:val="single" w:color="000000" w:sz="8" w:space="0"/>
              <w:bottom w:val="single" w:color="000000" w:sz="4" w:space="0"/>
              <w:right w:val="nil"/>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984"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642"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01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栏次</w:t>
            </w:r>
          </w:p>
        </w:tc>
        <w:tc>
          <w:tcPr>
            <w:tcW w:w="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1</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2</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3</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4</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5</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6</w:t>
            </w: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014" w:type="dxa"/>
            <w:gridSpan w:val="3"/>
            <w:tcBorders>
              <w:top w:val="nil"/>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合计</w:t>
            </w:r>
          </w:p>
        </w:tc>
        <w:tc>
          <w:tcPr>
            <w:tcW w:w="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440.31</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440.31</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201</w:t>
            </w:r>
          </w:p>
        </w:tc>
        <w:tc>
          <w:tcPr>
            <w:tcW w:w="19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一般公共服务支出</w:t>
            </w:r>
          </w:p>
        </w:tc>
        <w:tc>
          <w:tcPr>
            <w:tcW w:w="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2.28</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2.28</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20129</w:t>
            </w:r>
          </w:p>
        </w:tc>
        <w:tc>
          <w:tcPr>
            <w:tcW w:w="19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群众团体事务</w:t>
            </w:r>
          </w:p>
        </w:tc>
        <w:tc>
          <w:tcPr>
            <w:tcW w:w="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华文中宋" w:hAnsi="华文中宋" w:eastAsia="华文中宋" w:cs="华文中宋"/>
                <w:color w:val="auto"/>
                <w:sz w:val="20"/>
                <w:szCs w:val="20"/>
                <w:highlight w:val="none"/>
                <w:lang w:val="en-US" w:eastAsia="zh-CN"/>
              </w:rPr>
            </w:pPr>
            <w:r>
              <w:rPr>
                <w:rFonts w:hint="eastAsia" w:ascii="华文中宋" w:hAnsi="华文中宋" w:eastAsia="华文中宋" w:cs="华文中宋"/>
                <w:color w:val="auto"/>
                <w:sz w:val="20"/>
                <w:szCs w:val="20"/>
                <w:highlight w:val="none"/>
                <w:lang w:val="en-US" w:eastAsia="zh-CN"/>
              </w:rPr>
              <w:t>2.28</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2.28</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2012906</w:t>
            </w:r>
          </w:p>
        </w:tc>
        <w:tc>
          <w:tcPr>
            <w:tcW w:w="19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工会事务</w:t>
            </w:r>
          </w:p>
        </w:tc>
        <w:tc>
          <w:tcPr>
            <w:tcW w:w="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2.28</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2.28</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208</w:t>
            </w:r>
          </w:p>
        </w:tc>
        <w:tc>
          <w:tcPr>
            <w:tcW w:w="19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社会保障和就业支出</w:t>
            </w:r>
          </w:p>
        </w:tc>
        <w:tc>
          <w:tcPr>
            <w:tcW w:w="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75.52</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val="en-US" w:eastAsia="zh-CN"/>
              </w:rPr>
              <w:t>75.52</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20805</w:t>
            </w:r>
          </w:p>
        </w:tc>
        <w:tc>
          <w:tcPr>
            <w:tcW w:w="19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行政事业单位养老支出</w:t>
            </w:r>
          </w:p>
        </w:tc>
        <w:tc>
          <w:tcPr>
            <w:tcW w:w="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75.52</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val="en-US" w:eastAsia="zh-CN"/>
              </w:rPr>
              <w:t>75.52</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2080502</w:t>
            </w:r>
          </w:p>
        </w:tc>
        <w:tc>
          <w:tcPr>
            <w:tcW w:w="1928"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事业单位离退休</w:t>
            </w:r>
          </w:p>
        </w:tc>
        <w:tc>
          <w:tcPr>
            <w:tcW w:w="98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55.71</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val="en-US" w:eastAsia="zh-CN"/>
              </w:rPr>
              <w:t>55.71</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2080505</w:t>
            </w:r>
          </w:p>
        </w:tc>
        <w:tc>
          <w:tcPr>
            <w:tcW w:w="1928"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机关事业单位基本养老保险缴费支出</w:t>
            </w:r>
          </w:p>
        </w:tc>
        <w:tc>
          <w:tcPr>
            <w:tcW w:w="98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19.81</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val="en-US" w:eastAsia="zh-CN"/>
              </w:rPr>
              <w:t>19.81</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2" w:hRule="atLeast"/>
        </w:trPr>
        <w:tc>
          <w:tcPr>
            <w:tcW w:w="1086"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210</w:t>
            </w:r>
          </w:p>
        </w:tc>
        <w:tc>
          <w:tcPr>
            <w:tcW w:w="1928"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卫生健康支出</w:t>
            </w:r>
          </w:p>
        </w:tc>
        <w:tc>
          <w:tcPr>
            <w:tcW w:w="98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11.86</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val="en-US" w:eastAsia="zh-CN"/>
              </w:rPr>
              <w:t>11.86</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21011</w:t>
            </w:r>
          </w:p>
        </w:tc>
        <w:tc>
          <w:tcPr>
            <w:tcW w:w="1928"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行政事业单位医疗</w:t>
            </w:r>
          </w:p>
        </w:tc>
        <w:tc>
          <w:tcPr>
            <w:tcW w:w="98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11.86</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val="en-US" w:eastAsia="zh-CN"/>
              </w:rPr>
              <w:t>11.86</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2101102</w:t>
            </w:r>
          </w:p>
        </w:tc>
        <w:tc>
          <w:tcPr>
            <w:tcW w:w="1928"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 xml:space="preserve"> 事业单位医疗</w:t>
            </w:r>
          </w:p>
        </w:tc>
        <w:tc>
          <w:tcPr>
            <w:tcW w:w="98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11.86</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val="en-US" w:eastAsia="zh-CN"/>
              </w:rPr>
              <w:t>11.86</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213</w:t>
            </w:r>
          </w:p>
        </w:tc>
        <w:tc>
          <w:tcPr>
            <w:tcW w:w="1928"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农林水支出</w:t>
            </w:r>
          </w:p>
        </w:tc>
        <w:tc>
          <w:tcPr>
            <w:tcW w:w="98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350.65</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val="en-US" w:eastAsia="zh-CN"/>
              </w:rPr>
              <w:t>350.65</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21301</w:t>
            </w:r>
          </w:p>
        </w:tc>
        <w:tc>
          <w:tcPr>
            <w:tcW w:w="1928"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农业农村</w:t>
            </w:r>
          </w:p>
        </w:tc>
        <w:tc>
          <w:tcPr>
            <w:tcW w:w="98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350.65</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val="en-US" w:eastAsia="zh-CN"/>
              </w:rPr>
              <w:t>350.65</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2130104</w:t>
            </w:r>
          </w:p>
        </w:tc>
        <w:tc>
          <w:tcPr>
            <w:tcW w:w="1928"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事业运行</w:t>
            </w:r>
          </w:p>
        </w:tc>
        <w:tc>
          <w:tcPr>
            <w:tcW w:w="98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349.26</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val="en-US" w:eastAsia="zh-CN"/>
              </w:rPr>
              <w:t>349.26</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2130106</w:t>
            </w:r>
          </w:p>
        </w:tc>
        <w:tc>
          <w:tcPr>
            <w:tcW w:w="1928"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科技转化与推广服务</w:t>
            </w:r>
          </w:p>
        </w:tc>
        <w:tc>
          <w:tcPr>
            <w:tcW w:w="98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1.40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val="en-US" w:eastAsia="zh-CN"/>
              </w:rPr>
              <w:t>1.40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3845" w:type="dxa"/>
            <w:gridSpan w:val="16"/>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注：本表反映</w:t>
            </w:r>
            <w:r>
              <w:rPr>
                <w:rFonts w:hint="eastAsia" w:ascii="宋体" w:hAnsi="宋体" w:cs="宋体"/>
                <w:color w:val="auto"/>
                <w:kern w:val="0"/>
                <w:sz w:val="20"/>
                <w:szCs w:val="20"/>
                <w:highlight w:val="none"/>
                <w:lang w:eastAsia="zh-CN"/>
              </w:rPr>
              <w:t>单位</w:t>
            </w:r>
            <w:r>
              <w:rPr>
                <w:rFonts w:hint="eastAsia" w:ascii="宋体" w:hAnsi="宋体" w:cs="宋体"/>
                <w:color w:val="auto"/>
                <w:kern w:val="0"/>
                <w:sz w:val="20"/>
                <w:szCs w:val="20"/>
                <w:highlight w:val="none"/>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20"/>
        <w:gridCol w:w="63"/>
        <w:gridCol w:w="27"/>
        <w:gridCol w:w="1632"/>
        <w:gridCol w:w="1491"/>
        <w:gridCol w:w="130"/>
        <w:gridCol w:w="1672"/>
        <w:gridCol w:w="232"/>
        <w:gridCol w:w="1569"/>
        <w:gridCol w:w="335"/>
        <w:gridCol w:w="1467"/>
        <w:gridCol w:w="437"/>
        <w:gridCol w:w="1364"/>
        <w:gridCol w:w="540"/>
        <w:gridCol w:w="19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988" w:type="dxa"/>
            <w:gridSpan w:val="15"/>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宋体" w:hAnsi="宋体" w:eastAsia="宋体" w:cs="宋体"/>
                <w:color w:val="auto"/>
                <w:kern w:val="0"/>
                <w:sz w:val="32"/>
                <w:szCs w:val="32"/>
                <w:highlight w:val="none"/>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20"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0"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32"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91"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02"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01"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02"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01"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449" w:type="dxa"/>
            <w:gridSpan w:val="2"/>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333" w:type="dxa"/>
            <w:gridSpan w:val="5"/>
            <w:tcBorders>
              <w:top w:val="nil"/>
              <w:left w:val="nil"/>
              <w:bottom w:val="nil"/>
              <w:right w:val="nil"/>
            </w:tcBorders>
            <w:tcMar>
              <w:top w:w="15" w:type="dxa"/>
              <w:left w:w="15" w:type="dxa"/>
              <w:right w:w="15" w:type="dxa"/>
            </w:tcMar>
            <w:vAlign w:val="bottom"/>
          </w:tcPr>
          <w:p>
            <w:pPr>
              <w:jc w:val="left"/>
              <w:rPr>
                <w:rFonts w:hint="eastAsia" w:ascii="宋体" w:hAnsi="宋体" w:cs="宋体"/>
                <w:color w:val="auto"/>
                <w:sz w:val="20"/>
                <w:szCs w:val="20"/>
                <w:highlight w:val="none"/>
              </w:rPr>
            </w:pPr>
            <w:r>
              <w:rPr>
                <w:rFonts w:hint="eastAsia" w:ascii="宋体" w:hAnsi="宋体"/>
                <w:b w:val="0"/>
                <w:i w:val="0"/>
                <w:color w:val="auto"/>
                <w:sz w:val="20"/>
                <w:highlight w:val="none"/>
                <w:u w:val="none"/>
                <w:lang w:eastAsia="zh-CN"/>
              </w:rPr>
              <w:t>单位</w:t>
            </w:r>
            <w:r>
              <w:rPr>
                <w:rFonts w:hint="default" w:ascii="宋体" w:hAnsi="宋体" w:eastAsia="宋体"/>
                <w:b w:val="0"/>
                <w:i w:val="0"/>
                <w:color w:val="auto"/>
                <w:sz w:val="20"/>
                <w:highlight w:val="none"/>
                <w:u w:val="none"/>
                <w:lang w:eastAsia="zh-CN"/>
              </w:rPr>
              <w:t>：许昌市畜牧技术推广站</w:t>
            </w:r>
          </w:p>
        </w:tc>
        <w:tc>
          <w:tcPr>
            <w:tcW w:w="1802"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01" w:type="dxa"/>
            <w:gridSpan w:val="2"/>
            <w:tcBorders>
              <w:top w:val="nil"/>
              <w:left w:val="nil"/>
              <w:bottom w:val="nil"/>
              <w:right w:val="nil"/>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802"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01"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449" w:type="dxa"/>
            <w:gridSpan w:val="2"/>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842" w:type="dxa"/>
            <w:gridSpan w:val="4"/>
            <w:tcBorders>
              <w:top w:val="single" w:color="000000" w:sz="8" w:space="0"/>
              <w:left w:val="single" w:color="000000" w:sz="8"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项    目</w:t>
            </w:r>
          </w:p>
        </w:tc>
        <w:tc>
          <w:tcPr>
            <w:tcW w:w="1621"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本年支出合计</w:t>
            </w:r>
          </w:p>
        </w:tc>
        <w:tc>
          <w:tcPr>
            <w:tcW w:w="1904"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基本支出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项目支出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上缴上级支出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经营支出</w:t>
            </w:r>
          </w:p>
        </w:tc>
        <w:tc>
          <w:tcPr>
            <w:tcW w:w="1909" w:type="dxa"/>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vMerge w:val="restart"/>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功能分类</w:t>
            </w:r>
          </w:p>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科目编码</w:t>
            </w:r>
          </w:p>
        </w:tc>
        <w:tc>
          <w:tcPr>
            <w:tcW w:w="1659"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科目名称</w:t>
            </w:r>
          </w:p>
        </w:tc>
        <w:tc>
          <w:tcPr>
            <w:tcW w:w="1621"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09"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vMerge w:val="continue"/>
            <w:tcBorders>
              <w:top w:val="single" w:color="000000" w:sz="4" w:space="0"/>
              <w:left w:val="single" w:color="000000" w:sz="8" w:space="0"/>
              <w:bottom w:val="single" w:color="000000" w:sz="4" w:space="0"/>
              <w:right w:val="nil"/>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659"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621"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09"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842" w:type="dxa"/>
            <w:gridSpan w:val="4"/>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栏次</w:t>
            </w:r>
          </w:p>
        </w:tc>
        <w:tc>
          <w:tcPr>
            <w:tcW w:w="16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1</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2</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3</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4</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5</w:t>
            </w: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842" w:type="dxa"/>
            <w:gridSpan w:val="4"/>
            <w:tcBorders>
              <w:top w:val="nil"/>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合计</w:t>
            </w:r>
          </w:p>
        </w:tc>
        <w:tc>
          <w:tcPr>
            <w:tcW w:w="16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496.43</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494.96</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1.47</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201</w:t>
            </w:r>
          </w:p>
        </w:tc>
        <w:tc>
          <w:tcPr>
            <w:tcW w:w="1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一般公共服务支出</w:t>
            </w:r>
          </w:p>
        </w:tc>
        <w:tc>
          <w:tcPr>
            <w:tcW w:w="16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2.28</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val="en-US" w:eastAsia="zh-CN"/>
              </w:rPr>
              <w:t>2.28</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20129</w:t>
            </w:r>
          </w:p>
        </w:tc>
        <w:tc>
          <w:tcPr>
            <w:tcW w:w="1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群众团体事务</w:t>
            </w:r>
          </w:p>
        </w:tc>
        <w:tc>
          <w:tcPr>
            <w:tcW w:w="16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2.28</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val="en-US" w:eastAsia="zh-CN"/>
              </w:rPr>
              <w:t>2.28</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2012906</w:t>
            </w:r>
          </w:p>
        </w:tc>
        <w:tc>
          <w:tcPr>
            <w:tcW w:w="1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工会事务</w:t>
            </w:r>
          </w:p>
        </w:tc>
        <w:tc>
          <w:tcPr>
            <w:tcW w:w="16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2.28</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val="en-US" w:eastAsia="zh-CN"/>
              </w:rPr>
              <w:t>2.28</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208</w:t>
            </w:r>
          </w:p>
        </w:tc>
        <w:tc>
          <w:tcPr>
            <w:tcW w:w="1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社会保障和就业支出</w:t>
            </w:r>
          </w:p>
        </w:tc>
        <w:tc>
          <w:tcPr>
            <w:tcW w:w="16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93.06</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val="en-US" w:eastAsia="zh-CN"/>
              </w:rPr>
              <w:t>93.06</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20805</w:t>
            </w:r>
          </w:p>
        </w:tc>
        <w:tc>
          <w:tcPr>
            <w:tcW w:w="1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行政事业单位养老支出</w:t>
            </w:r>
          </w:p>
        </w:tc>
        <w:tc>
          <w:tcPr>
            <w:tcW w:w="16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93.06</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val="en-US" w:eastAsia="zh-CN"/>
              </w:rPr>
              <w:t>93.06</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2080502</w:t>
            </w:r>
          </w:p>
        </w:tc>
        <w:tc>
          <w:tcPr>
            <w:tcW w:w="16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事业单位离退休</w:t>
            </w:r>
          </w:p>
        </w:tc>
        <w:tc>
          <w:tcPr>
            <w:tcW w:w="162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65.57</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val="en-US" w:eastAsia="zh-CN"/>
              </w:rPr>
              <w:t>65.57</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2080505</w:t>
            </w:r>
          </w:p>
        </w:tc>
        <w:tc>
          <w:tcPr>
            <w:tcW w:w="16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 xml:space="preserve"> 机关事业单位基本养老保险缴费支出</w:t>
            </w:r>
          </w:p>
        </w:tc>
        <w:tc>
          <w:tcPr>
            <w:tcW w:w="162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27.49</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val="en-US" w:eastAsia="zh-CN"/>
              </w:rPr>
              <w:t>27.49</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210</w:t>
            </w:r>
          </w:p>
        </w:tc>
        <w:tc>
          <w:tcPr>
            <w:tcW w:w="16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卫生健康支出</w:t>
            </w:r>
          </w:p>
        </w:tc>
        <w:tc>
          <w:tcPr>
            <w:tcW w:w="162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11.86</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val="en-US" w:eastAsia="zh-CN"/>
              </w:rPr>
              <w:t>11.86</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21011</w:t>
            </w:r>
          </w:p>
        </w:tc>
        <w:tc>
          <w:tcPr>
            <w:tcW w:w="16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行政事业单位医疗</w:t>
            </w:r>
          </w:p>
        </w:tc>
        <w:tc>
          <w:tcPr>
            <w:tcW w:w="162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11.86</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val="en-US" w:eastAsia="zh-CN"/>
              </w:rPr>
              <w:t>11.86</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2101102</w:t>
            </w:r>
          </w:p>
        </w:tc>
        <w:tc>
          <w:tcPr>
            <w:tcW w:w="16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 xml:space="preserve"> 事业单位医疗</w:t>
            </w:r>
          </w:p>
        </w:tc>
        <w:tc>
          <w:tcPr>
            <w:tcW w:w="162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11.86</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val="en-US" w:eastAsia="zh-CN"/>
              </w:rPr>
              <w:t>11.86</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213</w:t>
            </w:r>
          </w:p>
        </w:tc>
        <w:tc>
          <w:tcPr>
            <w:tcW w:w="16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农林水支出</w:t>
            </w:r>
          </w:p>
        </w:tc>
        <w:tc>
          <w:tcPr>
            <w:tcW w:w="162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389.23</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val="en-US" w:eastAsia="zh-CN"/>
              </w:rPr>
              <w:t>389.23</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1.47</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21301</w:t>
            </w:r>
          </w:p>
        </w:tc>
        <w:tc>
          <w:tcPr>
            <w:tcW w:w="16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农业农村</w:t>
            </w:r>
          </w:p>
        </w:tc>
        <w:tc>
          <w:tcPr>
            <w:tcW w:w="162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389.23</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val="en-US" w:eastAsia="zh-CN"/>
              </w:rPr>
              <w:t>389.23</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1.47</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2130104</w:t>
            </w:r>
          </w:p>
        </w:tc>
        <w:tc>
          <w:tcPr>
            <w:tcW w:w="16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 xml:space="preserve"> 事业运行</w:t>
            </w:r>
          </w:p>
        </w:tc>
        <w:tc>
          <w:tcPr>
            <w:tcW w:w="162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387.76</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val="en-US" w:eastAsia="zh-CN"/>
              </w:rPr>
              <w:t>387.76</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2130106</w:t>
            </w:r>
          </w:p>
        </w:tc>
        <w:tc>
          <w:tcPr>
            <w:tcW w:w="16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科技转化与推广服务</w:t>
            </w:r>
          </w:p>
        </w:tc>
        <w:tc>
          <w:tcPr>
            <w:tcW w:w="162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1.47</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1.47</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13988" w:type="dxa"/>
            <w:gridSpan w:val="15"/>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注：本表反映</w:t>
            </w:r>
            <w:r>
              <w:rPr>
                <w:rFonts w:hint="eastAsia" w:ascii="宋体" w:hAnsi="宋体" w:cs="宋体"/>
                <w:color w:val="auto"/>
                <w:kern w:val="0"/>
                <w:sz w:val="20"/>
                <w:szCs w:val="20"/>
                <w:highlight w:val="none"/>
                <w:lang w:eastAsia="zh-CN"/>
              </w:rPr>
              <w:t>单位</w:t>
            </w:r>
            <w:r>
              <w:rPr>
                <w:rFonts w:hint="eastAsia" w:ascii="宋体" w:hAnsi="宋体" w:cs="宋体"/>
                <w:color w:val="auto"/>
                <w:kern w:val="0"/>
                <w:sz w:val="20"/>
                <w:szCs w:val="20"/>
                <w:highlight w:val="none"/>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3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2336"/>
        <w:gridCol w:w="520"/>
        <w:gridCol w:w="2323"/>
        <w:gridCol w:w="2846"/>
        <w:gridCol w:w="334"/>
        <w:gridCol w:w="1103"/>
        <w:gridCol w:w="1"/>
        <w:gridCol w:w="856"/>
        <w:gridCol w:w="856"/>
        <w:gridCol w:w="1"/>
        <w:gridCol w:w="25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98" w:hRule="atLeast"/>
        </w:trPr>
        <w:tc>
          <w:tcPr>
            <w:tcW w:w="13720" w:type="dxa"/>
            <w:gridSpan w:val="11"/>
            <w:vAlign w:val="bottom"/>
          </w:tcPr>
          <w:p>
            <w:pPr>
              <w:autoSpaceDN w:val="0"/>
              <w:jc w:val="center"/>
              <w:textAlignment w:val="bottom"/>
              <w:rPr>
                <w:rFonts w:hint="default" w:ascii="宋体" w:hAnsi="宋体" w:eastAsia="宋体"/>
                <w:b w:val="0"/>
                <w:i w:val="0"/>
                <w:color w:val="auto"/>
                <w:sz w:val="30"/>
                <w:highlight w:val="none"/>
                <w:u w:val="none"/>
                <w:lang w:eastAsia="zh-CN"/>
              </w:rPr>
            </w:pPr>
            <w:r>
              <w:rPr>
                <w:rFonts w:hint="default" w:ascii="宋体" w:hAnsi="宋体" w:eastAsia="宋体"/>
                <w:b w:val="0"/>
                <w:i w:val="0"/>
                <w:color w:val="auto"/>
                <w:sz w:val="32"/>
                <w:szCs w:val="32"/>
                <w:highlight w:val="none"/>
                <w:u w:val="none"/>
                <w:lang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9" w:hRule="atLeast"/>
        </w:trPr>
        <w:tc>
          <w:tcPr>
            <w:tcW w:w="2336" w:type="dxa"/>
            <w:vAlign w:val="bottom"/>
          </w:tcPr>
          <w:p>
            <w:pPr>
              <w:autoSpaceDN w:val="0"/>
              <w:jc w:val="left"/>
              <w:textAlignment w:val="bottom"/>
              <w:rPr>
                <w:rFonts w:hint="default" w:ascii="Arial" w:hAnsi="宋体"/>
                <w:b w:val="0"/>
                <w:i w:val="0"/>
                <w:color w:val="auto"/>
                <w:sz w:val="20"/>
                <w:highlight w:val="none"/>
                <w:u w:val="none"/>
              </w:rPr>
            </w:pPr>
          </w:p>
        </w:tc>
        <w:tc>
          <w:tcPr>
            <w:tcW w:w="520" w:type="dxa"/>
            <w:vAlign w:val="bottom"/>
          </w:tcPr>
          <w:p>
            <w:pPr>
              <w:autoSpaceDN w:val="0"/>
              <w:jc w:val="left"/>
              <w:textAlignment w:val="bottom"/>
              <w:rPr>
                <w:rFonts w:hint="default" w:ascii="Arial" w:hAnsi="宋体"/>
                <w:b w:val="0"/>
                <w:i w:val="0"/>
                <w:color w:val="auto"/>
                <w:sz w:val="20"/>
                <w:highlight w:val="none"/>
                <w:u w:val="none"/>
              </w:rPr>
            </w:pPr>
          </w:p>
        </w:tc>
        <w:tc>
          <w:tcPr>
            <w:tcW w:w="2323" w:type="dxa"/>
            <w:vAlign w:val="bottom"/>
          </w:tcPr>
          <w:p>
            <w:pPr>
              <w:autoSpaceDN w:val="0"/>
              <w:jc w:val="left"/>
              <w:textAlignment w:val="bottom"/>
              <w:rPr>
                <w:rFonts w:hint="default" w:ascii="Arial" w:hAnsi="宋体"/>
                <w:b w:val="0"/>
                <w:i w:val="0"/>
                <w:color w:val="auto"/>
                <w:sz w:val="20"/>
                <w:highlight w:val="none"/>
                <w:u w:val="none"/>
              </w:rPr>
            </w:pPr>
          </w:p>
        </w:tc>
        <w:tc>
          <w:tcPr>
            <w:tcW w:w="2846" w:type="dxa"/>
            <w:vAlign w:val="bottom"/>
          </w:tcPr>
          <w:p>
            <w:pPr>
              <w:autoSpaceDN w:val="0"/>
              <w:jc w:val="left"/>
              <w:textAlignment w:val="bottom"/>
              <w:rPr>
                <w:rFonts w:hint="default" w:ascii="Arial" w:hAnsi="宋体"/>
                <w:b w:val="0"/>
                <w:i w:val="0"/>
                <w:color w:val="auto"/>
                <w:sz w:val="20"/>
                <w:highlight w:val="none"/>
                <w:u w:val="none"/>
              </w:rPr>
            </w:pPr>
          </w:p>
        </w:tc>
        <w:tc>
          <w:tcPr>
            <w:tcW w:w="334" w:type="dxa"/>
            <w:vAlign w:val="bottom"/>
          </w:tcPr>
          <w:p>
            <w:pPr>
              <w:autoSpaceDN w:val="0"/>
              <w:jc w:val="left"/>
              <w:textAlignment w:val="bottom"/>
              <w:rPr>
                <w:rFonts w:hint="default" w:ascii="Arial" w:hAnsi="宋体"/>
                <w:b w:val="0"/>
                <w:i w:val="0"/>
                <w:color w:val="auto"/>
                <w:sz w:val="20"/>
                <w:highlight w:val="none"/>
                <w:u w:val="none"/>
              </w:rPr>
            </w:pPr>
          </w:p>
        </w:tc>
        <w:tc>
          <w:tcPr>
            <w:tcW w:w="1104" w:type="dxa"/>
            <w:gridSpan w:val="2"/>
            <w:vAlign w:val="bottom"/>
          </w:tcPr>
          <w:p>
            <w:pPr>
              <w:autoSpaceDN w:val="0"/>
              <w:jc w:val="left"/>
              <w:textAlignment w:val="bottom"/>
              <w:rPr>
                <w:rFonts w:hint="default" w:ascii="Arial" w:hAnsi="宋体"/>
                <w:b w:val="0"/>
                <w:i w:val="0"/>
                <w:color w:val="auto"/>
                <w:sz w:val="20"/>
                <w:highlight w:val="none"/>
                <w:u w:val="none"/>
              </w:rPr>
            </w:pPr>
          </w:p>
        </w:tc>
        <w:tc>
          <w:tcPr>
            <w:tcW w:w="856" w:type="dxa"/>
            <w:vAlign w:val="bottom"/>
          </w:tcPr>
          <w:p>
            <w:pPr>
              <w:autoSpaceDN w:val="0"/>
              <w:jc w:val="left"/>
              <w:textAlignment w:val="bottom"/>
              <w:rPr>
                <w:rFonts w:hint="default" w:ascii="Arial" w:hAnsi="宋体"/>
                <w:b w:val="0"/>
                <w:i w:val="0"/>
                <w:color w:val="auto"/>
                <w:sz w:val="20"/>
                <w:highlight w:val="none"/>
                <w:u w:val="none"/>
              </w:rPr>
            </w:pPr>
          </w:p>
        </w:tc>
        <w:tc>
          <w:tcPr>
            <w:tcW w:w="857" w:type="dxa"/>
            <w:gridSpan w:val="2"/>
            <w:vAlign w:val="bottom"/>
          </w:tcPr>
          <w:p>
            <w:pPr>
              <w:autoSpaceDN w:val="0"/>
              <w:jc w:val="left"/>
              <w:textAlignment w:val="bottom"/>
              <w:rPr>
                <w:rFonts w:hint="default" w:ascii="Arial" w:hAnsi="宋体"/>
                <w:b w:val="0"/>
                <w:i w:val="0"/>
                <w:color w:val="auto"/>
                <w:sz w:val="20"/>
                <w:highlight w:val="none"/>
                <w:u w:val="none"/>
              </w:rPr>
            </w:pPr>
          </w:p>
        </w:tc>
        <w:tc>
          <w:tcPr>
            <w:tcW w:w="2544" w:type="dxa"/>
            <w:vAlign w:val="bottom"/>
          </w:tcPr>
          <w:p>
            <w:pPr>
              <w:autoSpaceDN w:val="0"/>
              <w:jc w:val="right"/>
              <w:textAlignment w:val="bottom"/>
              <w:rPr>
                <w:rFonts w:hint="default" w:ascii="宋体" w:hAnsi="宋体" w:eastAsia="宋体"/>
                <w:b w:val="0"/>
                <w:i w:val="0"/>
                <w:color w:val="auto"/>
                <w:sz w:val="20"/>
                <w:highlight w:val="none"/>
                <w:u w:val="none"/>
                <w:lang w:eastAsia="zh-CN"/>
              </w:rPr>
            </w:pPr>
            <w:r>
              <w:rPr>
                <w:rFonts w:hint="default" w:ascii="宋体" w:hAnsi="宋体" w:eastAsia="宋体"/>
                <w:b w:val="0"/>
                <w:i w:val="0"/>
                <w:color w:val="auto"/>
                <w:sz w:val="20"/>
                <w:highlight w:val="none"/>
                <w:u w:val="none"/>
                <w:lang w:eastAsia="zh-CN"/>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9" w:hRule="atLeast"/>
        </w:trPr>
        <w:tc>
          <w:tcPr>
            <w:tcW w:w="2856" w:type="dxa"/>
            <w:gridSpan w:val="2"/>
            <w:vAlign w:val="bottom"/>
          </w:tcPr>
          <w:p>
            <w:pPr>
              <w:autoSpaceDN w:val="0"/>
              <w:jc w:val="left"/>
              <w:textAlignment w:val="bottom"/>
              <w:rPr>
                <w:rFonts w:hint="default" w:ascii="Arial" w:hAnsi="宋体"/>
                <w:b w:val="0"/>
                <w:i w:val="0"/>
                <w:color w:val="auto"/>
                <w:sz w:val="20"/>
                <w:highlight w:val="none"/>
                <w:u w:val="none"/>
              </w:rPr>
            </w:pPr>
            <w:r>
              <w:rPr>
                <w:rFonts w:hint="eastAsia" w:ascii="宋体" w:hAnsi="宋体"/>
                <w:b w:val="0"/>
                <w:i w:val="0"/>
                <w:color w:val="auto"/>
                <w:sz w:val="20"/>
                <w:highlight w:val="none"/>
                <w:u w:val="none"/>
                <w:lang w:eastAsia="zh-CN"/>
              </w:rPr>
              <w:t>单位</w:t>
            </w:r>
            <w:r>
              <w:rPr>
                <w:rFonts w:hint="default" w:ascii="宋体" w:hAnsi="宋体" w:eastAsia="宋体"/>
                <w:b w:val="0"/>
                <w:i w:val="0"/>
                <w:color w:val="auto"/>
                <w:sz w:val="20"/>
                <w:highlight w:val="none"/>
                <w:u w:val="none"/>
                <w:lang w:eastAsia="zh-CN"/>
              </w:rPr>
              <w:t>：许昌市畜牧技术推广站</w:t>
            </w:r>
          </w:p>
        </w:tc>
        <w:tc>
          <w:tcPr>
            <w:tcW w:w="2323" w:type="dxa"/>
            <w:vAlign w:val="bottom"/>
          </w:tcPr>
          <w:p>
            <w:pPr>
              <w:autoSpaceDN w:val="0"/>
              <w:jc w:val="left"/>
              <w:textAlignment w:val="bottom"/>
              <w:rPr>
                <w:rFonts w:hint="default" w:ascii="Arial" w:hAnsi="宋体"/>
                <w:b w:val="0"/>
                <w:i w:val="0"/>
                <w:color w:val="auto"/>
                <w:sz w:val="20"/>
                <w:highlight w:val="none"/>
                <w:u w:val="none"/>
              </w:rPr>
            </w:pPr>
          </w:p>
        </w:tc>
        <w:tc>
          <w:tcPr>
            <w:tcW w:w="2846" w:type="dxa"/>
            <w:vAlign w:val="bottom"/>
          </w:tcPr>
          <w:p>
            <w:pPr>
              <w:autoSpaceDN w:val="0"/>
              <w:jc w:val="left"/>
              <w:textAlignment w:val="bottom"/>
              <w:rPr>
                <w:rFonts w:hint="default" w:ascii="Arial" w:hAnsi="宋体"/>
                <w:b w:val="0"/>
                <w:i w:val="0"/>
                <w:color w:val="auto"/>
                <w:sz w:val="20"/>
                <w:highlight w:val="none"/>
                <w:u w:val="none"/>
              </w:rPr>
            </w:pPr>
          </w:p>
        </w:tc>
        <w:tc>
          <w:tcPr>
            <w:tcW w:w="334" w:type="dxa"/>
            <w:vAlign w:val="bottom"/>
          </w:tcPr>
          <w:p>
            <w:pPr>
              <w:autoSpaceDN w:val="0"/>
              <w:jc w:val="left"/>
              <w:textAlignment w:val="bottom"/>
              <w:rPr>
                <w:rFonts w:hint="default" w:ascii="Arial" w:hAnsi="宋体"/>
                <w:b w:val="0"/>
                <w:i w:val="0"/>
                <w:color w:val="auto"/>
                <w:sz w:val="20"/>
                <w:highlight w:val="none"/>
                <w:u w:val="none"/>
              </w:rPr>
            </w:pPr>
          </w:p>
        </w:tc>
        <w:tc>
          <w:tcPr>
            <w:tcW w:w="1104" w:type="dxa"/>
            <w:gridSpan w:val="2"/>
            <w:vAlign w:val="bottom"/>
          </w:tcPr>
          <w:p>
            <w:pPr>
              <w:autoSpaceDN w:val="0"/>
              <w:jc w:val="left"/>
              <w:textAlignment w:val="bottom"/>
              <w:rPr>
                <w:rFonts w:hint="default" w:ascii="Arial" w:hAnsi="宋体"/>
                <w:b w:val="0"/>
                <w:i w:val="0"/>
                <w:color w:val="auto"/>
                <w:sz w:val="20"/>
                <w:highlight w:val="none"/>
                <w:u w:val="none"/>
              </w:rPr>
            </w:pPr>
          </w:p>
        </w:tc>
        <w:tc>
          <w:tcPr>
            <w:tcW w:w="856" w:type="dxa"/>
            <w:vAlign w:val="bottom"/>
          </w:tcPr>
          <w:p>
            <w:pPr>
              <w:autoSpaceDN w:val="0"/>
              <w:jc w:val="left"/>
              <w:textAlignment w:val="bottom"/>
              <w:rPr>
                <w:rFonts w:hint="default" w:ascii="Arial" w:hAnsi="宋体"/>
                <w:b w:val="0"/>
                <w:i w:val="0"/>
                <w:color w:val="auto"/>
                <w:sz w:val="20"/>
                <w:highlight w:val="none"/>
                <w:u w:val="none"/>
              </w:rPr>
            </w:pPr>
          </w:p>
        </w:tc>
        <w:tc>
          <w:tcPr>
            <w:tcW w:w="857" w:type="dxa"/>
            <w:gridSpan w:val="2"/>
            <w:vAlign w:val="bottom"/>
          </w:tcPr>
          <w:p>
            <w:pPr>
              <w:autoSpaceDN w:val="0"/>
              <w:jc w:val="left"/>
              <w:textAlignment w:val="bottom"/>
              <w:rPr>
                <w:rFonts w:hint="default" w:ascii="Arial" w:hAnsi="宋体"/>
                <w:b w:val="0"/>
                <w:i w:val="0"/>
                <w:color w:val="auto"/>
                <w:sz w:val="20"/>
                <w:highlight w:val="none"/>
                <w:u w:val="none"/>
              </w:rPr>
            </w:pPr>
          </w:p>
        </w:tc>
        <w:tc>
          <w:tcPr>
            <w:tcW w:w="2544" w:type="dxa"/>
            <w:vAlign w:val="bottom"/>
          </w:tcPr>
          <w:p>
            <w:pPr>
              <w:autoSpaceDN w:val="0"/>
              <w:jc w:val="right"/>
              <w:textAlignment w:val="bottom"/>
              <w:rPr>
                <w:rFonts w:hint="default" w:ascii="宋体" w:hAnsi="宋体" w:eastAsia="宋体"/>
                <w:b w:val="0"/>
                <w:i w:val="0"/>
                <w:color w:val="auto"/>
                <w:sz w:val="20"/>
                <w:highlight w:val="none"/>
                <w:u w:val="none"/>
                <w:lang w:eastAsia="zh-CN"/>
              </w:rPr>
            </w:pPr>
            <w:r>
              <w:rPr>
                <w:rFonts w:hint="default" w:ascii="宋体" w:hAnsi="宋体" w:eastAsia="宋体"/>
                <w:b w:val="0"/>
                <w:i w:val="0"/>
                <w:color w:val="auto"/>
                <w:sz w:val="20"/>
                <w:highlight w:val="none"/>
                <w:u w:val="none"/>
                <w:lang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5179" w:type="dxa"/>
            <w:gridSpan w:val="3"/>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收     入</w:t>
            </w:r>
          </w:p>
        </w:tc>
        <w:tc>
          <w:tcPr>
            <w:tcW w:w="8541" w:type="dxa"/>
            <w:gridSpan w:val="8"/>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2" w:hRule="atLeast"/>
        </w:trPr>
        <w:tc>
          <w:tcPr>
            <w:tcW w:w="2336" w:type="dxa"/>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项目</w:t>
            </w:r>
          </w:p>
        </w:tc>
        <w:tc>
          <w:tcPr>
            <w:tcW w:w="520"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行次</w:t>
            </w:r>
          </w:p>
        </w:tc>
        <w:tc>
          <w:tcPr>
            <w:tcW w:w="2323"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金额</w:t>
            </w:r>
          </w:p>
        </w:tc>
        <w:tc>
          <w:tcPr>
            <w:tcW w:w="2846"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项目</w:t>
            </w:r>
          </w:p>
        </w:tc>
        <w:tc>
          <w:tcPr>
            <w:tcW w:w="334"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行次</w:t>
            </w:r>
          </w:p>
        </w:tc>
        <w:tc>
          <w:tcPr>
            <w:tcW w:w="1103"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合计</w:t>
            </w:r>
          </w:p>
        </w:tc>
        <w:tc>
          <w:tcPr>
            <w:tcW w:w="857" w:type="dxa"/>
            <w:gridSpan w:val="2"/>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一般公共预算财政拨款</w:t>
            </w:r>
          </w:p>
        </w:tc>
        <w:tc>
          <w:tcPr>
            <w:tcW w:w="856"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政府性基金预算财政拨款</w:t>
            </w:r>
          </w:p>
        </w:tc>
        <w:tc>
          <w:tcPr>
            <w:tcW w:w="2545" w:type="dxa"/>
            <w:gridSpan w:val="2"/>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4" w:hRule="atLeast"/>
        </w:trPr>
        <w:tc>
          <w:tcPr>
            <w:tcW w:w="2336" w:type="dxa"/>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color w:val="auto"/>
                <w:sz w:val="24"/>
                <w:highlight w:val="none"/>
              </w:rPr>
            </w:pPr>
          </w:p>
        </w:tc>
        <w:tc>
          <w:tcPr>
            <w:tcW w:w="520" w:type="dxa"/>
            <w:vMerge w:val="continue"/>
            <w:tcBorders>
              <w:bottom w:val="single" w:color="000000" w:sz="4" w:space="0"/>
              <w:right w:val="single" w:color="000000" w:sz="4" w:space="0"/>
            </w:tcBorders>
            <w:vAlign w:val="center"/>
          </w:tcPr>
          <w:p>
            <w:pPr>
              <w:rPr>
                <w:rFonts w:hint="default" w:ascii="宋体" w:hAnsi="宋体"/>
                <w:color w:val="auto"/>
                <w:sz w:val="24"/>
                <w:highlight w:val="none"/>
              </w:rPr>
            </w:pPr>
          </w:p>
        </w:tc>
        <w:tc>
          <w:tcPr>
            <w:tcW w:w="2323" w:type="dxa"/>
            <w:vMerge w:val="continue"/>
            <w:tcBorders>
              <w:bottom w:val="single" w:color="000000" w:sz="4" w:space="0"/>
              <w:right w:val="single" w:color="000000" w:sz="4" w:space="0"/>
            </w:tcBorders>
            <w:vAlign w:val="center"/>
          </w:tcPr>
          <w:p>
            <w:pPr>
              <w:rPr>
                <w:rFonts w:hint="default" w:ascii="宋体" w:hAnsi="宋体"/>
                <w:color w:val="auto"/>
                <w:sz w:val="24"/>
                <w:highlight w:val="none"/>
              </w:rPr>
            </w:pPr>
          </w:p>
        </w:tc>
        <w:tc>
          <w:tcPr>
            <w:tcW w:w="2846" w:type="dxa"/>
            <w:vMerge w:val="continue"/>
            <w:tcBorders>
              <w:bottom w:val="single" w:color="000000" w:sz="4" w:space="0"/>
              <w:right w:val="single" w:color="000000" w:sz="4" w:space="0"/>
            </w:tcBorders>
            <w:vAlign w:val="center"/>
          </w:tcPr>
          <w:p>
            <w:pPr>
              <w:rPr>
                <w:rFonts w:hint="default" w:ascii="宋体" w:hAnsi="宋体"/>
                <w:color w:val="auto"/>
                <w:sz w:val="24"/>
                <w:highlight w:val="none"/>
              </w:rPr>
            </w:pPr>
          </w:p>
        </w:tc>
        <w:tc>
          <w:tcPr>
            <w:tcW w:w="334" w:type="dxa"/>
            <w:vMerge w:val="continue"/>
            <w:tcBorders>
              <w:bottom w:val="single" w:color="000000" w:sz="4" w:space="0"/>
              <w:right w:val="single" w:color="000000" w:sz="4" w:space="0"/>
            </w:tcBorders>
            <w:vAlign w:val="center"/>
          </w:tcPr>
          <w:p>
            <w:pPr>
              <w:rPr>
                <w:rFonts w:hint="default" w:ascii="宋体" w:hAnsi="宋体"/>
                <w:color w:val="auto"/>
                <w:sz w:val="24"/>
                <w:highlight w:val="none"/>
              </w:rPr>
            </w:pPr>
          </w:p>
        </w:tc>
        <w:tc>
          <w:tcPr>
            <w:tcW w:w="1103" w:type="dxa"/>
            <w:vMerge w:val="continue"/>
            <w:tcBorders>
              <w:bottom w:val="single" w:color="000000" w:sz="4" w:space="0"/>
              <w:right w:val="single" w:color="000000" w:sz="4" w:space="0"/>
            </w:tcBorders>
            <w:vAlign w:val="center"/>
          </w:tcPr>
          <w:p>
            <w:pPr>
              <w:rPr>
                <w:rFonts w:hint="default" w:ascii="宋体" w:hAnsi="宋体"/>
                <w:color w:val="auto"/>
                <w:sz w:val="24"/>
                <w:highlight w:val="none"/>
              </w:rPr>
            </w:pPr>
          </w:p>
        </w:tc>
        <w:tc>
          <w:tcPr>
            <w:tcW w:w="857" w:type="dxa"/>
            <w:gridSpan w:val="2"/>
            <w:vMerge w:val="continue"/>
            <w:tcBorders>
              <w:bottom w:val="single" w:color="000000" w:sz="4" w:space="0"/>
              <w:right w:val="single" w:color="000000" w:sz="4" w:space="0"/>
            </w:tcBorders>
            <w:vAlign w:val="center"/>
          </w:tcPr>
          <w:p>
            <w:pPr>
              <w:rPr>
                <w:rFonts w:hint="default" w:ascii="宋体" w:hAnsi="宋体"/>
                <w:color w:val="auto"/>
                <w:sz w:val="24"/>
                <w:highlight w:val="none"/>
              </w:rPr>
            </w:pPr>
          </w:p>
        </w:tc>
        <w:tc>
          <w:tcPr>
            <w:tcW w:w="856" w:type="dxa"/>
            <w:vMerge w:val="continue"/>
            <w:tcBorders>
              <w:bottom w:val="single" w:color="000000" w:sz="4" w:space="0"/>
              <w:right w:val="single" w:color="000000" w:sz="4" w:space="0"/>
            </w:tcBorders>
            <w:vAlign w:val="center"/>
          </w:tcPr>
          <w:p>
            <w:pPr>
              <w:rPr>
                <w:rFonts w:hint="default" w:ascii="宋体" w:hAnsi="宋体"/>
                <w:color w:val="auto"/>
                <w:sz w:val="24"/>
                <w:highlight w:val="none"/>
              </w:rPr>
            </w:pPr>
          </w:p>
        </w:tc>
        <w:tc>
          <w:tcPr>
            <w:tcW w:w="2545" w:type="dxa"/>
            <w:gridSpan w:val="2"/>
            <w:vMerge w:val="continue"/>
            <w:tcBorders>
              <w:bottom w:val="single" w:color="000000" w:sz="4" w:space="0"/>
              <w:right w:val="single" w:color="000000" w:sz="4" w:space="0"/>
            </w:tcBorders>
            <w:vAlign w:val="center"/>
          </w:tcPr>
          <w:p>
            <w:pPr>
              <w:rPr>
                <w:rFonts w:hint="default" w:ascii="宋体" w:hAnsi="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栏次</w:t>
            </w: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p>
        </w:tc>
        <w:tc>
          <w:tcPr>
            <w:tcW w:w="23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1</w:t>
            </w:r>
          </w:p>
        </w:tc>
        <w:tc>
          <w:tcPr>
            <w:tcW w:w="28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栏次</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p>
        </w:tc>
        <w:tc>
          <w:tcPr>
            <w:tcW w:w="110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2</w:t>
            </w:r>
          </w:p>
        </w:tc>
        <w:tc>
          <w:tcPr>
            <w:tcW w:w="857"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w:t>
            </w:r>
          </w:p>
        </w:tc>
        <w:tc>
          <w:tcPr>
            <w:tcW w:w="85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4</w:t>
            </w:r>
          </w:p>
        </w:tc>
        <w:tc>
          <w:tcPr>
            <w:tcW w:w="25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一、一般公共预算财政拨款</w:t>
            </w: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1</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440.31</w:t>
            </w: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一、一般公共服务支出</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33</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2.28</w:t>
            </w: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2.28</w:t>
            </w: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8"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二、政府性基金预算财政拨款</w:t>
            </w: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2</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二、外交支出</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34</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三、国有资本经营财政拨款</w:t>
            </w: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三、国防支出</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35</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4</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四、公共安全支出</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36</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5</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五、教育支出</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37</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6</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六、科学技术支出</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38</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7</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七、文化旅游体育与传媒支出</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39</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8</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八、社会保障和就业支出</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40</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93.06</w:t>
            </w: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93.06</w:t>
            </w: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9</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九、卫生健康支出</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41</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11.86</w:t>
            </w: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11.86</w:t>
            </w: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10</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十、节能环保支出</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42</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11</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十一、城乡社区支出</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43</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12</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十二、农林水支出</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44</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389.23</w:t>
            </w: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389.23</w:t>
            </w: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13</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十三、交通运输支出</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45</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14</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十四、资源勘探工业信息等支出</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46</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15</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十五、商业服务业等支出</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47</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16</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十六、金融支出</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48</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17</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十七、援助其他地区支出</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49</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18</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十八、自然资源海洋气象等支出</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50</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19</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十九、住房保障支出</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51</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20</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二十、粮油物资储备支出</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52</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21</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二十一、国有资本经营预算支出</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53</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8"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22</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二十二、灾害防治及应急管理支出</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54</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23</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二十三、其他支出</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55</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auto"/>
                <w:sz w:val="20"/>
                <w:highlight w:val="none"/>
                <w:u w:val="none"/>
                <w:lang w:eastAsia="zh-CN"/>
              </w:rPr>
            </w:pP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24</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二十四、债务还本支出</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56</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0"/>
                <w:highlight w:val="none"/>
                <w:u w:val="none"/>
                <w:lang w:eastAsia="zh-CN"/>
              </w:rPr>
            </w:pP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25</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二十五、债务付息支出</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57</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8"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0"/>
                <w:highlight w:val="none"/>
                <w:u w:val="none"/>
                <w:lang w:eastAsia="zh-CN"/>
              </w:rPr>
            </w:pP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26</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二十六、抗疫特别国债安排的支出</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58</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auto"/>
                <w:sz w:val="22"/>
                <w:highlight w:val="none"/>
                <w:u w:val="none"/>
                <w:lang w:eastAsia="zh-CN"/>
              </w:rPr>
            </w:pPr>
            <w:r>
              <w:rPr>
                <w:rFonts w:hint="default" w:ascii="宋体" w:hAnsi="宋体" w:eastAsia="宋体"/>
                <w:b/>
                <w:i w:val="0"/>
                <w:color w:val="auto"/>
                <w:sz w:val="22"/>
                <w:highlight w:val="none"/>
                <w:u w:val="none"/>
                <w:lang w:eastAsia="zh-CN"/>
              </w:rPr>
              <w:t>本年收入合计</w:t>
            </w: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27</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440.31</w:t>
            </w:r>
          </w:p>
        </w:tc>
        <w:tc>
          <w:tcPr>
            <w:tcW w:w="28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auto"/>
                <w:sz w:val="22"/>
                <w:highlight w:val="none"/>
                <w:u w:val="none"/>
                <w:lang w:eastAsia="zh-CN"/>
              </w:rPr>
            </w:pPr>
            <w:r>
              <w:rPr>
                <w:rFonts w:hint="default" w:ascii="宋体" w:hAnsi="宋体" w:eastAsia="宋体"/>
                <w:b/>
                <w:i w:val="0"/>
                <w:color w:val="auto"/>
                <w:sz w:val="22"/>
                <w:highlight w:val="none"/>
                <w:u w:val="none"/>
                <w:lang w:eastAsia="zh-CN"/>
              </w:rPr>
              <w:t>本年支出合计</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59</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496.43</w:t>
            </w: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496.43</w:t>
            </w: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年初财政拨款结转和结余</w:t>
            </w: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28</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56.12</w:t>
            </w: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年末财政拨款结转和结余</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60</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一般公共预算财政拨款</w:t>
            </w: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29</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56.12</w:t>
            </w: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61</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政府性基金预算财政拨款</w:t>
            </w: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62</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8"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国有资本经营预算财政拨款</w:t>
            </w: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31</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63</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auto"/>
                <w:sz w:val="22"/>
                <w:highlight w:val="none"/>
                <w:u w:val="none"/>
                <w:lang w:eastAsia="zh-CN"/>
              </w:rPr>
            </w:pPr>
            <w:r>
              <w:rPr>
                <w:rFonts w:hint="default" w:ascii="宋体" w:hAnsi="宋体" w:eastAsia="宋体"/>
                <w:b/>
                <w:i w:val="0"/>
                <w:color w:val="auto"/>
                <w:sz w:val="22"/>
                <w:highlight w:val="none"/>
                <w:u w:val="none"/>
                <w:lang w:eastAsia="zh-CN"/>
              </w:rPr>
              <w:t>总计</w:t>
            </w:r>
          </w:p>
        </w:tc>
        <w:tc>
          <w:tcPr>
            <w:tcW w:w="520" w:type="dxa"/>
            <w:tcBorders>
              <w:bottom w:val="single" w:color="000000" w:sz="8"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32</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496.43</w:t>
            </w:r>
          </w:p>
        </w:tc>
        <w:tc>
          <w:tcPr>
            <w:tcW w:w="28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auto"/>
                <w:sz w:val="22"/>
                <w:highlight w:val="none"/>
                <w:u w:val="none"/>
                <w:lang w:eastAsia="zh-CN"/>
              </w:rPr>
            </w:pPr>
            <w:r>
              <w:rPr>
                <w:rFonts w:hint="default" w:ascii="宋体" w:hAnsi="宋体" w:eastAsia="宋体"/>
                <w:b/>
                <w:i w:val="0"/>
                <w:color w:val="auto"/>
                <w:sz w:val="22"/>
                <w:highlight w:val="none"/>
                <w:u w:val="none"/>
                <w:lang w:eastAsia="zh-CN"/>
              </w:rPr>
              <w:t>总计</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64</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496.43</w:t>
            </w: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496.43</w:t>
            </w: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17" w:hRule="atLeast"/>
        </w:trPr>
        <w:tc>
          <w:tcPr>
            <w:tcW w:w="13720" w:type="dxa"/>
            <w:gridSpan w:val="11"/>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注：本表反映</w:t>
            </w:r>
            <w:r>
              <w:rPr>
                <w:rFonts w:hint="eastAsia" w:ascii="宋体" w:hAnsi="宋体"/>
                <w:b w:val="0"/>
                <w:i w:val="0"/>
                <w:color w:val="auto"/>
                <w:sz w:val="22"/>
                <w:highlight w:val="none"/>
                <w:u w:val="none"/>
                <w:lang w:eastAsia="zh-CN"/>
              </w:rPr>
              <w:t>单位</w:t>
            </w:r>
            <w:r>
              <w:rPr>
                <w:rFonts w:hint="default" w:ascii="宋体" w:hAnsi="宋体" w:eastAsia="宋体"/>
                <w:b w:val="0"/>
                <w:i w:val="0"/>
                <w:color w:val="auto"/>
                <w:sz w:val="22"/>
                <w:highlight w:val="none"/>
                <w:u w:val="none"/>
                <w:lang w:eastAsia="zh-CN"/>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26"/>
        <w:gridCol w:w="688"/>
        <w:gridCol w:w="2225"/>
        <w:gridCol w:w="3449"/>
        <w:gridCol w:w="3449"/>
        <w:gridCol w:w="34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988"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宋体" w:hAnsi="宋体" w:eastAsia="宋体" w:cs="宋体"/>
                <w:color w:val="auto"/>
                <w:kern w:val="0"/>
                <w:sz w:val="32"/>
                <w:szCs w:val="32"/>
                <w:highlight w:val="none"/>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 w:hRule="atLeast"/>
        </w:trPr>
        <w:tc>
          <w:tcPr>
            <w:tcW w:w="726" w:type="dxa"/>
            <w:tcBorders>
              <w:top w:val="nil"/>
              <w:left w:val="nil"/>
              <w:bottom w:val="nil"/>
              <w:right w:val="nil"/>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688" w:type="dxa"/>
            <w:tcBorders>
              <w:top w:val="nil"/>
              <w:left w:val="nil"/>
              <w:bottom w:val="nil"/>
              <w:right w:val="nil"/>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2225" w:type="dxa"/>
            <w:tcBorders>
              <w:top w:val="nil"/>
              <w:left w:val="nil"/>
              <w:bottom w:val="nil"/>
              <w:right w:val="nil"/>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3449" w:type="dxa"/>
            <w:tcBorders>
              <w:top w:val="nil"/>
              <w:left w:val="nil"/>
              <w:bottom w:val="nil"/>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3449" w:type="dxa"/>
            <w:tcBorders>
              <w:top w:val="nil"/>
              <w:left w:val="nil"/>
              <w:bottom w:val="nil"/>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3451" w:type="dxa"/>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公开0</w:t>
            </w:r>
            <w:r>
              <w:rPr>
                <w:rStyle w:val="14"/>
                <w:rFonts w:hint="default"/>
                <w:color w:val="auto"/>
                <w:highlight w:val="none"/>
              </w:rPr>
              <w:t>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639" w:type="dxa"/>
            <w:gridSpan w:val="3"/>
            <w:tcBorders>
              <w:top w:val="nil"/>
              <w:left w:val="nil"/>
              <w:bottom w:val="nil"/>
              <w:right w:val="nil"/>
            </w:tcBorders>
            <w:tcMar>
              <w:top w:w="15" w:type="dxa"/>
              <w:left w:w="15" w:type="dxa"/>
              <w:right w:w="15" w:type="dxa"/>
            </w:tcMar>
            <w:vAlign w:val="bottom"/>
          </w:tcPr>
          <w:p>
            <w:pPr>
              <w:autoSpaceDN w:val="0"/>
              <w:jc w:val="left"/>
              <w:textAlignment w:val="bottom"/>
              <w:rPr>
                <w:rFonts w:hint="eastAsia" w:ascii="宋体" w:hAnsi="宋体" w:cs="宋体"/>
                <w:color w:val="auto"/>
                <w:sz w:val="20"/>
                <w:szCs w:val="20"/>
                <w:highlight w:val="none"/>
              </w:rPr>
            </w:pPr>
            <w:r>
              <w:rPr>
                <w:rFonts w:hint="eastAsia" w:ascii="宋体" w:hAnsi="宋体"/>
                <w:b w:val="0"/>
                <w:i w:val="0"/>
                <w:color w:val="auto"/>
                <w:sz w:val="20"/>
                <w:highlight w:val="none"/>
                <w:u w:val="none"/>
                <w:lang w:eastAsia="zh-CN"/>
              </w:rPr>
              <w:t>单位</w:t>
            </w:r>
            <w:r>
              <w:rPr>
                <w:rFonts w:hint="default" w:ascii="宋体" w:hAnsi="宋体" w:eastAsia="宋体"/>
                <w:b w:val="0"/>
                <w:i w:val="0"/>
                <w:color w:val="auto"/>
                <w:sz w:val="20"/>
                <w:highlight w:val="none"/>
                <w:u w:val="none"/>
                <w:lang w:eastAsia="zh-CN"/>
              </w:rPr>
              <w:t>：许昌市畜牧技术推广站</w:t>
            </w:r>
          </w:p>
        </w:tc>
        <w:tc>
          <w:tcPr>
            <w:tcW w:w="3449" w:type="dxa"/>
            <w:tcBorders>
              <w:top w:val="nil"/>
              <w:left w:val="nil"/>
              <w:bottom w:val="nil"/>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3449" w:type="dxa"/>
            <w:tcBorders>
              <w:top w:val="nil"/>
              <w:left w:val="nil"/>
              <w:bottom w:val="nil"/>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3451" w:type="dxa"/>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3639"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 xml:space="preserve">项 </w:t>
            </w:r>
            <w:r>
              <w:rPr>
                <w:rStyle w:val="15"/>
                <w:rFonts w:hint="default"/>
                <w:color w:val="auto"/>
                <w:sz w:val="20"/>
                <w:szCs w:val="20"/>
                <w:highlight w:val="none"/>
              </w:rPr>
              <w:t xml:space="preserve">   </w:t>
            </w:r>
            <w:r>
              <w:rPr>
                <w:rStyle w:val="16"/>
                <w:rFonts w:hint="default"/>
                <w:color w:val="auto"/>
                <w:sz w:val="20"/>
                <w:szCs w:val="20"/>
                <w:highlight w:val="none"/>
              </w:rPr>
              <w:t>目</w:t>
            </w:r>
          </w:p>
        </w:tc>
        <w:tc>
          <w:tcPr>
            <w:tcW w:w="10349" w:type="dxa"/>
            <w:gridSpan w:val="3"/>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1414"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功能分类</w:t>
            </w:r>
          </w:p>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科目编码</w:t>
            </w:r>
          </w:p>
        </w:tc>
        <w:tc>
          <w:tcPr>
            <w:tcW w:w="222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科目名称</w:t>
            </w:r>
          </w:p>
        </w:tc>
        <w:tc>
          <w:tcPr>
            <w:tcW w:w="3449"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小计</w:t>
            </w:r>
          </w:p>
        </w:tc>
        <w:tc>
          <w:tcPr>
            <w:tcW w:w="3449"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基本支出</w:t>
            </w:r>
          </w:p>
        </w:tc>
        <w:tc>
          <w:tcPr>
            <w:tcW w:w="3451" w:type="dxa"/>
            <w:vMerge w:val="restart"/>
            <w:tcBorders>
              <w:top w:val="nil"/>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22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3451"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22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3451"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639"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栏次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1</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2</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639"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合计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496.43</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494.96</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tabs>
                <w:tab w:val="left" w:pos="323"/>
              </w:tabs>
              <w:jc w:val="left"/>
              <w:rPr>
                <w:rFonts w:hint="eastAsia" w:ascii="宋体" w:hAnsi="宋体" w:eastAsia="宋体" w:cs="宋体"/>
                <w:color w:val="auto"/>
                <w:sz w:val="20"/>
                <w:szCs w:val="20"/>
                <w:highlight w:val="none"/>
                <w:lang w:eastAsia="zh-CN"/>
              </w:rPr>
            </w:pPr>
            <w:r>
              <w:rPr>
                <w:rFonts w:hint="eastAsia" w:ascii="宋体" w:hAnsi="宋体" w:cs="宋体"/>
                <w:color w:val="auto"/>
                <w:sz w:val="20"/>
                <w:szCs w:val="20"/>
                <w:highlight w:val="none"/>
                <w:lang w:eastAsia="zh-CN"/>
              </w:rPr>
              <w:tab/>
            </w:r>
            <w:r>
              <w:rPr>
                <w:rFonts w:hint="eastAsia" w:ascii="宋体" w:hAnsi="宋体" w:cs="宋体"/>
                <w:color w:val="auto"/>
                <w:sz w:val="20"/>
                <w:szCs w:val="20"/>
                <w:highlight w:val="none"/>
                <w:lang w:eastAsia="zh-CN"/>
              </w:rPr>
              <w:t>201</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r>
              <w:rPr>
                <w:rFonts w:hint="eastAsia" w:ascii="宋体" w:hAnsi="宋体" w:cs="宋体"/>
                <w:color w:val="auto"/>
                <w:sz w:val="20"/>
                <w:szCs w:val="20"/>
                <w:highlight w:val="none"/>
              </w:rPr>
              <w:t>一般公共服务支出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2.28</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2.28</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20129</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r>
              <w:rPr>
                <w:rFonts w:hint="eastAsia" w:ascii="宋体" w:hAnsi="宋体" w:cs="宋体"/>
                <w:color w:val="auto"/>
                <w:sz w:val="20"/>
                <w:szCs w:val="20"/>
                <w:highlight w:val="none"/>
              </w:rPr>
              <w:t>群众团体事务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2.28</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2.28</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2012906</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r>
              <w:rPr>
                <w:rFonts w:hint="eastAsia" w:ascii="宋体" w:hAnsi="宋体" w:cs="宋体"/>
                <w:color w:val="auto"/>
                <w:sz w:val="20"/>
                <w:szCs w:val="20"/>
                <w:highlight w:val="none"/>
              </w:rPr>
              <w:t>工会事务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2.28</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2.28</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208</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r>
              <w:rPr>
                <w:rFonts w:hint="eastAsia" w:ascii="宋体" w:hAnsi="宋体" w:cs="宋体"/>
                <w:color w:val="auto"/>
                <w:sz w:val="20"/>
                <w:szCs w:val="20"/>
                <w:highlight w:val="none"/>
              </w:rPr>
              <w:t>社会保障和就业支出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93.06</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93.06</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20805</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r>
              <w:rPr>
                <w:rFonts w:hint="eastAsia" w:ascii="宋体" w:hAnsi="宋体" w:cs="宋体"/>
                <w:color w:val="auto"/>
                <w:sz w:val="20"/>
                <w:szCs w:val="20"/>
                <w:highlight w:val="none"/>
              </w:rPr>
              <w:t>行政事业单位养老支出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93.06</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93.06</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2080502</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r>
              <w:rPr>
                <w:rFonts w:hint="eastAsia" w:ascii="宋体" w:hAnsi="宋体" w:cs="宋体"/>
                <w:color w:val="auto"/>
                <w:sz w:val="20"/>
                <w:szCs w:val="20"/>
                <w:highlight w:val="none"/>
              </w:rPr>
              <w:t>事业单位离退休</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65.57</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65.57</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tabs>
                <w:tab w:val="left" w:pos="387"/>
              </w:tabs>
              <w:jc w:val="left"/>
              <w:rPr>
                <w:rFonts w:hint="eastAsia" w:ascii="宋体" w:hAnsi="宋体" w:eastAsia="宋体" w:cs="宋体"/>
                <w:color w:val="auto"/>
                <w:sz w:val="20"/>
                <w:szCs w:val="20"/>
                <w:highlight w:val="none"/>
                <w:lang w:eastAsia="zh-CN"/>
              </w:rPr>
            </w:pPr>
            <w:r>
              <w:rPr>
                <w:rFonts w:hint="eastAsia" w:ascii="宋体" w:hAnsi="宋体" w:cs="宋体"/>
                <w:color w:val="auto"/>
                <w:sz w:val="20"/>
                <w:szCs w:val="20"/>
                <w:highlight w:val="none"/>
                <w:lang w:eastAsia="zh-CN"/>
              </w:rPr>
              <w:tab/>
            </w:r>
            <w:r>
              <w:rPr>
                <w:rFonts w:hint="eastAsia" w:ascii="宋体" w:hAnsi="宋体" w:cs="宋体"/>
                <w:color w:val="auto"/>
                <w:sz w:val="20"/>
                <w:szCs w:val="20"/>
                <w:highlight w:val="none"/>
                <w:lang w:eastAsia="zh-CN"/>
              </w:rPr>
              <w:t>2080505</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r>
              <w:rPr>
                <w:rFonts w:hint="eastAsia" w:ascii="宋体" w:hAnsi="宋体" w:cs="宋体"/>
                <w:color w:val="auto"/>
                <w:sz w:val="20"/>
                <w:szCs w:val="20"/>
                <w:highlight w:val="none"/>
              </w:rPr>
              <w:t>机关事业单位基本养老保险缴费支出</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27.49</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27.49</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210</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r>
              <w:rPr>
                <w:rFonts w:hint="eastAsia" w:ascii="宋体" w:hAnsi="宋体" w:cs="宋体"/>
                <w:color w:val="auto"/>
                <w:sz w:val="20"/>
                <w:szCs w:val="20"/>
                <w:highlight w:val="none"/>
              </w:rPr>
              <w:t>卫生健康支出</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11.86</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11.86</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21011</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r>
              <w:rPr>
                <w:rFonts w:hint="eastAsia" w:ascii="宋体" w:hAnsi="宋体" w:cs="宋体"/>
                <w:color w:val="auto"/>
                <w:sz w:val="20"/>
                <w:szCs w:val="20"/>
                <w:highlight w:val="none"/>
              </w:rPr>
              <w:t>行政事业单位医疗</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11.86</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11.86</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2101102</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r>
              <w:rPr>
                <w:rFonts w:hint="eastAsia" w:ascii="宋体" w:hAnsi="宋体" w:cs="宋体"/>
                <w:color w:val="auto"/>
                <w:sz w:val="20"/>
                <w:szCs w:val="20"/>
                <w:highlight w:val="none"/>
              </w:rPr>
              <w:t>事业单位医疗</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11.86</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11.86</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213</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r>
              <w:rPr>
                <w:rFonts w:hint="eastAsia" w:ascii="宋体" w:hAnsi="宋体" w:cs="宋体"/>
                <w:color w:val="auto"/>
                <w:sz w:val="20"/>
                <w:szCs w:val="20"/>
                <w:highlight w:val="none"/>
              </w:rPr>
              <w:t>农林水支出</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389.23</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389.23</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21301</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r>
              <w:rPr>
                <w:rFonts w:hint="eastAsia" w:ascii="宋体" w:hAnsi="宋体" w:cs="宋体"/>
                <w:color w:val="auto"/>
                <w:sz w:val="20"/>
                <w:szCs w:val="20"/>
                <w:highlight w:val="none"/>
              </w:rPr>
              <w:t>农业农村</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389.23</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389.23</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2130104</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r>
              <w:rPr>
                <w:rFonts w:hint="eastAsia" w:ascii="宋体" w:hAnsi="宋体" w:cs="宋体"/>
                <w:color w:val="auto"/>
                <w:sz w:val="20"/>
                <w:szCs w:val="20"/>
                <w:highlight w:val="none"/>
              </w:rPr>
              <w:t>事业运行</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387.76</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387.76</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2130106</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r>
              <w:rPr>
                <w:rFonts w:hint="eastAsia" w:ascii="宋体" w:hAnsi="宋体" w:cs="宋体"/>
                <w:color w:val="auto"/>
                <w:sz w:val="20"/>
                <w:szCs w:val="20"/>
                <w:highlight w:val="none"/>
              </w:rPr>
              <w:t>科技转化与推广服务</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1.47</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13988" w:type="dxa"/>
            <w:gridSpan w:val="6"/>
            <w:tcBorders>
              <w:top w:val="nil"/>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注：本表反映</w:t>
            </w:r>
            <w:r>
              <w:rPr>
                <w:rFonts w:hint="eastAsia" w:ascii="宋体" w:hAnsi="宋体" w:cs="宋体"/>
                <w:color w:val="auto"/>
                <w:kern w:val="0"/>
                <w:sz w:val="20"/>
                <w:szCs w:val="20"/>
                <w:highlight w:val="none"/>
                <w:lang w:eastAsia="zh-CN"/>
              </w:rPr>
              <w:t>单位</w:t>
            </w:r>
            <w:r>
              <w:rPr>
                <w:rFonts w:hint="eastAsia" w:ascii="宋体" w:hAnsi="宋体" w:cs="宋体"/>
                <w:color w:val="auto"/>
                <w:kern w:val="0"/>
                <w:sz w:val="20"/>
                <w:szCs w:val="20"/>
                <w:highlight w:val="none"/>
              </w:rPr>
              <w:t>本年度一般公共预算财政拨款支出情况。本表金额转换为万元时，因四舍五入可能存在尾差。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745"/>
        <w:gridCol w:w="2021"/>
        <w:gridCol w:w="1176"/>
        <w:gridCol w:w="730"/>
        <w:gridCol w:w="1"/>
        <w:gridCol w:w="2120"/>
        <w:gridCol w:w="2"/>
        <w:gridCol w:w="1431"/>
        <w:gridCol w:w="1"/>
        <w:gridCol w:w="730"/>
        <w:gridCol w:w="2"/>
        <w:gridCol w:w="2521"/>
        <w:gridCol w:w="25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18" w:hRule="atLeast"/>
        </w:trPr>
        <w:tc>
          <w:tcPr>
            <w:tcW w:w="13988" w:type="dxa"/>
            <w:gridSpan w:val="13"/>
            <w:vAlign w:val="bottom"/>
          </w:tcPr>
          <w:p>
            <w:pPr>
              <w:autoSpaceDN w:val="0"/>
              <w:jc w:val="center"/>
              <w:textAlignment w:val="bottom"/>
              <w:rPr>
                <w:rFonts w:hint="default" w:ascii="宋体" w:hAnsi="宋体" w:eastAsia="宋体"/>
                <w:b w:val="0"/>
                <w:i w:val="0"/>
                <w:color w:val="auto"/>
                <w:sz w:val="30"/>
                <w:highlight w:val="none"/>
                <w:u w:val="none"/>
                <w:lang w:eastAsia="zh-CN"/>
              </w:rPr>
            </w:pPr>
            <w:r>
              <w:rPr>
                <w:rFonts w:hint="default" w:ascii="宋体" w:hAnsi="宋体" w:eastAsia="宋体"/>
                <w:b w:val="0"/>
                <w:i w:val="0"/>
                <w:color w:val="auto"/>
                <w:sz w:val="32"/>
                <w:szCs w:val="32"/>
                <w:highlight w:val="none"/>
                <w:u w:val="none"/>
                <w:lang w:eastAsia="zh-CN"/>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745" w:type="dxa"/>
            <w:vAlign w:val="bottom"/>
          </w:tcPr>
          <w:p>
            <w:pPr>
              <w:autoSpaceDN w:val="0"/>
              <w:jc w:val="left"/>
              <w:textAlignment w:val="bottom"/>
              <w:rPr>
                <w:rFonts w:hint="default" w:ascii="宋体" w:hAnsi="宋体" w:eastAsia="宋体"/>
                <w:b w:val="0"/>
                <w:i w:val="0"/>
                <w:color w:val="auto"/>
                <w:sz w:val="20"/>
                <w:highlight w:val="none"/>
                <w:u w:val="none"/>
                <w:lang w:eastAsia="zh-CN"/>
              </w:rPr>
            </w:pPr>
          </w:p>
        </w:tc>
        <w:tc>
          <w:tcPr>
            <w:tcW w:w="2021" w:type="dxa"/>
            <w:vAlign w:val="bottom"/>
          </w:tcPr>
          <w:p>
            <w:pPr>
              <w:autoSpaceDN w:val="0"/>
              <w:jc w:val="left"/>
              <w:textAlignment w:val="bottom"/>
              <w:rPr>
                <w:rFonts w:hint="default" w:ascii="宋体" w:hAnsi="宋体" w:eastAsia="宋体"/>
                <w:b w:val="0"/>
                <w:i w:val="0"/>
                <w:color w:val="auto"/>
                <w:sz w:val="20"/>
                <w:highlight w:val="none"/>
                <w:u w:val="none"/>
                <w:lang w:eastAsia="zh-CN"/>
              </w:rPr>
            </w:pPr>
          </w:p>
        </w:tc>
        <w:tc>
          <w:tcPr>
            <w:tcW w:w="1176" w:type="dxa"/>
            <w:vAlign w:val="bottom"/>
          </w:tcPr>
          <w:p>
            <w:pPr>
              <w:autoSpaceDN w:val="0"/>
              <w:jc w:val="left"/>
              <w:textAlignment w:val="bottom"/>
              <w:rPr>
                <w:rFonts w:hint="default" w:ascii="宋体" w:hAnsi="宋体" w:eastAsia="宋体"/>
                <w:b w:val="0"/>
                <w:i w:val="0"/>
                <w:color w:val="auto"/>
                <w:sz w:val="20"/>
                <w:highlight w:val="none"/>
                <w:u w:val="none"/>
                <w:lang w:eastAsia="zh-CN"/>
              </w:rPr>
            </w:pPr>
          </w:p>
        </w:tc>
        <w:tc>
          <w:tcPr>
            <w:tcW w:w="730" w:type="dxa"/>
            <w:vAlign w:val="bottom"/>
          </w:tcPr>
          <w:p>
            <w:pPr>
              <w:autoSpaceDN w:val="0"/>
              <w:jc w:val="left"/>
              <w:textAlignment w:val="bottom"/>
              <w:rPr>
                <w:rFonts w:hint="default" w:ascii="宋体" w:hAnsi="宋体" w:eastAsia="宋体"/>
                <w:b w:val="0"/>
                <w:i w:val="0"/>
                <w:color w:val="auto"/>
                <w:sz w:val="20"/>
                <w:highlight w:val="none"/>
                <w:u w:val="none"/>
                <w:lang w:eastAsia="zh-CN"/>
              </w:rPr>
            </w:pPr>
          </w:p>
        </w:tc>
        <w:tc>
          <w:tcPr>
            <w:tcW w:w="2121" w:type="dxa"/>
            <w:gridSpan w:val="2"/>
            <w:vAlign w:val="bottom"/>
          </w:tcPr>
          <w:p>
            <w:pPr>
              <w:autoSpaceDN w:val="0"/>
              <w:jc w:val="left"/>
              <w:textAlignment w:val="bottom"/>
              <w:rPr>
                <w:rFonts w:hint="default" w:ascii="宋体" w:hAnsi="宋体" w:eastAsia="宋体"/>
                <w:b w:val="0"/>
                <w:i w:val="0"/>
                <w:color w:val="auto"/>
                <w:sz w:val="20"/>
                <w:highlight w:val="none"/>
                <w:u w:val="none"/>
                <w:lang w:eastAsia="zh-CN"/>
              </w:rPr>
            </w:pPr>
          </w:p>
        </w:tc>
        <w:tc>
          <w:tcPr>
            <w:tcW w:w="1433" w:type="dxa"/>
            <w:gridSpan w:val="2"/>
            <w:vAlign w:val="bottom"/>
          </w:tcPr>
          <w:p>
            <w:pPr>
              <w:autoSpaceDN w:val="0"/>
              <w:jc w:val="left"/>
              <w:textAlignment w:val="bottom"/>
              <w:rPr>
                <w:rFonts w:hint="default" w:ascii="宋体" w:hAnsi="宋体" w:eastAsia="宋体"/>
                <w:b w:val="0"/>
                <w:i w:val="0"/>
                <w:color w:val="auto"/>
                <w:sz w:val="20"/>
                <w:highlight w:val="none"/>
                <w:u w:val="none"/>
                <w:lang w:eastAsia="zh-CN"/>
              </w:rPr>
            </w:pPr>
          </w:p>
        </w:tc>
        <w:tc>
          <w:tcPr>
            <w:tcW w:w="731" w:type="dxa"/>
            <w:gridSpan w:val="2"/>
            <w:vAlign w:val="bottom"/>
          </w:tcPr>
          <w:p>
            <w:pPr>
              <w:autoSpaceDN w:val="0"/>
              <w:jc w:val="left"/>
              <w:textAlignment w:val="bottom"/>
              <w:rPr>
                <w:rFonts w:hint="default" w:ascii="宋体" w:hAnsi="宋体" w:eastAsia="宋体"/>
                <w:b w:val="0"/>
                <w:i w:val="0"/>
                <w:color w:val="auto"/>
                <w:sz w:val="20"/>
                <w:highlight w:val="none"/>
                <w:u w:val="none"/>
                <w:lang w:eastAsia="zh-CN"/>
              </w:rPr>
            </w:pPr>
          </w:p>
        </w:tc>
        <w:tc>
          <w:tcPr>
            <w:tcW w:w="5031" w:type="dxa"/>
            <w:gridSpan w:val="3"/>
            <w:vAlign w:val="bottom"/>
          </w:tcPr>
          <w:p>
            <w:pPr>
              <w:autoSpaceDN w:val="0"/>
              <w:jc w:val="right"/>
              <w:textAlignment w:val="bottom"/>
              <w:rPr>
                <w:rFonts w:hint="default" w:ascii="宋体" w:hAnsi="宋体" w:eastAsia="宋体"/>
                <w:b w:val="0"/>
                <w:i w:val="0"/>
                <w:color w:val="auto"/>
                <w:sz w:val="20"/>
                <w:szCs w:val="20"/>
                <w:highlight w:val="none"/>
                <w:u w:val="none"/>
                <w:lang w:eastAsia="zh-CN"/>
              </w:rPr>
            </w:pPr>
            <w:r>
              <w:rPr>
                <w:rFonts w:hint="default" w:ascii="宋体" w:hAnsi="宋体" w:eastAsia="宋体"/>
                <w:b w:val="0"/>
                <w:i w:val="0"/>
                <w:color w:val="auto"/>
                <w:sz w:val="20"/>
                <w:szCs w:val="20"/>
                <w:highlight w:val="none"/>
                <w:u w:val="none"/>
                <w:lang w:eastAsia="zh-CN"/>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3942" w:type="dxa"/>
            <w:gridSpan w:val="3"/>
            <w:vAlign w:val="bottom"/>
          </w:tcPr>
          <w:p>
            <w:pPr>
              <w:autoSpaceDN w:val="0"/>
              <w:jc w:val="left"/>
              <w:textAlignment w:val="bottom"/>
              <w:rPr>
                <w:rFonts w:hint="default" w:ascii="宋体" w:hAnsi="宋体" w:eastAsia="宋体"/>
                <w:b w:val="0"/>
                <w:i w:val="0"/>
                <w:color w:val="auto"/>
                <w:sz w:val="20"/>
                <w:highlight w:val="none"/>
                <w:u w:val="none"/>
                <w:lang w:eastAsia="zh-CN"/>
              </w:rPr>
            </w:pPr>
            <w:r>
              <w:rPr>
                <w:rFonts w:hint="eastAsia" w:ascii="宋体" w:hAnsi="宋体"/>
                <w:b w:val="0"/>
                <w:i w:val="0"/>
                <w:color w:val="auto"/>
                <w:sz w:val="20"/>
                <w:highlight w:val="none"/>
                <w:u w:val="none"/>
                <w:lang w:eastAsia="zh-CN"/>
              </w:rPr>
              <w:t>单位</w:t>
            </w:r>
            <w:r>
              <w:rPr>
                <w:rFonts w:hint="default" w:ascii="宋体" w:hAnsi="宋体" w:eastAsia="宋体"/>
                <w:b w:val="0"/>
                <w:i w:val="0"/>
                <w:color w:val="auto"/>
                <w:sz w:val="20"/>
                <w:highlight w:val="none"/>
                <w:u w:val="none"/>
                <w:lang w:eastAsia="zh-CN"/>
              </w:rPr>
              <w:t>：许昌市畜牧技术推广站</w:t>
            </w:r>
          </w:p>
        </w:tc>
        <w:tc>
          <w:tcPr>
            <w:tcW w:w="730" w:type="dxa"/>
            <w:vAlign w:val="bottom"/>
          </w:tcPr>
          <w:p>
            <w:pPr>
              <w:autoSpaceDN w:val="0"/>
              <w:jc w:val="left"/>
              <w:textAlignment w:val="bottom"/>
              <w:rPr>
                <w:rFonts w:hint="default" w:ascii="宋体" w:hAnsi="宋体" w:eastAsia="宋体"/>
                <w:b w:val="0"/>
                <w:i w:val="0"/>
                <w:color w:val="auto"/>
                <w:sz w:val="20"/>
                <w:highlight w:val="none"/>
                <w:u w:val="none"/>
                <w:lang w:eastAsia="zh-CN"/>
              </w:rPr>
            </w:pPr>
          </w:p>
        </w:tc>
        <w:tc>
          <w:tcPr>
            <w:tcW w:w="2121" w:type="dxa"/>
            <w:gridSpan w:val="2"/>
            <w:vAlign w:val="bottom"/>
          </w:tcPr>
          <w:p>
            <w:pPr>
              <w:autoSpaceDN w:val="0"/>
              <w:jc w:val="left"/>
              <w:textAlignment w:val="bottom"/>
              <w:rPr>
                <w:rFonts w:hint="default" w:ascii="宋体" w:hAnsi="宋体" w:eastAsia="宋体"/>
                <w:b w:val="0"/>
                <w:i w:val="0"/>
                <w:color w:val="auto"/>
                <w:sz w:val="20"/>
                <w:highlight w:val="none"/>
                <w:u w:val="none"/>
                <w:lang w:eastAsia="zh-CN"/>
              </w:rPr>
            </w:pPr>
          </w:p>
        </w:tc>
        <w:tc>
          <w:tcPr>
            <w:tcW w:w="1433" w:type="dxa"/>
            <w:gridSpan w:val="2"/>
            <w:vAlign w:val="bottom"/>
          </w:tcPr>
          <w:p>
            <w:pPr>
              <w:autoSpaceDN w:val="0"/>
              <w:jc w:val="left"/>
              <w:textAlignment w:val="bottom"/>
              <w:rPr>
                <w:rFonts w:hint="default" w:ascii="宋体" w:hAnsi="宋体" w:eastAsia="宋体"/>
                <w:b w:val="0"/>
                <w:i w:val="0"/>
                <w:color w:val="auto"/>
                <w:sz w:val="20"/>
                <w:highlight w:val="none"/>
                <w:u w:val="none"/>
                <w:lang w:eastAsia="zh-CN"/>
              </w:rPr>
            </w:pPr>
          </w:p>
        </w:tc>
        <w:tc>
          <w:tcPr>
            <w:tcW w:w="731" w:type="dxa"/>
            <w:gridSpan w:val="2"/>
            <w:vAlign w:val="bottom"/>
          </w:tcPr>
          <w:p>
            <w:pPr>
              <w:autoSpaceDN w:val="0"/>
              <w:jc w:val="left"/>
              <w:textAlignment w:val="bottom"/>
              <w:rPr>
                <w:rFonts w:hint="default" w:ascii="宋体" w:hAnsi="宋体" w:eastAsia="宋体"/>
                <w:b w:val="0"/>
                <w:i w:val="0"/>
                <w:color w:val="auto"/>
                <w:sz w:val="20"/>
                <w:highlight w:val="none"/>
                <w:u w:val="none"/>
                <w:lang w:eastAsia="zh-CN"/>
              </w:rPr>
            </w:pPr>
          </w:p>
        </w:tc>
        <w:tc>
          <w:tcPr>
            <w:tcW w:w="5031" w:type="dxa"/>
            <w:gridSpan w:val="3"/>
            <w:vAlign w:val="bottom"/>
          </w:tcPr>
          <w:p>
            <w:pPr>
              <w:autoSpaceDN w:val="0"/>
              <w:jc w:val="right"/>
              <w:textAlignment w:val="bottom"/>
              <w:rPr>
                <w:rFonts w:hint="default" w:ascii="宋体" w:hAnsi="宋体" w:eastAsia="宋体"/>
                <w:b w:val="0"/>
                <w:i w:val="0"/>
                <w:color w:val="auto"/>
                <w:sz w:val="20"/>
                <w:szCs w:val="20"/>
                <w:highlight w:val="none"/>
                <w:u w:val="none"/>
                <w:lang w:eastAsia="zh-CN"/>
              </w:rPr>
            </w:pPr>
            <w:r>
              <w:rPr>
                <w:rFonts w:hint="default" w:ascii="宋体" w:hAnsi="宋体" w:eastAsia="宋体"/>
                <w:b w:val="0"/>
                <w:i w:val="0"/>
                <w:color w:val="auto"/>
                <w:sz w:val="20"/>
                <w:szCs w:val="20"/>
                <w:highlight w:val="none"/>
                <w:u w:val="none"/>
                <w:lang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9" w:hRule="atLeast"/>
        </w:trPr>
        <w:tc>
          <w:tcPr>
            <w:tcW w:w="3942" w:type="dxa"/>
            <w:gridSpan w:val="3"/>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人员经费</w:t>
            </w:r>
          </w:p>
        </w:tc>
        <w:tc>
          <w:tcPr>
            <w:tcW w:w="10046" w:type="dxa"/>
            <w:gridSpan w:val="10"/>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2" w:hRule="atLeast"/>
        </w:trPr>
        <w:tc>
          <w:tcPr>
            <w:tcW w:w="745" w:type="dxa"/>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科目编码</w:t>
            </w:r>
          </w:p>
        </w:tc>
        <w:tc>
          <w:tcPr>
            <w:tcW w:w="2021"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科目名称</w:t>
            </w:r>
          </w:p>
        </w:tc>
        <w:tc>
          <w:tcPr>
            <w:tcW w:w="1176"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决算数</w:t>
            </w:r>
          </w:p>
        </w:tc>
        <w:tc>
          <w:tcPr>
            <w:tcW w:w="731" w:type="dxa"/>
            <w:gridSpan w:val="2"/>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科目编码</w:t>
            </w:r>
          </w:p>
        </w:tc>
        <w:tc>
          <w:tcPr>
            <w:tcW w:w="2122" w:type="dxa"/>
            <w:gridSpan w:val="2"/>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科目名称</w:t>
            </w:r>
          </w:p>
        </w:tc>
        <w:tc>
          <w:tcPr>
            <w:tcW w:w="1432" w:type="dxa"/>
            <w:gridSpan w:val="2"/>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决算数</w:t>
            </w:r>
          </w:p>
        </w:tc>
        <w:tc>
          <w:tcPr>
            <w:tcW w:w="732" w:type="dxa"/>
            <w:gridSpan w:val="2"/>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科目编码</w:t>
            </w:r>
          </w:p>
        </w:tc>
        <w:tc>
          <w:tcPr>
            <w:tcW w:w="2521"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科目名称</w:t>
            </w:r>
          </w:p>
        </w:tc>
        <w:tc>
          <w:tcPr>
            <w:tcW w:w="2508"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21" w:hRule="atLeast"/>
        </w:trPr>
        <w:tc>
          <w:tcPr>
            <w:tcW w:w="745" w:type="dxa"/>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color w:val="auto"/>
                <w:sz w:val="24"/>
                <w:highlight w:val="none"/>
              </w:rPr>
            </w:pPr>
          </w:p>
        </w:tc>
        <w:tc>
          <w:tcPr>
            <w:tcW w:w="2021" w:type="dxa"/>
            <w:vMerge w:val="continue"/>
            <w:tcBorders>
              <w:bottom w:val="single" w:color="000000" w:sz="4" w:space="0"/>
              <w:right w:val="single" w:color="000000" w:sz="4" w:space="0"/>
            </w:tcBorders>
            <w:vAlign w:val="center"/>
          </w:tcPr>
          <w:p>
            <w:pPr>
              <w:rPr>
                <w:rFonts w:hint="default" w:ascii="宋体" w:hAnsi="宋体"/>
                <w:color w:val="auto"/>
                <w:sz w:val="24"/>
                <w:highlight w:val="none"/>
              </w:rPr>
            </w:pPr>
          </w:p>
        </w:tc>
        <w:tc>
          <w:tcPr>
            <w:tcW w:w="1176" w:type="dxa"/>
            <w:vMerge w:val="continue"/>
            <w:tcBorders>
              <w:bottom w:val="single" w:color="000000" w:sz="4" w:space="0"/>
              <w:right w:val="single" w:color="000000" w:sz="4" w:space="0"/>
            </w:tcBorders>
            <w:vAlign w:val="center"/>
          </w:tcPr>
          <w:p>
            <w:pPr>
              <w:rPr>
                <w:rFonts w:hint="default" w:ascii="宋体" w:hAnsi="宋体"/>
                <w:color w:val="auto"/>
                <w:sz w:val="24"/>
                <w:highlight w:val="none"/>
              </w:rPr>
            </w:pPr>
          </w:p>
        </w:tc>
        <w:tc>
          <w:tcPr>
            <w:tcW w:w="731" w:type="dxa"/>
            <w:gridSpan w:val="2"/>
            <w:vMerge w:val="continue"/>
            <w:tcBorders>
              <w:bottom w:val="single" w:color="000000" w:sz="4" w:space="0"/>
              <w:right w:val="single" w:color="000000" w:sz="4" w:space="0"/>
            </w:tcBorders>
            <w:vAlign w:val="center"/>
          </w:tcPr>
          <w:p>
            <w:pPr>
              <w:rPr>
                <w:rFonts w:hint="default" w:ascii="宋体" w:hAnsi="宋体"/>
                <w:color w:val="auto"/>
                <w:sz w:val="24"/>
                <w:highlight w:val="none"/>
              </w:rPr>
            </w:pPr>
          </w:p>
        </w:tc>
        <w:tc>
          <w:tcPr>
            <w:tcW w:w="2122" w:type="dxa"/>
            <w:gridSpan w:val="2"/>
            <w:vMerge w:val="continue"/>
            <w:tcBorders>
              <w:bottom w:val="single" w:color="000000" w:sz="4" w:space="0"/>
              <w:right w:val="single" w:color="000000" w:sz="4" w:space="0"/>
            </w:tcBorders>
            <w:vAlign w:val="center"/>
          </w:tcPr>
          <w:p>
            <w:pPr>
              <w:rPr>
                <w:rFonts w:hint="default" w:ascii="宋体" w:hAnsi="宋体"/>
                <w:color w:val="auto"/>
                <w:sz w:val="24"/>
                <w:highlight w:val="none"/>
              </w:rPr>
            </w:pPr>
          </w:p>
        </w:tc>
        <w:tc>
          <w:tcPr>
            <w:tcW w:w="1432" w:type="dxa"/>
            <w:gridSpan w:val="2"/>
            <w:vMerge w:val="continue"/>
            <w:tcBorders>
              <w:bottom w:val="single" w:color="000000" w:sz="4" w:space="0"/>
              <w:right w:val="single" w:color="000000" w:sz="4" w:space="0"/>
            </w:tcBorders>
            <w:vAlign w:val="center"/>
          </w:tcPr>
          <w:p>
            <w:pPr>
              <w:rPr>
                <w:rFonts w:hint="default" w:ascii="宋体" w:hAnsi="宋体"/>
                <w:color w:val="auto"/>
                <w:sz w:val="24"/>
                <w:highlight w:val="none"/>
              </w:rPr>
            </w:pPr>
          </w:p>
        </w:tc>
        <w:tc>
          <w:tcPr>
            <w:tcW w:w="732" w:type="dxa"/>
            <w:gridSpan w:val="2"/>
            <w:vMerge w:val="continue"/>
            <w:tcBorders>
              <w:bottom w:val="single" w:color="000000" w:sz="4" w:space="0"/>
              <w:right w:val="single" w:color="000000" w:sz="4" w:space="0"/>
            </w:tcBorders>
            <w:vAlign w:val="center"/>
          </w:tcPr>
          <w:p>
            <w:pPr>
              <w:rPr>
                <w:rFonts w:hint="default" w:ascii="宋体" w:hAnsi="宋体"/>
                <w:color w:val="auto"/>
                <w:sz w:val="24"/>
                <w:highlight w:val="none"/>
              </w:rPr>
            </w:pPr>
          </w:p>
        </w:tc>
        <w:tc>
          <w:tcPr>
            <w:tcW w:w="2521" w:type="dxa"/>
            <w:vMerge w:val="continue"/>
            <w:tcBorders>
              <w:bottom w:val="single" w:color="000000" w:sz="4" w:space="0"/>
              <w:right w:val="single" w:color="000000" w:sz="4" w:space="0"/>
            </w:tcBorders>
            <w:vAlign w:val="center"/>
          </w:tcPr>
          <w:p>
            <w:pPr>
              <w:rPr>
                <w:rFonts w:hint="default" w:ascii="宋体" w:hAnsi="宋体"/>
                <w:color w:val="auto"/>
                <w:sz w:val="24"/>
                <w:highlight w:val="none"/>
              </w:rPr>
            </w:pPr>
          </w:p>
        </w:tc>
        <w:tc>
          <w:tcPr>
            <w:tcW w:w="2508" w:type="dxa"/>
            <w:vMerge w:val="continue"/>
            <w:tcBorders>
              <w:bottom w:val="single" w:color="000000" w:sz="4" w:space="0"/>
              <w:right w:val="single" w:color="000000" w:sz="4" w:space="0"/>
            </w:tcBorders>
            <w:vAlign w:val="center"/>
          </w:tcPr>
          <w:p>
            <w:pPr>
              <w:rPr>
                <w:rFonts w:hint="default" w:ascii="宋体" w:hAnsi="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9"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301</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工资福利支出</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405.43</w:t>
            </w: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302</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商品和服务支出</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23.96</w:t>
            </w: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307</w:t>
            </w: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债务利息及费用支出</w:t>
            </w: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9"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30101</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基本工资</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66.78</w:t>
            </w: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30201</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办公费</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0.50</w:t>
            </w: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30701</w:t>
            </w: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国内债务付息</w:t>
            </w: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9"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30102</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津贴补贴</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144.46</w:t>
            </w: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30202</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印刷费</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1.60</w:t>
            </w: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30702</w:t>
            </w: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国外债务付息</w:t>
            </w: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9"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30103</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奖金</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20.96</w:t>
            </w: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30203</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咨询费</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0.02</w:t>
            </w: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310</w:t>
            </w: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资本性支出</w:t>
            </w: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9"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30106</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伙食补助费</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30204</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手续费</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31001</w:t>
            </w: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房屋建筑物购建</w:t>
            </w: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9"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30107</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绩效工资</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75.27</w:t>
            </w: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30205</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水费</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31002</w:t>
            </w: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办公设备购置</w:t>
            </w: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8"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30108</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机关事业单位基本养老保险缴费</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27.49</w:t>
            </w: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30206</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电费</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31003</w:t>
            </w: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专用设备购置</w:t>
            </w: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9"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30109</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职业年金缴费</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6.80</w:t>
            </w: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30207</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邮电费</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0.23</w:t>
            </w: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31005</w:t>
            </w: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基础设施建设</w:t>
            </w: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8"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30110</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职工基本医疗保险缴费</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11.86</w:t>
            </w: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30208</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取暖费</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31006</w:t>
            </w: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大型修缮</w:t>
            </w: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8"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30111</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公务员医疗补助缴费</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30209</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物业管理费</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31007</w:t>
            </w: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信息网络及软件购置更新</w:t>
            </w: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9"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30112</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其他社会保障缴费</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1.58</w:t>
            </w: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30211</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差旅费</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7.79</w:t>
            </w: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31008</w:t>
            </w: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物资储备</w:t>
            </w: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9"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30113</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住房公积金</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47.97</w:t>
            </w: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30212</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因公出国（境）费用</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31009</w:t>
            </w: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土地补偿</w:t>
            </w: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9"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30114</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医疗费</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30213</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维修（护）费</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31010</w:t>
            </w: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安置补助</w:t>
            </w: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9"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30199</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其他工资福利支出</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2.25</w:t>
            </w: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30214</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租赁费</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31011</w:t>
            </w: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地上附着物和青苗补偿</w:t>
            </w: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9"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303</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对个人和家庭的补助</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65.57</w:t>
            </w: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30215</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会议费</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31012</w:t>
            </w: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拆迁补偿</w:t>
            </w: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9"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30301</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离休费</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7.78</w:t>
            </w: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30216</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培训费</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31013</w:t>
            </w: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公务用车购置</w:t>
            </w: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9"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30302</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退休费</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57.79</w:t>
            </w: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30217</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公务接待费</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31019</w:t>
            </w: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其他交通工具购置</w:t>
            </w: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9"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30303</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退职（役）费</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30218</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专用材料费</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31021</w:t>
            </w: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文物和陈列品购置</w:t>
            </w: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9"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30304</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抚恤金</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30224</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被装购置费</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31022</w:t>
            </w: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无形资产购置</w:t>
            </w: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9"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30305</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生活补助</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30225</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专用燃料费</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31099</w:t>
            </w: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其他资本性支出</w:t>
            </w: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9"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30306</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救济费</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30226</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劳务费</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0.90</w:t>
            </w: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399</w:t>
            </w: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其他支出</w:t>
            </w: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9"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30307</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医疗费补助</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30227</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委托业务费</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2.28</w:t>
            </w: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39906</w:t>
            </w: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赠与</w:t>
            </w: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9"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30308</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助学金</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30228</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工会经费</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2.28</w:t>
            </w: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39907</w:t>
            </w: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国家赔偿费用支出</w:t>
            </w: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8"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30309</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奖励金</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30229</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福利费</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3.22</w:t>
            </w: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39908</w:t>
            </w: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对民间非营利组织和群众性自治组织补贴</w:t>
            </w: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8"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30310</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个人农业生产补贴</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30231</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公务用车运行维护费</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1.22</w:t>
            </w: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39999</w:t>
            </w: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其他支出</w:t>
            </w: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9"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30311</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代缴社会保险费</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30239</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其他交通费用</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8"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30399</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其他对个人和家庭的补助</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30240</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税金及附加费用</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8"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30299</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 xml:space="preserve">  其他商品和服务支出</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3.92</w:t>
            </w: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auto"/>
                <w:sz w:val="22"/>
                <w:highlight w:val="none"/>
                <w:u w:val="none"/>
                <w:lang w:eastAsia="zh-CN"/>
              </w:rPr>
            </w:pP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9" w:hRule="atLeast"/>
        </w:trPr>
        <w:tc>
          <w:tcPr>
            <w:tcW w:w="2766" w:type="dxa"/>
            <w:gridSpan w:val="2"/>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人员经费合计</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471.00</w:t>
            </w:r>
          </w:p>
        </w:tc>
        <w:tc>
          <w:tcPr>
            <w:tcW w:w="7538" w:type="dxa"/>
            <w:gridSpan w:val="9"/>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公用经费合计</w:t>
            </w: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23.96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9" w:hRule="atLeast"/>
        </w:trPr>
        <w:tc>
          <w:tcPr>
            <w:tcW w:w="13988" w:type="dxa"/>
            <w:gridSpan w:val="13"/>
            <w:vAlign w:val="center"/>
          </w:tcPr>
          <w:p>
            <w:pPr>
              <w:autoSpaceDN w:val="0"/>
              <w:jc w:val="left"/>
              <w:textAlignment w:val="center"/>
              <w:rPr>
                <w:rFonts w:hint="default" w:ascii="宋体" w:hAnsi="宋体" w:eastAsia="宋体"/>
                <w:b w:val="0"/>
                <w:i w:val="0"/>
                <w:color w:val="auto"/>
                <w:sz w:val="22"/>
                <w:highlight w:val="none"/>
                <w:u w:val="none"/>
                <w:lang w:eastAsia="zh-CN"/>
              </w:rPr>
            </w:pPr>
            <w:r>
              <w:rPr>
                <w:rFonts w:hint="default" w:ascii="宋体" w:hAnsi="宋体" w:eastAsia="宋体"/>
                <w:b w:val="0"/>
                <w:i w:val="0"/>
                <w:color w:val="auto"/>
                <w:sz w:val="22"/>
                <w:highlight w:val="none"/>
                <w:u w:val="none"/>
                <w:lang w:eastAsia="zh-CN"/>
              </w:rPr>
              <w:t>注：本表反映</w:t>
            </w:r>
            <w:r>
              <w:rPr>
                <w:rFonts w:hint="eastAsia" w:ascii="宋体" w:hAnsi="宋体"/>
                <w:b w:val="0"/>
                <w:i w:val="0"/>
                <w:color w:val="auto"/>
                <w:sz w:val="22"/>
                <w:highlight w:val="none"/>
                <w:u w:val="none"/>
                <w:lang w:eastAsia="zh-CN"/>
              </w:rPr>
              <w:t>单位</w:t>
            </w:r>
            <w:r>
              <w:rPr>
                <w:rFonts w:hint="default" w:ascii="宋体" w:hAnsi="宋体" w:eastAsia="宋体"/>
                <w:b w:val="0"/>
                <w:i w:val="0"/>
                <w:color w:val="auto"/>
                <w:sz w:val="22"/>
                <w:highlight w:val="none"/>
                <w:u w:val="none"/>
                <w:lang w:eastAsia="zh-CN"/>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38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宋体" w:hAnsi="宋体" w:eastAsia="宋体" w:cs="宋体"/>
                <w:color w:val="auto"/>
                <w:kern w:val="0"/>
                <w:sz w:val="32"/>
                <w:szCs w:val="32"/>
                <w:highlight w:val="none"/>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 w:hRule="atLeast"/>
        </w:trPr>
        <w:tc>
          <w:tcPr>
            <w:tcW w:w="1151" w:type="dxa"/>
            <w:tcBorders>
              <w:top w:val="nil"/>
              <w:left w:val="nil"/>
              <w:bottom w:val="nil"/>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149" w:type="dxa"/>
            <w:tcBorders>
              <w:top w:val="nil"/>
              <w:left w:val="nil"/>
              <w:bottom w:val="nil"/>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nil"/>
              <w:left w:val="nil"/>
              <w:bottom w:val="nil"/>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nil"/>
              <w:left w:val="nil"/>
              <w:bottom w:val="nil"/>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nil"/>
              <w:left w:val="nil"/>
              <w:bottom w:val="nil"/>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450" w:type="dxa"/>
            <w:gridSpan w:val="3"/>
            <w:tcBorders>
              <w:top w:val="nil"/>
              <w:left w:val="nil"/>
              <w:bottom w:val="nil"/>
              <w:right w:val="nil"/>
            </w:tcBorders>
            <w:tcMar>
              <w:top w:w="15" w:type="dxa"/>
              <w:left w:w="15" w:type="dxa"/>
              <w:right w:w="15" w:type="dxa"/>
            </w:tcMar>
            <w:vAlign w:val="center"/>
          </w:tcPr>
          <w:p>
            <w:pP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eastAsia="zh-CN"/>
              </w:rPr>
              <w:t>单位</w:t>
            </w:r>
            <w:r>
              <w:rPr>
                <w:rFonts w:hint="eastAsia" w:ascii="宋体" w:hAnsi="宋体" w:cs="宋体"/>
                <w:color w:val="auto"/>
                <w:kern w:val="0"/>
                <w:sz w:val="20"/>
                <w:szCs w:val="20"/>
                <w:highlight w:val="none"/>
              </w:rPr>
              <w:t>：</w:t>
            </w:r>
            <w:r>
              <w:rPr>
                <w:rFonts w:hint="eastAsia" w:ascii="宋体" w:hAnsi="宋体" w:cs="宋体"/>
                <w:color w:val="auto"/>
                <w:kern w:val="0"/>
                <w:sz w:val="20"/>
                <w:szCs w:val="20"/>
                <w:highlight w:val="none"/>
                <w:lang w:eastAsia="zh-CN"/>
              </w:rPr>
              <w:t>许昌市畜牧技术推广站</w:t>
            </w:r>
          </w:p>
        </w:tc>
        <w:tc>
          <w:tcPr>
            <w:tcW w:w="1150" w:type="dxa"/>
            <w:tcBorders>
              <w:top w:val="nil"/>
              <w:left w:val="nil"/>
              <w:bottom w:val="single" w:color="000000" w:sz="8" w:space="0"/>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nil"/>
              <w:left w:val="nil"/>
              <w:bottom w:val="single" w:color="000000" w:sz="8" w:space="0"/>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2302" w:type="dxa"/>
            <w:gridSpan w:val="2"/>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预算数</w:t>
            </w:r>
          </w:p>
        </w:tc>
        <w:tc>
          <w:tcPr>
            <w:tcW w:w="6906" w:type="dxa"/>
            <w:gridSpan w:val="6"/>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合计</w:t>
            </w:r>
          </w:p>
        </w:tc>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公务接待费</w:t>
            </w:r>
          </w:p>
        </w:tc>
        <w:tc>
          <w:tcPr>
            <w:tcW w:w="115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合计</w:t>
            </w:r>
          </w:p>
        </w:tc>
        <w:tc>
          <w:tcPr>
            <w:tcW w:w="11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小计</w:t>
            </w: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公务用车</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公务用车</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运行费</w:t>
            </w:r>
          </w:p>
        </w:tc>
        <w:tc>
          <w:tcPr>
            <w:tcW w:w="11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小计</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公务用车</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公务用车</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运行费</w:t>
            </w:r>
          </w:p>
        </w:tc>
        <w:tc>
          <w:tcPr>
            <w:tcW w:w="1151" w:type="dxa"/>
            <w:vMerge w:val="continue"/>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1</w:t>
            </w:r>
          </w:p>
        </w:tc>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2</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3</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4</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5</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6</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7</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8</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9</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10</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11</w:t>
            </w:r>
          </w:p>
        </w:tc>
        <w:tc>
          <w:tcPr>
            <w:tcW w:w="11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1.30</w:t>
            </w:r>
          </w:p>
        </w:tc>
        <w:tc>
          <w:tcPr>
            <w:tcW w:w="11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1.30</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1.30</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1.30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1.30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0</w:t>
            </w:r>
          </w:p>
        </w:tc>
        <w:tc>
          <w:tcPr>
            <w:tcW w:w="1151"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1.30</w:t>
            </w:r>
          </w:p>
        </w:tc>
        <w:tc>
          <w:tcPr>
            <w:tcW w:w="11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 xml:space="preserve"> 注：本表反映</w:t>
            </w:r>
            <w:r>
              <w:rPr>
                <w:rFonts w:hint="eastAsia" w:ascii="宋体" w:hAnsi="宋体" w:cs="宋体"/>
                <w:color w:val="auto"/>
                <w:kern w:val="0"/>
                <w:sz w:val="20"/>
                <w:szCs w:val="20"/>
                <w:highlight w:val="none"/>
                <w:lang w:eastAsia="zh-CN"/>
              </w:rPr>
              <w:t>单位</w:t>
            </w:r>
            <w:r>
              <w:rPr>
                <w:rFonts w:hint="eastAsia" w:ascii="宋体" w:hAnsi="宋体" w:cs="宋体"/>
                <w:color w:val="auto"/>
                <w:kern w:val="0"/>
                <w:sz w:val="20"/>
                <w:szCs w:val="20"/>
                <w:highlight w:val="none"/>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40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2"/>
        <w:gridCol w:w="536"/>
        <w:gridCol w:w="1276"/>
        <w:gridCol w:w="1926"/>
        <w:gridCol w:w="1926"/>
        <w:gridCol w:w="30"/>
        <w:gridCol w:w="1896"/>
        <w:gridCol w:w="30"/>
        <w:gridCol w:w="1897"/>
        <w:gridCol w:w="30"/>
        <w:gridCol w:w="1896"/>
        <w:gridCol w:w="30"/>
        <w:gridCol w:w="1903"/>
        <w:gridCol w:w="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600" w:hRule="atLeast"/>
        </w:trPr>
        <w:tc>
          <w:tcPr>
            <w:tcW w:w="13988" w:type="dxa"/>
            <w:gridSpan w:val="13"/>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宋体" w:hAnsi="宋体" w:eastAsia="宋体" w:cs="宋体"/>
                <w:color w:val="auto"/>
                <w:kern w:val="0"/>
                <w:sz w:val="32"/>
                <w:szCs w:val="32"/>
                <w:highlight w:val="none"/>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536" w:type="dxa"/>
            <w:tcBorders>
              <w:top w:val="nil"/>
              <w:left w:val="nil"/>
              <w:bottom w:val="nil"/>
              <w:right w:val="nil"/>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nil"/>
              <w:left w:val="nil"/>
              <w:bottom w:val="nil"/>
              <w:right w:val="nil"/>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tcBorders>
              <w:top w:val="nil"/>
              <w:left w:val="nil"/>
              <w:bottom w:val="nil"/>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nil"/>
              <w:left w:val="nil"/>
              <w:bottom w:val="nil"/>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nil"/>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nil"/>
              <w:left w:val="nil"/>
              <w:bottom w:val="nil"/>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nil"/>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6306" w:type="dxa"/>
            <w:gridSpan w:val="6"/>
            <w:tcBorders>
              <w:top w:val="nil"/>
              <w:left w:val="nil"/>
              <w:bottom w:val="nil"/>
              <w:right w:val="nil"/>
            </w:tcBorders>
            <w:tcMar>
              <w:top w:w="15" w:type="dxa"/>
              <w:left w:w="15" w:type="dxa"/>
              <w:right w:w="15" w:type="dxa"/>
            </w:tcMar>
            <w:vAlign w:val="center"/>
          </w:tcPr>
          <w:p>
            <w:pP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eastAsia="zh-CN"/>
              </w:rPr>
              <w:t>单位</w:t>
            </w:r>
            <w:r>
              <w:rPr>
                <w:rFonts w:hint="eastAsia" w:ascii="宋体" w:hAnsi="宋体" w:cs="宋体"/>
                <w:color w:val="auto"/>
                <w:kern w:val="0"/>
                <w:sz w:val="20"/>
                <w:szCs w:val="20"/>
                <w:highlight w:val="none"/>
              </w:rPr>
              <w:t>：</w:t>
            </w:r>
            <w:r>
              <w:rPr>
                <w:rFonts w:hint="eastAsia" w:ascii="宋体" w:hAnsi="宋体" w:cs="宋体"/>
                <w:color w:val="auto"/>
                <w:kern w:val="0"/>
                <w:sz w:val="20"/>
                <w:szCs w:val="20"/>
                <w:highlight w:val="none"/>
                <w:lang w:eastAsia="zh-CN"/>
              </w:rPr>
              <w:t>许昌市畜牧技术推广站</w:t>
            </w:r>
          </w:p>
        </w:tc>
        <w:tc>
          <w:tcPr>
            <w:tcW w:w="1926" w:type="dxa"/>
            <w:gridSpan w:val="2"/>
            <w:tcBorders>
              <w:top w:val="nil"/>
              <w:left w:val="nil"/>
              <w:bottom w:val="single" w:color="000000" w:sz="8" w:space="0"/>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nil"/>
              <w:left w:val="nil"/>
              <w:bottom w:val="single" w:color="000000" w:sz="8" w:space="0"/>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nil"/>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项    目</w:t>
            </w:r>
          </w:p>
        </w:tc>
        <w:tc>
          <w:tcPr>
            <w:tcW w:w="1926" w:type="dxa"/>
            <w:vMerge w:val="restart"/>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eastAsia="zh-CN"/>
              </w:rPr>
              <w:t>年初</w:t>
            </w:r>
            <w:r>
              <w:rPr>
                <w:rFonts w:hint="eastAsia" w:ascii="宋体" w:hAnsi="宋体" w:cs="宋体"/>
                <w:color w:val="auto"/>
                <w:kern w:val="0"/>
                <w:sz w:val="20"/>
                <w:szCs w:val="20"/>
                <w:highlight w:val="none"/>
              </w:rPr>
              <w:t>结转和结余</w:t>
            </w:r>
          </w:p>
        </w:tc>
        <w:tc>
          <w:tcPr>
            <w:tcW w:w="1926" w:type="dxa"/>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本年收入</w:t>
            </w:r>
          </w:p>
        </w:tc>
        <w:tc>
          <w:tcPr>
            <w:tcW w:w="5779" w:type="dxa"/>
            <w:gridSpan w:val="6"/>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功能分类</w:t>
            </w:r>
          </w:p>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科目名称</w:t>
            </w: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小计</w:t>
            </w:r>
          </w:p>
        </w:tc>
        <w:tc>
          <w:tcPr>
            <w:tcW w:w="1927"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基本支出</w:t>
            </w:r>
          </w:p>
        </w:tc>
        <w:tc>
          <w:tcPr>
            <w:tcW w:w="1926" w:type="dxa"/>
            <w:gridSpan w:val="2"/>
            <w:vMerge w:val="restart"/>
            <w:tcBorders>
              <w:top w:val="nil"/>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栏次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1</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2</w:t>
            </w: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3</w:t>
            </w: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4</w:t>
            </w: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5</w:t>
            </w: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合计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8" w:space="0"/>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645" w:hRule="atLeast"/>
        </w:trPr>
        <w:tc>
          <w:tcPr>
            <w:tcW w:w="13988" w:type="dxa"/>
            <w:gridSpan w:val="13"/>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注：本表反映</w:t>
            </w:r>
            <w:r>
              <w:rPr>
                <w:rFonts w:hint="eastAsia" w:ascii="宋体" w:hAnsi="宋体" w:cs="宋体"/>
                <w:color w:val="auto"/>
                <w:kern w:val="0"/>
                <w:sz w:val="20"/>
                <w:szCs w:val="20"/>
                <w:highlight w:val="none"/>
                <w:lang w:eastAsia="zh-CN"/>
              </w:rPr>
              <w:t>单位</w:t>
            </w:r>
            <w:r>
              <w:rPr>
                <w:rFonts w:hint="eastAsia" w:ascii="宋体" w:hAnsi="宋体" w:cs="宋体"/>
                <w:color w:val="auto"/>
                <w:kern w:val="0"/>
                <w:sz w:val="20"/>
                <w:szCs w:val="20"/>
                <w:highlight w:val="none"/>
              </w:rPr>
              <w:t>本年度政府性基金预算财政拨款收入、支出及结转和结余情况。</w:t>
            </w:r>
          </w:p>
          <w:p>
            <w:pPr>
              <w:widowControl/>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说明：我</w:t>
            </w:r>
            <w:r>
              <w:rPr>
                <w:rFonts w:hint="eastAsia" w:ascii="宋体" w:hAnsi="宋体" w:cs="宋体"/>
                <w:color w:val="auto"/>
                <w:sz w:val="24"/>
                <w:szCs w:val="24"/>
                <w:highlight w:val="none"/>
                <w:lang w:eastAsia="zh-CN"/>
              </w:rPr>
              <w:t>单位</w:t>
            </w:r>
            <w:r>
              <w:rPr>
                <w:rFonts w:hint="eastAsia" w:ascii="宋体" w:hAnsi="宋体" w:cs="宋体"/>
                <w:color w:val="auto"/>
                <w:sz w:val="24"/>
                <w:szCs w:val="24"/>
                <w:highlight w:val="none"/>
              </w:rPr>
              <w:t>没有政府性基金收入，也没有使用政府性基金安排的支出，故本表无数据。</w:t>
            </w:r>
          </w:p>
          <w:p>
            <w:pPr>
              <w:widowControl/>
              <w:jc w:val="left"/>
              <w:textAlignment w:val="center"/>
              <w:rPr>
                <w:rFonts w:ascii="宋体" w:hAnsi="宋体" w:cs="宋体"/>
                <w:color w:val="auto"/>
                <w:sz w:val="20"/>
                <w:szCs w:val="20"/>
                <w:highlight w:val="none"/>
              </w:rPr>
            </w:pPr>
          </w:p>
          <w:p>
            <w:pPr>
              <w:widowControl/>
              <w:jc w:val="center"/>
              <w:textAlignment w:val="center"/>
              <w:rPr>
                <w:rFonts w:hint="eastAsia" w:ascii="宋体" w:hAnsi="宋体" w:cs="宋体"/>
                <w:color w:val="auto"/>
                <w:sz w:val="20"/>
                <w:szCs w:val="20"/>
                <w:highlight w:val="none"/>
              </w:rPr>
            </w:pPr>
          </w:p>
        </w:tc>
      </w:tr>
    </w:tbl>
    <w:p>
      <w:pPr>
        <w:widowControl/>
        <w:spacing w:line="590" w:lineRule="exact"/>
        <w:jc w:val="lef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eastAsia" w:ascii="仿宋_GB2312" w:hAnsi="仿宋_GB2312" w:eastAsia="仿宋_GB2312" w:cs="仿宋_GB2312"/>
          <w:color w:val="auto"/>
          <w:sz w:val="32"/>
          <w:szCs w:val="32"/>
          <w:highlight w:val="none"/>
          <w:lang w:val="en-US" w:eastAsia="zh-CN"/>
        </w:rPr>
        <w:t>496.43</w:t>
      </w:r>
      <w:r>
        <w:rPr>
          <w:rFonts w:hint="eastAsia" w:ascii="仿宋_GB2312" w:hAnsi="仿宋_GB2312" w:eastAsia="仿宋_GB2312" w:cs="仿宋_GB2312"/>
          <w:color w:val="auto"/>
          <w:sz w:val="32"/>
          <w:szCs w:val="32"/>
          <w:highlight w:val="none"/>
        </w:rPr>
        <w:t>万元。与上年度相比，收、支总计各减少</w:t>
      </w:r>
      <w:r>
        <w:rPr>
          <w:rFonts w:hint="eastAsia" w:ascii="仿宋_GB2312" w:hAnsi="仿宋_GB2312" w:eastAsia="仿宋_GB2312" w:cs="仿宋_GB2312"/>
          <w:color w:val="auto"/>
          <w:sz w:val="32"/>
          <w:szCs w:val="32"/>
          <w:highlight w:val="none"/>
          <w:lang w:val="en-US" w:eastAsia="zh-CN"/>
        </w:rPr>
        <w:t>5.60</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1.12%</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年初结余资金减少</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厉行节约压缩开支</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hint="eastAsia" w:ascii="仿宋_GB2312" w:hAnsi="仿宋_GB2312" w:eastAsia="仿宋_GB2312" w:cs="仿宋_GB2312"/>
          <w:color w:val="auto"/>
          <w:sz w:val="32"/>
          <w:szCs w:val="32"/>
          <w:highlight w:val="none"/>
          <w:lang w:val="en-US" w:eastAsia="zh-CN"/>
        </w:rPr>
        <w:t>440.31</w:t>
      </w:r>
      <w:r>
        <w:rPr>
          <w:rFonts w:hint="eastAsia" w:ascii="仿宋_GB2312" w:hAnsi="仿宋_GB2312" w:eastAsia="仿宋_GB2312" w:cs="仿宋_GB2312"/>
          <w:color w:val="auto"/>
          <w:sz w:val="32"/>
          <w:szCs w:val="32"/>
          <w:highlight w:val="none"/>
        </w:rPr>
        <w:t>万元，其中：财政拨款收入</w:t>
      </w:r>
      <w:r>
        <w:rPr>
          <w:rFonts w:hint="eastAsia" w:ascii="仿宋_GB2312" w:hAnsi="仿宋_GB2312" w:eastAsia="仿宋_GB2312" w:cs="仿宋_GB2312"/>
          <w:color w:val="auto"/>
          <w:sz w:val="32"/>
          <w:szCs w:val="32"/>
          <w:highlight w:val="none"/>
          <w:lang w:val="en-US" w:eastAsia="zh-CN"/>
        </w:rPr>
        <w:t>440.31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三、支出决算情况说明</w:t>
      </w:r>
      <w:r>
        <w:rPr>
          <w:rFonts w:hint="eastAsia" w:ascii="黑体" w:hAnsi="黑体" w:eastAsia="黑体" w:cs="黑体"/>
          <w:color w:val="auto"/>
          <w:sz w:val="32"/>
          <w:szCs w:val="32"/>
          <w:highlight w:val="none"/>
          <w:lang w:val="en-US" w:eastAsia="zh-CN"/>
        </w:rPr>
        <w:t xml:space="preserve">     </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w:t>
      </w:r>
      <w:r>
        <w:rPr>
          <w:rFonts w:hint="eastAsia" w:ascii="仿宋_GB2312" w:hAnsi="仿宋_GB2312" w:eastAsia="仿宋_GB2312" w:cs="仿宋_GB2312"/>
          <w:color w:val="auto"/>
          <w:sz w:val="32"/>
          <w:szCs w:val="32"/>
          <w:highlight w:val="none"/>
          <w:lang w:val="en-US" w:eastAsia="zh-CN"/>
        </w:rPr>
        <w:t>496.43</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494.96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99.70</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1.47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0.30</w:t>
      </w:r>
      <w:r>
        <w:rPr>
          <w:rFonts w:hint="eastAsia" w:ascii="仿宋_GB2312" w:hAnsi="仿宋_GB2312" w:eastAsia="仿宋_GB2312" w:cs="仿宋_GB2312"/>
          <w:color w:val="auto"/>
          <w:sz w:val="32"/>
          <w:szCs w:val="32"/>
          <w:highlight w:val="none"/>
        </w:rPr>
        <w:t>%；上缴上级支出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%；对附属单位补助支出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hint="eastAsia" w:ascii="仿宋_GB2312" w:hAnsi="仿宋_GB2312" w:eastAsia="仿宋_GB2312" w:cs="仿宋_GB2312"/>
          <w:color w:val="auto"/>
          <w:sz w:val="32"/>
          <w:szCs w:val="32"/>
          <w:highlight w:val="none"/>
          <w:lang w:val="en-US" w:eastAsia="zh-CN"/>
        </w:rPr>
        <w:t>496.43</w:t>
      </w:r>
      <w:r>
        <w:rPr>
          <w:rFonts w:hint="eastAsia" w:ascii="仿宋_GB2312" w:hAnsi="仿宋_GB2312" w:eastAsia="仿宋_GB2312" w:cs="仿宋_GB2312"/>
          <w:color w:val="auto"/>
          <w:sz w:val="32"/>
          <w:szCs w:val="32"/>
          <w:highlight w:val="none"/>
        </w:rPr>
        <w:t>万元。与上年度相比，财政拨款收、支总计减少</w:t>
      </w:r>
      <w:r>
        <w:rPr>
          <w:rFonts w:hint="eastAsia" w:ascii="仿宋_GB2312" w:hAnsi="仿宋_GB2312" w:eastAsia="仿宋_GB2312" w:cs="仿宋_GB2312"/>
          <w:color w:val="auto"/>
          <w:sz w:val="32"/>
          <w:szCs w:val="32"/>
          <w:highlight w:val="none"/>
          <w:lang w:val="en-US" w:eastAsia="zh-CN"/>
        </w:rPr>
        <w:t>5.60</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1.12</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减少厉行节约压缩开支</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496.43</w:t>
      </w:r>
      <w:r>
        <w:rPr>
          <w:rFonts w:hint="eastAsia" w:ascii="仿宋_GB2312" w:hAnsi="仿宋_GB2312" w:eastAsia="仿宋_GB2312" w:cs="仿宋_GB2312"/>
          <w:color w:val="auto"/>
          <w:sz w:val="32"/>
          <w:szCs w:val="32"/>
          <w:highlight w:val="none"/>
        </w:rPr>
        <w:t>万元，占支出合计的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%。与上年度相比，一般公共预算财政拨款支出增加</w:t>
      </w:r>
      <w:r>
        <w:rPr>
          <w:rFonts w:hint="eastAsia" w:ascii="仿宋_GB2312" w:hAnsi="仿宋_GB2312" w:eastAsia="仿宋_GB2312" w:cs="仿宋_GB2312"/>
          <w:color w:val="auto"/>
          <w:sz w:val="32"/>
          <w:szCs w:val="32"/>
          <w:highlight w:val="none"/>
          <w:lang w:val="en-US" w:eastAsia="zh-CN"/>
        </w:rPr>
        <w:t>47.37</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10.55</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人员增资调标</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496.43</w:t>
      </w:r>
      <w:r>
        <w:rPr>
          <w:rFonts w:hint="eastAsia" w:ascii="仿宋_GB2312" w:hAnsi="仿宋_GB2312" w:eastAsia="仿宋_GB2312" w:cs="仿宋_GB2312"/>
          <w:color w:val="auto"/>
          <w:sz w:val="32"/>
          <w:szCs w:val="32"/>
          <w:highlight w:val="none"/>
        </w:rPr>
        <w:t>万元，主要用于以下方面：一般公共服务（类）支出</w:t>
      </w:r>
      <w:r>
        <w:rPr>
          <w:rFonts w:hint="eastAsia" w:ascii="仿宋_GB2312" w:hAnsi="仿宋_GB2312" w:eastAsia="仿宋_GB2312" w:cs="仿宋_GB2312"/>
          <w:color w:val="auto"/>
          <w:sz w:val="32"/>
          <w:szCs w:val="32"/>
          <w:highlight w:val="none"/>
          <w:lang w:val="en-US" w:eastAsia="zh-CN"/>
        </w:rPr>
        <w:t>2.28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0.46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社会保障和就业</w:t>
      </w:r>
      <w:r>
        <w:rPr>
          <w:rFonts w:hint="eastAsia" w:ascii="仿宋_GB2312" w:hAnsi="仿宋_GB2312" w:eastAsia="仿宋_GB2312" w:cs="仿宋_GB2312"/>
          <w:color w:val="auto"/>
          <w:sz w:val="32"/>
          <w:szCs w:val="32"/>
          <w:highlight w:val="none"/>
        </w:rPr>
        <w:t>（类）支出</w:t>
      </w:r>
      <w:r>
        <w:rPr>
          <w:rFonts w:hint="eastAsia" w:ascii="仿宋_GB2312" w:hAnsi="仿宋_GB2312" w:eastAsia="仿宋_GB2312" w:cs="仿宋_GB2312"/>
          <w:color w:val="auto"/>
          <w:sz w:val="32"/>
          <w:szCs w:val="32"/>
          <w:highlight w:val="none"/>
          <w:lang w:val="en-US" w:eastAsia="zh-CN"/>
        </w:rPr>
        <w:t>93.06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18.75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卫生健康</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lang w:val="en-US" w:eastAsia="zh-CN"/>
        </w:rPr>
        <w:t>11.86万元，占2.39%；农林水（类）支出389.23万元，占78.40%</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462.74</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496.43</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107.28</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eastAsia="zh-CN"/>
        </w:rPr>
        <w:t>一般公共服务支出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群众团体事务</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工会事务</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2.28</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2.28</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w:t>
      </w:r>
      <w:r>
        <w:rPr>
          <w:rFonts w:hint="eastAsia" w:ascii="仿宋_GB2312" w:hAnsi="仿宋_GB2312" w:eastAsia="仿宋_GB2312" w:cs="仿宋_GB2312"/>
          <w:color w:val="auto"/>
          <w:sz w:val="32"/>
          <w:szCs w:val="32"/>
          <w:highlight w:val="none"/>
          <w:lang w:eastAsia="zh-CN"/>
        </w:rPr>
        <w:t>不</w:t>
      </w:r>
      <w:r>
        <w:rPr>
          <w:rFonts w:hint="eastAsia" w:ascii="仿宋_GB2312" w:hAnsi="仿宋_GB2312" w:eastAsia="仿宋_GB2312" w:cs="仿宋_GB2312"/>
          <w:color w:val="auto"/>
          <w:sz w:val="32"/>
          <w:szCs w:val="32"/>
          <w:highlight w:val="none"/>
        </w:rPr>
        <w:t>存在差异。</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w:t>
      </w:r>
      <w:r>
        <w:rPr>
          <w:rFonts w:hint="eastAsia" w:ascii="仿宋_GB2312" w:hAnsi="仿宋_GB2312" w:eastAsia="仿宋_GB2312" w:cs="仿宋_GB2312"/>
          <w:b/>
          <w:bCs/>
          <w:color w:val="auto"/>
          <w:sz w:val="32"/>
          <w:szCs w:val="32"/>
          <w:highlight w:val="none"/>
          <w:lang w:eastAsia="zh-CN"/>
        </w:rPr>
        <w:t>社会保障和就业支出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行政事业单位养老支出</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事业单位离退休</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58.71</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65.57</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111.68</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离休干部医药费增加及每年离退休增资</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社会保障和就业支出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行政事业单位养老支出</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机关事业单位基本养老保险缴费支出</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26.93</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27.49</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102.08</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每年常规调整养老金基数增加</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卫生健康支出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行政事业单位医疗</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事业单位医疗</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12.63</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11.86</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93.90</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使用上年结余资金</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农林水支出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农业农村</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事业运行</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b/>
          <w:bCs/>
          <w:color w:val="auto"/>
          <w:sz w:val="32"/>
          <w:szCs w:val="32"/>
          <w:highlight w:val="none"/>
          <w:lang w:val="en-US" w:eastAsia="zh-CN"/>
        </w:rPr>
        <w:t>387.76万元</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362.19</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387.76</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107.06</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人员增资标准调整</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农林水支出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农业农村</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科技转化与推广服务</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b/>
          <w:bCs/>
          <w:color w:val="auto"/>
          <w:sz w:val="32"/>
          <w:szCs w:val="32"/>
          <w:highlight w:val="none"/>
          <w:lang w:val="en-US" w:eastAsia="zh-CN"/>
        </w:rPr>
        <w:t>1.47万元</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1.47</w:t>
      </w:r>
      <w:r>
        <w:rPr>
          <w:rFonts w:hint="eastAsia" w:ascii="仿宋_GB2312" w:hAnsi="仿宋_GB2312" w:eastAsia="仿宋_GB2312" w:cs="仿宋_GB2312"/>
          <w:color w:val="auto"/>
          <w:sz w:val="32"/>
          <w:szCs w:val="32"/>
          <w:highlight w:val="none"/>
        </w:rPr>
        <w:t>万元。决算数与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该资金系年中追加资金，无年初预算。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s="仿宋_GB2312"/>
          <w:color w:val="auto"/>
          <w:sz w:val="32"/>
          <w:szCs w:val="32"/>
          <w:highlight w:val="none"/>
          <w:lang w:val="en-US" w:eastAsia="zh-CN"/>
        </w:rPr>
        <w:t>494.96</w:t>
      </w:r>
      <w:r>
        <w:rPr>
          <w:rFonts w:hint="eastAsia" w:ascii="仿宋_GB2312" w:hAnsi="仿宋_GB2312" w:eastAsia="仿宋_GB2312" w:cs="仿宋_GB2312"/>
          <w:color w:val="auto"/>
          <w:sz w:val="32"/>
          <w:szCs w:val="32"/>
          <w:highlight w:val="none"/>
        </w:rPr>
        <w:t>万元。其中：人员经费</w:t>
      </w:r>
      <w:r>
        <w:rPr>
          <w:rFonts w:hint="eastAsia" w:ascii="仿宋_GB2312" w:hAnsi="仿宋_GB2312" w:eastAsia="仿宋_GB2312" w:cs="仿宋_GB2312"/>
          <w:color w:val="auto"/>
          <w:sz w:val="32"/>
          <w:szCs w:val="32"/>
          <w:highlight w:val="none"/>
          <w:lang w:val="en-US" w:eastAsia="zh-CN"/>
        </w:rPr>
        <w:t>471.00</w:t>
      </w:r>
      <w:r>
        <w:rPr>
          <w:rFonts w:hint="eastAsia" w:ascii="仿宋_GB2312" w:hAnsi="仿宋_GB2312" w:eastAsia="仿宋_GB2312" w:cs="仿宋_GB2312"/>
          <w:color w:val="auto"/>
          <w:sz w:val="32"/>
          <w:szCs w:val="32"/>
          <w:highlight w:val="none"/>
        </w:rPr>
        <w:t>万元，主要包括：基本工资、津贴补贴、</w:t>
      </w:r>
      <w:r>
        <w:rPr>
          <w:rFonts w:hint="eastAsia" w:ascii="仿宋_GB2312" w:hAnsi="仿宋_GB2312" w:eastAsia="仿宋_GB2312" w:cs="仿宋_GB2312"/>
          <w:color w:val="auto"/>
          <w:sz w:val="32"/>
          <w:szCs w:val="32"/>
          <w:highlight w:val="none"/>
          <w:lang w:eastAsia="zh-CN"/>
        </w:rPr>
        <w:t>奖金、</w:t>
      </w:r>
      <w:r>
        <w:rPr>
          <w:rFonts w:hint="eastAsia" w:ascii="仿宋_GB2312" w:hAnsi="仿宋_GB2312" w:eastAsia="仿宋_GB2312" w:cs="仿宋_GB2312"/>
          <w:color w:val="auto"/>
          <w:sz w:val="32"/>
          <w:szCs w:val="32"/>
          <w:highlight w:val="none"/>
        </w:rPr>
        <w:t>绩效工资、机关事业单位基本养老保险缴费、职业年金缴费、</w:t>
      </w:r>
      <w:r>
        <w:rPr>
          <w:rFonts w:hint="eastAsia" w:ascii="仿宋_GB2312" w:hAnsi="仿宋_GB2312" w:eastAsia="仿宋_GB2312" w:cs="仿宋_GB2312"/>
          <w:color w:val="auto"/>
          <w:sz w:val="32"/>
          <w:szCs w:val="32"/>
          <w:highlight w:val="none"/>
          <w:lang w:eastAsia="zh-CN"/>
        </w:rPr>
        <w:t>职工基本医疗保险缴费、</w:t>
      </w:r>
      <w:r>
        <w:rPr>
          <w:rFonts w:hint="eastAsia" w:ascii="仿宋_GB2312" w:hAnsi="仿宋_GB2312" w:eastAsia="仿宋_GB2312" w:cs="仿宋_GB2312"/>
          <w:color w:val="auto"/>
          <w:sz w:val="32"/>
          <w:szCs w:val="32"/>
          <w:highlight w:val="none"/>
        </w:rPr>
        <w:t>其他社会保障缴费、</w:t>
      </w:r>
      <w:r>
        <w:rPr>
          <w:rFonts w:hint="eastAsia" w:ascii="仿宋_GB2312" w:hAnsi="仿宋_GB2312" w:eastAsia="仿宋_GB2312" w:cs="仿宋_GB2312"/>
          <w:color w:val="auto"/>
          <w:sz w:val="32"/>
          <w:szCs w:val="32"/>
          <w:highlight w:val="none"/>
          <w:lang w:eastAsia="zh-CN"/>
        </w:rPr>
        <w:t>住房公积金、</w:t>
      </w:r>
      <w:r>
        <w:rPr>
          <w:rFonts w:hint="eastAsia" w:ascii="仿宋_GB2312" w:hAnsi="仿宋_GB2312" w:eastAsia="仿宋_GB2312" w:cs="仿宋_GB2312"/>
          <w:color w:val="auto"/>
          <w:sz w:val="32"/>
          <w:szCs w:val="32"/>
          <w:highlight w:val="none"/>
        </w:rPr>
        <w:t>其他工资福利支出、</w:t>
      </w:r>
      <w:r>
        <w:rPr>
          <w:rFonts w:hint="eastAsia" w:ascii="仿宋_GB2312" w:hAnsi="仿宋_GB2312" w:eastAsia="仿宋_GB2312" w:cs="仿宋_GB2312"/>
          <w:color w:val="auto"/>
          <w:sz w:val="32"/>
          <w:szCs w:val="32"/>
          <w:highlight w:val="none"/>
          <w:lang w:eastAsia="zh-CN"/>
        </w:rPr>
        <w:t>对个人和家庭的补助、</w:t>
      </w:r>
      <w:r>
        <w:rPr>
          <w:rFonts w:hint="eastAsia" w:ascii="仿宋_GB2312" w:hAnsi="仿宋_GB2312" w:eastAsia="仿宋_GB2312" w:cs="仿宋_GB2312"/>
          <w:color w:val="auto"/>
          <w:sz w:val="32"/>
          <w:szCs w:val="32"/>
          <w:highlight w:val="none"/>
        </w:rPr>
        <w:t>离休费、退休费；公用经费</w:t>
      </w:r>
      <w:r>
        <w:rPr>
          <w:rFonts w:hint="eastAsia" w:ascii="仿宋_GB2312" w:hAnsi="仿宋_GB2312" w:eastAsia="仿宋_GB2312" w:cs="仿宋_GB2312"/>
          <w:color w:val="auto"/>
          <w:sz w:val="32"/>
          <w:szCs w:val="32"/>
          <w:highlight w:val="none"/>
          <w:lang w:val="en-US" w:eastAsia="zh-CN"/>
        </w:rPr>
        <w:t>23.96</w:t>
      </w:r>
      <w:r>
        <w:rPr>
          <w:rFonts w:hint="eastAsia" w:ascii="仿宋_GB2312" w:hAnsi="仿宋_GB2312" w:eastAsia="仿宋_GB2312" w:cs="仿宋_GB2312"/>
          <w:color w:val="auto"/>
          <w:sz w:val="32"/>
          <w:szCs w:val="32"/>
          <w:highlight w:val="none"/>
        </w:rPr>
        <w:t>万元，主要包括：办公费、印刷费、咨询费、邮电费、差旅费、</w:t>
      </w:r>
      <w:r>
        <w:rPr>
          <w:rFonts w:hint="eastAsia" w:ascii="仿宋_GB2312" w:hAnsi="仿宋_GB2312" w:eastAsia="仿宋_GB2312" w:cs="仿宋_GB2312"/>
          <w:color w:val="auto"/>
          <w:sz w:val="32"/>
          <w:szCs w:val="32"/>
          <w:highlight w:val="none"/>
          <w:lang w:eastAsia="zh-CN"/>
        </w:rPr>
        <w:t>劳务费、委托业务费、工会经费、</w:t>
      </w:r>
      <w:r>
        <w:rPr>
          <w:rFonts w:hint="eastAsia" w:ascii="仿宋_GB2312" w:hAnsi="仿宋_GB2312" w:eastAsia="仿宋_GB2312" w:cs="仿宋_GB2312"/>
          <w:color w:val="auto"/>
          <w:sz w:val="32"/>
          <w:szCs w:val="32"/>
          <w:highlight w:val="none"/>
        </w:rPr>
        <w:t>福利费、公务用车运行维护费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其他商品和服务支出。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s="仿宋_GB2312"/>
          <w:color w:val="auto"/>
          <w:sz w:val="32"/>
          <w:szCs w:val="32"/>
          <w:highlight w:val="none"/>
          <w:lang w:val="en-US" w:eastAsia="zh-CN"/>
        </w:rPr>
        <w:t>1.30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1.30</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w:t>
      </w:r>
      <w:r>
        <w:rPr>
          <w:rFonts w:hint="eastAsia" w:ascii="仿宋_GB2312" w:hAnsi="仿宋_GB2312" w:eastAsia="仿宋_GB2312" w:cs="仿宋_GB2312"/>
          <w:color w:val="auto"/>
          <w:sz w:val="32"/>
          <w:szCs w:val="32"/>
          <w:highlight w:val="none"/>
          <w:lang w:eastAsia="zh-CN"/>
        </w:rPr>
        <w:t>不</w:t>
      </w:r>
      <w:r>
        <w:rPr>
          <w:rFonts w:hint="eastAsia" w:ascii="仿宋_GB2312" w:hAnsi="仿宋_GB2312" w:eastAsia="仿宋_GB2312" w:cs="仿宋_GB2312"/>
          <w:color w:val="auto"/>
          <w:sz w:val="32"/>
          <w:szCs w:val="32"/>
          <w:highlight w:val="none"/>
        </w:rPr>
        <w:t>存在差异。</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万元；公务用车购置及运行费支出决算</w:t>
      </w:r>
      <w:r>
        <w:rPr>
          <w:rFonts w:hint="eastAsia" w:ascii="仿宋_GB2312" w:hAnsi="仿宋_GB2312" w:eastAsia="仿宋_GB2312" w:cs="仿宋_GB2312"/>
          <w:color w:val="auto"/>
          <w:sz w:val="32"/>
          <w:szCs w:val="32"/>
          <w:highlight w:val="none"/>
          <w:lang w:val="en-US" w:eastAsia="zh-CN"/>
        </w:rPr>
        <w:t>1.30</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万元。具体情况如下：</w:t>
      </w:r>
    </w:p>
    <w:p>
      <w:pPr>
        <w:widowControl/>
        <w:spacing w:line="590" w:lineRule="exac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万元。决算数与预算数</w:t>
      </w:r>
      <w:r>
        <w:rPr>
          <w:rFonts w:hint="eastAsia" w:ascii="仿宋_GB2312" w:hAnsi="仿宋_GB2312" w:eastAsia="仿宋_GB2312" w:cs="仿宋_GB2312"/>
          <w:color w:val="auto"/>
          <w:sz w:val="32"/>
          <w:szCs w:val="32"/>
          <w:highlight w:val="none"/>
          <w:lang w:eastAsia="zh-CN"/>
        </w:rPr>
        <w:t>不</w:t>
      </w:r>
      <w:r>
        <w:rPr>
          <w:rFonts w:hint="eastAsia" w:ascii="仿宋_GB2312" w:hAnsi="仿宋_GB2312" w:eastAsia="仿宋_GB2312" w:cs="仿宋_GB2312"/>
          <w:color w:val="auto"/>
          <w:sz w:val="32"/>
          <w:szCs w:val="32"/>
          <w:highlight w:val="none"/>
        </w:rPr>
        <w:t>存在差异</w:t>
      </w:r>
      <w:r>
        <w:rPr>
          <w:rFonts w:hint="eastAsia" w:ascii="仿宋_GB2312" w:hAnsi="仿宋_GB2312" w:eastAsia="仿宋_GB2312" w:cs="仿宋_GB2312"/>
          <w:color w:val="auto"/>
          <w:sz w:val="32"/>
          <w:szCs w:val="32"/>
          <w:highlight w:val="none"/>
          <w:lang w:eastAsia="zh-CN"/>
        </w:rPr>
        <w:t>。因公出国（境）团组数0个，因公出国（境）人次数0人。</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1.30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1.30</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%。决算数与预算数</w:t>
      </w:r>
      <w:r>
        <w:rPr>
          <w:rFonts w:hint="eastAsia" w:ascii="仿宋_GB2312" w:hAnsi="仿宋_GB2312" w:eastAsia="仿宋_GB2312" w:cs="仿宋_GB2312"/>
          <w:color w:val="auto"/>
          <w:sz w:val="32"/>
          <w:szCs w:val="32"/>
          <w:highlight w:val="none"/>
          <w:lang w:eastAsia="zh-CN"/>
        </w:rPr>
        <w:t>不</w:t>
      </w:r>
      <w:r>
        <w:rPr>
          <w:rFonts w:hint="eastAsia" w:ascii="仿宋_GB2312" w:hAnsi="仿宋_GB2312" w:eastAsia="仿宋_GB2312" w:cs="仿宋_GB2312"/>
          <w:color w:val="auto"/>
          <w:sz w:val="32"/>
          <w:szCs w:val="32"/>
          <w:highlight w:val="none"/>
        </w:rPr>
        <w:t>存在差异。</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b/>
          <w:bCs/>
          <w:color w:val="auto"/>
          <w:sz w:val="32"/>
          <w:szCs w:val="32"/>
          <w:highlight w:val="none"/>
          <w:lang w:val="en-US" w:eastAsia="zh-CN"/>
        </w:rPr>
        <w:t>1.30</w:t>
      </w:r>
      <w:r>
        <w:rPr>
          <w:rFonts w:hint="eastAsia" w:ascii="仿宋_GB2312" w:hAnsi="仿宋_GB2312" w:eastAsia="仿宋_GB2312" w:cs="仿宋_GB2312"/>
          <w:color w:val="auto"/>
          <w:sz w:val="32"/>
          <w:szCs w:val="32"/>
          <w:highlight w:val="none"/>
        </w:rPr>
        <w:t>万元。主要用</w:t>
      </w:r>
      <w:r>
        <w:rPr>
          <w:rFonts w:hint="eastAsia" w:ascii="仿宋_GB2312" w:hAnsi="仿宋_GB2312" w:eastAsia="仿宋_GB2312" w:cs="仿宋_GB2312"/>
          <w:color w:val="auto"/>
          <w:sz w:val="32"/>
          <w:szCs w:val="32"/>
          <w:highlight w:val="none"/>
          <w:lang w:eastAsia="zh-CN"/>
        </w:rPr>
        <w:t>于单位下乡技术推广</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w:t>
      </w:r>
      <w:r>
        <w:rPr>
          <w:rFonts w:hint="eastAsia" w:ascii="仿宋_GB2312" w:hAnsi="仿宋_GB2312" w:eastAsia="仿宋_GB2312" w:cs="仿宋_GB2312"/>
          <w:color w:val="auto"/>
          <w:sz w:val="32"/>
          <w:szCs w:val="32"/>
          <w:highlight w:val="none"/>
          <w:lang w:val="en-US" w:eastAsia="zh-CN"/>
        </w:rPr>
        <w:t>1辆</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万元。决算数与预算数</w:t>
      </w:r>
      <w:r>
        <w:rPr>
          <w:rFonts w:hint="eastAsia" w:ascii="仿宋_GB2312" w:hAnsi="仿宋_GB2312" w:eastAsia="仿宋_GB2312" w:cs="仿宋_GB2312"/>
          <w:color w:val="auto"/>
          <w:sz w:val="32"/>
          <w:szCs w:val="32"/>
          <w:highlight w:val="none"/>
          <w:lang w:eastAsia="zh-CN"/>
        </w:rPr>
        <w:t>不</w:t>
      </w:r>
      <w:r>
        <w:rPr>
          <w:rFonts w:hint="eastAsia" w:ascii="仿宋_GB2312" w:hAnsi="仿宋_GB2312" w:eastAsia="仿宋_GB2312" w:cs="仿宋_GB2312"/>
          <w:color w:val="auto"/>
          <w:sz w:val="32"/>
          <w:szCs w:val="32"/>
          <w:highlight w:val="none"/>
        </w:rPr>
        <w:t>存在差异。</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万元。2021年共接待国内</w:t>
      </w:r>
      <w:r>
        <w:rPr>
          <w:rFonts w:hint="eastAsia" w:ascii="仿宋_GB2312" w:hAnsi="仿宋_GB2312" w:eastAsia="仿宋_GB2312" w:cs="仿宋_GB2312"/>
          <w:color w:val="auto"/>
          <w:sz w:val="32"/>
          <w:szCs w:val="32"/>
          <w:highlight w:val="none"/>
          <w:lang w:val="en-US" w:eastAsia="zh-CN"/>
        </w:rPr>
        <w:t>来访团组0个、来宾0人次（不包括陪同人员）。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万元。2021年共接待国内</w:t>
      </w:r>
      <w:r>
        <w:rPr>
          <w:rFonts w:hint="eastAsia" w:ascii="仿宋_GB2312" w:hAnsi="仿宋_GB2312" w:eastAsia="仿宋_GB2312" w:cs="仿宋_GB2312"/>
          <w:color w:val="auto"/>
          <w:sz w:val="32"/>
          <w:szCs w:val="32"/>
          <w:highlight w:val="none"/>
          <w:lang w:val="en-US" w:eastAsia="zh-CN"/>
        </w:rPr>
        <w:t>来访团组0个、来宾0人次（不包括陪同人员）。</w:t>
      </w:r>
    </w:p>
    <w:p>
      <w:pPr>
        <w:widowControl/>
        <w:numPr>
          <w:ilvl w:val="0"/>
          <w:numId w:val="2"/>
        </w:numPr>
        <w:spacing w:line="590" w:lineRule="exact"/>
        <w:ind w:firstLine="640" w:firstLineChars="200"/>
        <w:outlineLvl w:val="1"/>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2021年度政府性基金预算财政拨款支出预算为0.00万元，支出决算为0.00万元。不存在项目年末结转和结余资金数额较大。</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情况说明：我单位2021年度没有政府性基金收入，也没有使用政府性基金安排的支出。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。授予中小企业合同金额</w:t>
      </w:r>
      <w:r>
        <w:rPr>
          <w:rFonts w:hint="eastAsia" w:ascii="仿宋_GB2312" w:hAnsi="仿宋_GB2312" w:eastAsia="仿宋_GB2312" w:cs="仿宋_GB2312"/>
          <w:color w:val="auto"/>
          <w:sz w:val="32"/>
          <w:szCs w:val="32"/>
          <w:highlight w:val="none"/>
          <w:lang w:val="en-US" w:eastAsia="zh-CN"/>
        </w:rPr>
        <w:t>0.00万元，</w:t>
      </w:r>
      <w:r>
        <w:rPr>
          <w:rFonts w:hint="eastAsia" w:ascii="仿宋_GB2312" w:hAnsi="仿宋_GB2312" w:eastAsia="仿宋_GB2312" w:cs="仿宋_GB2312"/>
          <w:color w:val="auto"/>
          <w:sz w:val="32"/>
          <w:szCs w:val="32"/>
          <w:highlight w:val="none"/>
          <w:lang w:eastAsia="zh-CN"/>
        </w:rPr>
        <w:t>其中：</w:t>
      </w:r>
      <w:r>
        <w:rPr>
          <w:rFonts w:hint="eastAsia" w:ascii="仿宋_GB2312" w:hAnsi="仿宋_GB2312" w:eastAsia="仿宋_GB2312" w:cs="仿宋_GB2312"/>
          <w:color w:val="auto"/>
          <w:sz w:val="32"/>
          <w:szCs w:val="32"/>
          <w:highlight w:val="none"/>
        </w:rPr>
        <w:t>授予中小</w:t>
      </w:r>
      <w:r>
        <w:rPr>
          <w:rFonts w:hint="eastAsia" w:ascii="仿宋_GB2312" w:hAnsi="仿宋_GB2312" w:eastAsia="仿宋_GB2312" w:cs="仿宋_GB2312"/>
          <w:color w:val="auto"/>
          <w:sz w:val="32"/>
          <w:szCs w:val="32"/>
          <w:highlight w:val="none"/>
          <w:lang w:eastAsia="zh-CN"/>
        </w:rPr>
        <w:t>微</w:t>
      </w:r>
      <w:r>
        <w:rPr>
          <w:rFonts w:hint="eastAsia" w:ascii="仿宋_GB2312" w:hAnsi="仿宋_GB2312" w:eastAsia="仿宋_GB2312" w:cs="仿宋_GB2312"/>
          <w:color w:val="auto"/>
          <w:sz w:val="32"/>
          <w:szCs w:val="32"/>
          <w:highlight w:val="none"/>
        </w:rPr>
        <w:t>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widowControl/>
        <w:wordWrap/>
        <w:adjustRightInd/>
        <w:snapToGrid/>
        <w:spacing w:line="360" w:lineRule="auto"/>
        <w:ind w:right="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xml:space="preserve">   （一）绩效管理工作开展情况。</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w:t>
      </w:r>
      <w:r>
        <w:rPr>
          <w:rFonts w:hint="eastAsia" w:ascii="仿宋_GB2312" w:hAnsi="仿宋_GB2312" w:eastAsia="仿宋_GB2312" w:cs="仿宋_GB2312"/>
          <w:color w:val="auto"/>
          <w:sz w:val="32"/>
          <w:szCs w:val="32"/>
          <w:highlight w:val="none"/>
          <w:shd w:val="clear" w:color="auto" w:fill="FFFFFF"/>
          <w:lang w:val="en-US" w:eastAsia="zh-CN"/>
        </w:rPr>
        <w:t>。开展情况如下：</w:t>
      </w:r>
    </w:p>
    <w:p>
      <w:pPr>
        <w:widowControl/>
        <w:numPr>
          <w:ilvl w:val="0"/>
          <w:numId w:val="0"/>
        </w:numPr>
        <w:wordWrap/>
        <w:adjustRightInd/>
        <w:snapToGrid/>
        <w:spacing w:line="360" w:lineRule="auto"/>
        <w:ind w:left="420" w:leftChars="200" w:right="0" w:firstLine="0" w:firstLineChars="0"/>
        <w:jc w:val="both"/>
        <w:textAlignment w:val="auto"/>
        <w:outlineLvl w:val="9"/>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 xml:space="preserve"> 1.制度建设。完善责任分工。</w:t>
      </w:r>
    </w:p>
    <w:p>
      <w:pPr>
        <w:widowControl/>
        <w:numPr>
          <w:ilvl w:val="0"/>
          <w:numId w:val="0"/>
        </w:numPr>
        <w:wordWrap/>
        <w:adjustRightInd/>
        <w:snapToGrid/>
        <w:spacing w:line="360" w:lineRule="auto"/>
        <w:ind w:left="0" w:leftChars="0" w:right="0" w:firstLine="419" w:firstLineChars="131"/>
        <w:jc w:val="both"/>
        <w:textAlignment w:val="auto"/>
        <w:outlineLvl w:val="9"/>
        <w:rPr>
          <w:rFonts w:hint="default"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 xml:space="preserve"> 2.组织培训。积极参加财政管理科组织的有关线上培训，认真阅读有关文件。</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3.执行情况。根据下一年度资金需求，科学合理的编制下年度资金用途，报送预计完成目标目标以及执行进度、成果。</w:t>
      </w:r>
    </w:p>
    <w:p>
      <w:pPr>
        <w:widowControl/>
        <w:wordWrap/>
        <w:adjustRightInd/>
        <w:snapToGrid/>
        <w:spacing w:line="360" w:lineRule="auto"/>
        <w:ind w:right="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xml:space="preserve">    （二）单位整体和项目绩效自评结果。</w:t>
      </w:r>
    </w:p>
    <w:p>
      <w:pPr>
        <w:widowControl/>
        <w:wordWrap/>
        <w:adjustRightInd/>
        <w:snapToGrid/>
        <w:spacing w:line="360" w:lineRule="auto"/>
        <w:ind w:right="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按照《许昌市财政局关于开展2021年度市级预算绩效自评工作的通知》</w:t>
      </w:r>
      <w:r>
        <w:rPr>
          <w:rFonts w:hint="eastAsia" w:ascii="仿宋_GB2312" w:hAnsi="仿宋_GB2312" w:eastAsia="仿宋_GB2312" w:cs="仿宋_GB2312"/>
          <w:color w:val="auto"/>
          <w:sz w:val="32"/>
          <w:szCs w:val="32"/>
          <w:highlight w:val="none"/>
        </w:rPr>
        <w:t>（许财效〔</w:t>
      </w:r>
      <w:r>
        <w:rPr>
          <w:rFonts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号）</w:t>
      </w:r>
      <w:r>
        <w:rPr>
          <w:rFonts w:hint="eastAsia" w:ascii="仿宋_GB2312" w:hAnsi="仿宋_GB2312" w:eastAsia="仿宋_GB2312" w:cs="仿宋_GB2312"/>
          <w:color w:val="auto"/>
          <w:sz w:val="32"/>
          <w:szCs w:val="32"/>
          <w:highlight w:val="none"/>
          <w:lang w:val="en-US" w:eastAsia="zh-CN"/>
        </w:rPr>
        <w:t>等文件精神，我单位对本单位整体绩效目标和项目支出绩效目标进行了自评。一是单位整体绩效自评情况是在整体绩效自评实施过程中，未发现任何违规行为的发生，经综合评价，绩效自评80分。二是项目绩效自评情况。我单位共有0个项目批复了绩效目标，项目金额0.00万元。</w:t>
      </w:r>
    </w:p>
    <w:p>
      <w:pPr>
        <w:widowControl/>
        <w:wordWrap/>
        <w:adjustRightInd/>
        <w:snapToGrid/>
        <w:spacing w:line="360" w:lineRule="auto"/>
        <w:ind w:right="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基于项目预期目标的实现程度，对2021年度项目支出绩效进行自评，绩效自评平均得分为/分。其中：0个项目评价等级为“优”、0个项目评价等级为“良”、0个项目评价等级为“中”、0个项目评价等级为“差”。</w:t>
      </w:r>
    </w:p>
    <w:p>
      <w:pPr>
        <w:widowControl/>
        <w:wordWrap/>
        <w:adjustRightInd/>
        <w:snapToGrid/>
        <w:spacing w:line="360" w:lineRule="auto"/>
        <w:ind w:right="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xml:space="preserve">    （三）重点绩效评价结果。</w:t>
      </w: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rPr>
          <w:rFonts w:hint="eastAsia" w:ascii="黑体" w:hAnsi="宋体" w:eastAsia="黑体" w:cs="宋体"/>
          <w:color w:val="auto"/>
          <w:kern w:val="0"/>
          <w:sz w:val="28"/>
          <w:szCs w:val="28"/>
          <w:highlight w:val="none"/>
        </w:rPr>
      </w:pPr>
      <w:r>
        <w:rPr>
          <w:rFonts w:hint="eastAsia" w:ascii="黑体" w:hAnsi="宋体" w:eastAsia="黑体" w:cs="宋体"/>
          <w:color w:val="auto"/>
          <w:kern w:val="0"/>
          <w:sz w:val="28"/>
          <w:szCs w:val="28"/>
          <w:highlight w:val="none"/>
        </w:rPr>
        <w:br w:type="page"/>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ind w:firstLine="2400" w:firstLineChars="500"/>
        <w:jc w:val="both"/>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rPr>
          <w:rFonts w:hint="eastAsia"/>
          <w:color w:val="auto"/>
          <w:kern w:val="2"/>
          <w:sz w:val="21"/>
          <w:szCs w:val="22"/>
          <w:highlight w:val="none"/>
          <w:lang w:val="en-US" w:eastAsia="zh-CN" w:bidi="ar-SA"/>
        </w:rPr>
      </w:pPr>
    </w:p>
    <w:p>
      <w:pPr>
        <w:tabs>
          <w:tab w:val="center" w:pos="4394"/>
        </w:tabs>
        <w:jc w:val="left"/>
        <w:rPr>
          <w:rFonts w:hint="eastAsia"/>
          <w:color w:val="auto"/>
          <w:highlight w:val="none"/>
          <w:lang w:val="en-US" w:eastAsia="zh-CN"/>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一、财政拨款收入：</w:t>
      </w:r>
      <w:r>
        <w:rPr>
          <w:rFonts w:hint="eastAsia" w:ascii="仿宋_GB2312" w:hAnsi="仿宋_GB2312" w:eastAsia="仿宋_GB2312" w:cs="仿宋_GB2312"/>
          <w:color w:val="auto"/>
          <w:sz w:val="32"/>
          <w:szCs w:val="32"/>
          <w:highlight w:val="none"/>
          <w:lang w:val="en-US" w:eastAsia="zh-CN"/>
        </w:rPr>
        <w:t>单位从同级政府财政单位取得的财政预算资金。</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二、事业收入：事业单位开展专业业务活动及其辅助活动取得的收入。</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三、上级补助收入：事业单位从主管单位和上级单位取得的非财政补助收入。</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四、附属单位上缴收入：事业单位取得附属独立核算单位根据有关规定上缴的收入。</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五、经营收入：事业单位在专业业务活动及其辅助活动之外开展非独立核算经营活动取得的收入。</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六、其他收入：单位取得的除“财政拨款收入”、“事业收入”、“上级补助收入”、“附属单位上缴收入”、“经营收入”以外的各项收入。</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八、基本支出：为保障机构正常运转、完成日常工作任务而发生的人员支出和公用支出。</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九、项目支出：基本支出之外为完成特定行政任务和事业发展目标所发生的支出。</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十二、工资福利支出：单位支付给在职职工和编制外长期聘用人员的各类劳动报酬，以及为上述人员缴纳的各项社会保险费等。</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十三、商品和服务支出：单位购买商品和服务的支出。</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十四、对个人和家庭的补助支出：单位用于对个人和家庭的补助支出。</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十五、年末结转：本年度或以前年度预算安排，已执行但尚未完成或因客观条件发生变化无法按原计划实施，需延迟到以后年度按有关规定继续使用的资金。</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1">
                      <a:spAutoFit/>
                    </wps:bodyPr>
                  </wps:wsp>
                </a:graphicData>
              </a:graphic>
            </wp:anchor>
          </w:drawing>
        </mc:Choice>
        <mc:Fallback>
          <w:pict>
            <v:rect id="文本框 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Mh90DbEAQAAjwMAAA4AAAAAAAAAAQAgAAAAHwEAAGRycy9lMm9Eb2MueG1s&#10;UEsFBgAAAAAGAAYAWQEAAFU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rect>
          </w:pict>
        </mc:Fallback>
      </mc:AlternateContent>
    </w: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rPr>
                              <w:rFonts w:hint="eastAsia"/>
                            </w:rPr>
                          </w:pPr>
                        </w:p>
                      </w:txbxContent>
                    </wps:txbx>
                    <wps:bodyPr wrap="none" lIns="0" tIns="0" rIns="0" bIns="0" upright="1">
                      <a:spAutoFit/>
                    </wps:bodyPr>
                  </wps:wsp>
                </a:graphicData>
              </a:graphic>
            </wp:anchor>
          </w:drawing>
        </mc:Choice>
        <mc:Fallback>
          <w:pict>
            <v:rect id="文本框 102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dZyw8YBAACSAwAADgAAAAAAAAABACAAAAAfAQAAZHJzL2Uyb0RvYy54&#10;bWxQSwUGAAAAAAYABgBZAQAAVwUAAAAA&#10;">
              <v:fill on="f" focussize="0,0"/>
              <v:stroke on="f"/>
              <v:imagedata o:title=""/>
              <o:lock v:ext="edit" aspectratio="f"/>
              <v:textbox inset="0mm,0mm,0mm,0mm" style="mso-fit-shape-to-text:t;">
                <w:txbxContent>
                  <w:p>
                    <w:pPr>
                      <w:rPr>
                        <w:rFonts w:hint="eastAsia"/>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1">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HnaV0DEAQAAjwMAAA4AAAAAAAAAAQAgAAAAHwEAAGRycy9lMm9Eb2MueG1s&#10;UEsFBgAAAAAGAAYAWQEAAFU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8"/>
      <w:numFmt w:val="chineseCounting"/>
      <w:suff w:val="nothing"/>
      <w:lvlText w:val="%1、"/>
      <w:lvlJc w:val="left"/>
      <w:rPr>
        <w:rFonts w:hint="eastAsia"/>
      </w:rPr>
    </w:lvl>
  </w:abstractNum>
  <w:abstractNum w:abstractNumId="1">
    <w:nsid w:val="00000007"/>
    <w:multiLevelType w:val="singleLevel"/>
    <w:tmpl w:val="0000000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00000"/>
    <w:rsid w:val="03982F01"/>
    <w:rsid w:val="0E096C10"/>
    <w:rsid w:val="0F621C35"/>
    <w:rsid w:val="1EDF1817"/>
    <w:rsid w:val="241D6B0E"/>
    <w:rsid w:val="246D1444"/>
    <w:rsid w:val="277963CF"/>
    <w:rsid w:val="30145F41"/>
    <w:rsid w:val="30F77A80"/>
    <w:rsid w:val="382D2A2D"/>
    <w:rsid w:val="40FB2EE6"/>
    <w:rsid w:val="44FA7C3F"/>
    <w:rsid w:val="45401825"/>
    <w:rsid w:val="456A12FE"/>
    <w:rsid w:val="48D46301"/>
    <w:rsid w:val="534872B8"/>
    <w:rsid w:val="55D336EB"/>
    <w:rsid w:val="562B1693"/>
    <w:rsid w:val="566413BC"/>
    <w:rsid w:val="60BB2E18"/>
    <w:rsid w:val="639E4800"/>
    <w:rsid w:val="68623BE2"/>
    <w:rsid w:val="72FB4336"/>
    <w:rsid w:val="73A10265"/>
    <w:rsid w:val="796C5B8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qFormat/>
    <w:uiPriority w:val="0"/>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kern w:val="2"/>
      <w:sz w:val="18"/>
      <w:szCs w:val="18"/>
    </w:rPr>
  </w:style>
  <w:style w:type="paragraph" w:styleId="3">
    <w:name w:val="footer"/>
    <w:basedOn w:val="1"/>
    <w:link w:val="11"/>
    <w:qFormat/>
    <w:uiPriority w:val="0"/>
    <w:pPr>
      <w:tabs>
        <w:tab w:val="center" w:pos="4153"/>
        <w:tab w:val="right" w:pos="8306"/>
      </w:tabs>
      <w:snapToGrid w:val="0"/>
      <w:jc w:val="left"/>
    </w:pPr>
    <w:rPr>
      <w:kern w:val="2"/>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kern w:val="2"/>
      <w:sz w:val="18"/>
      <w:szCs w:val="18"/>
    </w:rPr>
  </w:style>
  <w:style w:type="character" w:styleId="7">
    <w:name w:val="FollowedHyperlink"/>
    <w:qFormat/>
    <w:uiPriority w:val="0"/>
    <w:rPr>
      <w:color w:val="800080"/>
      <w:u w:val="single"/>
    </w:rPr>
  </w:style>
  <w:style w:type="character" w:styleId="8">
    <w:name w:val="Hyperlink"/>
    <w:qFormat/>
    <w:uiPriority w:val="0"/>
    <w:rPr>
      <w:color w:val="0000FF"/>
      <w:u w:val="single"/>
    </w:rPr>
  </w:style>
  <w:style w:type="character" w:customStyle="1" w:styleId="9">
    <w:name w:val="font41"/>
    <w:qFormat/>
    <w:uiPriority w:val="0"/>
    <w:rPr>
      <w:rFonts w:hint="eastAsia" w:ascii="宋体" w:hAnsi="宋体" w:eastAsia="宋体" w:cs="宋体"/>
      <w:color w:val="000000"/>
      <w:sz w:val="24"/>
      <w:szCs w:val="24"/>
      <w:u w:val="none"/>
    </w:rPr>
  </w:style>
  <w:style w:type="character" w:customStyle="1" w:styleId="10">
    <w:name w:val="font21"/>
    <w:qFormat/>
    <w:uiPriority w:val="0"/>
    <w:rPr>
      <w:rFonts w:hint="eastAsia" w:ascii="宋体" w:hAnsi="宋体" w:eastAsia="宋体" w:cs="宋体"/>
      <w:color w:val="000000"/>
      <w:sz w:val="22"/>
      <w:szCs w:val="22"/>
      <w:u w:val="none"/>
    </w:rPr>
  </w:style>
  <w:style w:type="character" w:customStyle="1" w:styleId="11">
    <w:name w:val="页脚 Char Char"/>
    <w:link w:val="3"/>
    <w:qFormat/>
    <w:uiPriority w:val="0"/>
    <w:rPr>
      <w:kern w:val="2"/>
      <w:sz w:val="18"/>
      <w:szCs w:val="18"/>
    </w:rPr>
  </w:style>
  <w:style w:type="character" w:customStyle="1" w:styleId="12">
    <w:name w:val="批注框文本 Char Char"/>
    <w:link w:val="2"/>
    <w:qFormat/>
    <w:uiPriority w:val="0"/>
    <w:rPr>
      <w:kern w:val="2"/>
      <w:sz w:val="18"/>
      <w:szCs w:val="18"/>
    </w:rPr>
  </w:style>
  <w:style w:type="character" w:customStyle="1" w:styleId="13">
    <w:name w:val="页眉 Char Char"/>
    <w:link w:val="4"/>
    <w:qFormat/>
    <w:uiPriority w:val="0"/>
    <w:rPr>
      <w:kern w:val="2"/>
      <w:sz w:val="18"/>
      <w:szCs w:val="18"/>
    </w:rPr>
  </w:style>
  <w:style w:type="character" w:customStyle="1" w:styleId="14">
    <w:name w:val="font11"/>
    <w:qFormat/>
    <w:uiPriority w:val="0"/>
    <w:rPr>
      <w:rFonts w:hint="eastAsia" w:ascii="宋体" w:hAnsi="宋体" w:eastAsia="宋体" w:cs="宋体"/>
      <w:color w:val="000000"/>
      <w:sz w:val="20"/>
      <w:szCs w:val="20"/>
      <w:u w:val="none"/>
    </w:rPr>
  </w:style>
  <w:style w:type="character" w:customStyle="1" w:styleId="15">
    <w:name w:val="font01"/>
    <w:qFormat/>
    <w:uiPriority w:val="0"/>
    <w:rPr>
      <w:rFonts w:hint="eastAsia" w:ascii="宋体" w:hAnsi="宋体" w:eastAsia="宋体" w:cs="宋体"/>
      <w:color w:val="000000"/>
      <w:sz w:val="22"/>
      <w:szCs w:val="22"/>
      <w:u w:val="none"/>
    </w:rPr>
  </w:style>
  <w:style w:type="character" w:customStyle="1" w:styleId="16">
    <w:name w:val="font5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33</Pages>
  <Words>7678</Words>
  <Characters>9363</Characters>
  <Lines>60</Lines>
  <Paragraphs>16</Paragraphs>
  <TotalTime>34</TotalTime>
  <ScaleCrop>false</ScaleCrop>
  <LinksUpToDate>false</LinksUpToDate>
  <CharactersWithSpaces>9601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悟の</cp:lastModifiedBy>
  <cp:lastPrinted>2023-05-09T07:57:00Z</cp:lastPrinted>
  <dcterms:modified xsi:type="dcterms:W3CDTF">2023-09-17T11:19:10Z</dcterms:modified>
  <dc:title>2021年度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C4275DABAD3540479CBBD1C0716EC6EA_13</vt:lpwstr>
  </property>
</Properties>
</file>