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许昌市畜牧技术推广站单位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许昌市畜牧技术推广站</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许昌市畜牧技术推广站</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wordWrap/>
        <w:adjustRightInd/>
        <w:snapToGrid/>
        <w:spacing w:before="0" w:after="0" w:line="590" w:lineRule="exact"/>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(一) 贯彻落实畜牧业生产及畜禽良种保护、饲草饲料 生产等法律法规和政策。</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(二) 承担全市畜禽饲养技术培训、推广普及和科技成 果的转化与利用。</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(三) 制定并组织实施全市畜禽改良规划和畜禽改良技 术指导与培训。</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(四) 负责全市畜禽良种引进、繁育发展与普及。</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(五) 承担全市饲草饲料资源的开发利用。</w:t>
      </w:r>
    </w:p>
    <w:p>
      <w:pPr>
        <w:wordWrap/>
        <w:adjustRightInd/>
        <w:snapToGrid/>
        <w:spacing w:before="0" w:after="0" w:line="590" w:lineRule="exact"/>
        <w:ind w:left="36" w:right="13" w:firstLine="643"/>
        <w:textAlignment w:val="auto"/>
        <w:rPr>
          <w:rFonts w:hint="eastAsia" w:ascii="仿宋" w:hAnsi="仿宋" w:eastAsia="仿宋" w:cs="仿宋"/>
          <w:color w:val="auto"/>
          <w:spacing w:val="15"/>
          <w:sz w:val="32"/>
          <w:szCs w:val="32"/>
          <w:highlight w:val="none"/>
        </w:rPr>
      </w:pPr>
      <w:r>
        <w:rPr>
          <w:rFonts w:hint="eastAsia" w:ascii="仿宋_GB2312" w:hAnsi="仿宋_GB2312" w:eastAsia="仿宋_GB2312" w:cs="仿宋_GB2312"/>
          <w:color w:val="auto"/>
          <w:kern w:val="0"/>
          <w:sz w:val="32"/>
          <w:szCs w:val="32"/>
          <w:highlight w:val="none"/>
          <w:lang w:eastAsia="zh-CN"/>
        </w:rPr>
        <w:t>(六) 研究推广畜禽饲料配方及配套饲养技术。</w:t>
      </w:r>
    </w:p>
    <w:p>
      <w:pPr>
        <w:widowControl/>
        <w:wordWrap/>
        <w:adjustRightInd/>
        <w:snapToGrid/>
        <w:spacing w:before="0" w:after="0" w:line="590" w:lineRule="exact"/>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ordWrap/>
        <w:adjustRightInd/>
        <w:snapToGrid/>
        <w:spacing w:before="0" w:after="0" w:line="590" w:lineRule="exact"/>
        <w:ind w:left="36" w:right="13" w:firstLine="643"/>
        <w:textAlignment w:val="auto"/>
        <w:rPr>
          <w:rFonts w:ascii="仿宋" w:hAnsi="仿宋" w:eastAsia="仿宋" w:cs="仿宋"/>
          <w:color w:val="auto"/>
          <w:sz w:val="31"/>
          <w:szCs w:val="31"/>
          <w:highlight w:val="none"/>
        </w:rPr>
      </w:pPr>
      <w:r>
        <w:rPr>
          <w:rFonts w:hint="eastAsia" w:ascii="仿宋_GB2312" w:hAnsi="仿宋_GB2312" w:eastAsia="仿宋_GB2312" w:cs="仿宋_GB2312"/>
          <w:color w:val="auto"/>
          <w:kern w:val="0"/>
          <w:sz w:val="32"/>
          <w:szCs w:val="32"/>
          <w:highlight w:val="none"/>
          <w:lang w:eastAsia="zh-CN"/>
        </w:rPr>
        <w:t>许昌市畜牧技术推广站内</w:t>
      </w:r>
      <w:r>
        <w:rPr>
          <w:rFonts w:hint="eastAsia" w:ascii="仿宋_GB2312" w:hAnsi="仿宋_GB2312" w:eastAsia="仿宋_GB2312" w:cs="仿宋_GB2312"/>
          <w:color w:val="auto"/>
          <w:kern w:val="0"/>
          <w:sz w:val="32"/>
          <w:szCs w:val="32"/>
          <w:highlight w:val="none"/>
        </w:rPr>
        <w:t>设</w:t>
      </w:r>
      <w:r>
        <w:rPr>
          <w:rFonts w:hint="eastAsia" w:ascii="仿宋_GB2312" w:hAnsi="仿宋_GB2312" w:eastAsia="仿宋_GB2312" w:cs="仿宋_GB2312"/>
          <w:color w:val="auto"/>
          <w:kern w:val="0"/>
          <w:sz w:val="32"/>
          <w:szCs w:val="32"/>
          <w:highlight w:val="none"/>
          <w:lang w:eastAsia="zh-CN"/>
        </w:rPr>
        <w:t>科室</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eastAsia="zh-CN"/>
        </w:rPr>
        <w:t>综合办公室</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良种推广科、技术推广科、饲草饲料科</w:t>
      </w:r>
      <w:r>
        <w:rPr>
          <w:rFonts w:ascii="仿宋" w:hAnsi="仿宋" w:eastAsia="仿宋" w:cs="仿宋"/>
          <w:color w:val="auto"/>
          <w:spacing w:val="4"/>
          <w:sz w:val="31"/>
          <w:szCs w:val="31"/>
          <w:highlight w:val="none"/>
        </w:rPr>
        <w:t>。</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eastAsia="zh-CN"/>
        </w:rPr>
        <w:t>许昌市畜牧技术推广站单位</w:t>
      </w:r>
      <w:r>
        <w:rPr>
          <w:rFonts w:hint="eastAsia" w:ascii="仿宋_GB2312" w:hAnsi="仿宋_GB2312" w:eastAsia="仿宋_GB2312" w:cs="仿宋_GB2312"/>
          <w:color w:val="auto"/>
          <w:kern w:val="0"/>
          <w:sz w:val="32"/>
          <w:szCs w:val="32"/>
          <w:highlight w:val="none"/>
        </w:rPr>
        <w:t>决算包</w:t>
      </w:r>
      <w:r>
        <w:rPr>
          <w:rFonts w:hint="eastAsia" w:ascii="仿宋_GB2312" w:hAnsi="仿宋_GB2312" w:eastAsia="仿宋_GB2312" w:cs="仿宋_GB2312"/>
          <w:color w:val="auto"/>
          <w:kern w:val="0"/>
          <w:sz w:val="32"/>
          <w:szCs w:val="32"/>
          <w:highlight w:val="none"/>
          <w:lang w:eastAsia="zh-CN"/>
        </w:rPr>
        <w:t>括：本级决算（</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ordWrap/>
        <w:adjustRightInd/>
        <w:snapToGrid/>
        <w:spacing w:before="0" w:after="0" w:line="590" w:lineRule="exact"/>
        <w:ind w:left="36" w:right="13" w:firstLine="643"/>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许昌市畜牧技术推广站</w:t>
      </w:r>
    </w:p>
    <w:p>
      <w:pPr>
        <w:widowControl/>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077"/>
        <w:gridCol w:w="544"/>
        <w:gridCol w:w="3063"/>
        <w:gridCol w:w="3376"/>
        <w:gridCol w:w="545"/>
        <w:gridCol w:w="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4" w:hRule="atLeast"/>
        </w:trPr>
        <w:tc>
          <w:tcPr>
            <w:tcW w:w="13940" w:type="dxa"/>
            <w:gridSpan w:val="6"/>
            <w:vAlign w:val="bottom"/>
          </w:tcPr>
          <w:p>
            <w:pPr>
              <w:autoSpaceDN w:val="0"/>
              <w:jc w:val="center"/>
              <w:textAlignment w:val="bottom"/>
              <w:rPr>
                <w:rFonts w:hint="default" w:ascii="宋体" w:hAnsi="宋体" w:eastAsia="宋体"/>
                <w:b w:val="0"/>
                <w:i w:val="0"/>
                <w:color w:val="auto"/>
                <w:sz w:val="30"/>
                <w:highlight w:val="none"/>
                <w:u w:val="none"/>
                <w:lang w:eastAsia="zh-CN"/>
              </w:rPr>
            </w:pPr>
            <w:r>
              <w:rPr>
                <w:rFonts w:hint="default" w:ascii="宋体" w:hAnsi="宋体" w:eastAsia="宋体"/>
                <w:b w:val="0"/>
                <w:i w:val="0"/>
                <w:color w:val="auto"/>
                <w:sz w:val="32"/>
                <w:szCs w:val="32"/>
                <w:highlight w:val="none"/>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4" w:hRule="atLeast"/>
        </w:trPr>
        <w:tc>
          <w:tcPr>
            <w:tcW w:w="3077" w:type="dxa"/>
            <w:vAlign w:val="bottom"/>
          </w:tcPr>
          <w:p>
            <w:pPr>
              <w:autoSpaceDN w:val="0"/>
              <w:jc w:val="left"/>
              <w:textAlignment w:val="bottom"/>
              <w:rPr>
                <w:rFonts w:hint="default" w:ascii="Arial" w:hAnsi="宋体"/>
                <w:b w:val="0"/>
                <w:i w:val="0"/>
                <w:color w:val="auto"/>
                <w:sz w:val="20"/>
                <w:highlight w:val="none"/>
                <w:u w:val="none"/>
              </w:rPr>
            </w:pPr>
          </w:p>
        </w:tc>
        <w:tc>
          <w:tcPr>
            <w:tcW w:w="544" w:type="dxa"/>
            <w:vAlign w:val="bottom"/>
          </w:tcPr>
          <w:p>
            <w:pPr>
              <w:autoSpaceDN w:val="0"/>
              <w:jc w:val="left"/>
              <w:textAlignment w:val="bottom"/>
              <w:rPr>
                <w:rFonts w:hint="default" w:ascii="Arial" w:hAnsi="宋体"/>
                <w:b w:val="0"/>
                <w:i w:val="0"/>
                <w:color w:val="auto"/>
                <w:sz w:val="20"/>
                <w:highlight w:val="none"/>
                <w:u w:val="none"/>
              </w:rPr>
            </w:pPr>
          </w:p>
        </w:tc>
        <w:tc>
          <w:tcPr>
            <w:tcW w:w="3063" w:type="dxa"/>
            <w:vAlign w:val="bottom"/>
          </w:tcPr>
          <w:p>
            <w:pPr>
              <w:autoSpaceDN w:val="0"/>
              <w:jc w:val="left"/>
              <w:textAlignment w:val="bottom"/>
              <w:rPr>
                <w:rFonts w:hint="default" w:ascii="Arial" w:hAnsi="宋体"/>
                <w:b w:val="0"/>
                <w:i w:val="0"/>
                <w:color w:val="auto"/>
                <w:sz w:val="20"/>
                <w:highlight w:val="none"/>
                <w:u w:val="none"/>
              </w:rPr>
            </w:pPr>
          </w:p>
        </w:tc>
        <w:tc>
          <w:tcPr>
            <w:tcW w:w="3376" w:type="dxa"/>
            <w:vAlign w:val="bottom"/>
          </w:tcPr>
          <w:p>
            <w:pPr>
              <w:autoSpaceDN w:val="0"/>
              <w:jc w:val="left"/>
              <w:textAlignment w:val="bottom"/>
              <w:rPr>
                <w:rFonts w:hint="default" w:ascii="Arial" w:hAnsi="宋体"/>
                <w:b w:val="0"/>
                <w:i w:val="0"/>
                <w:color w:val="auto"/>
                <w:sz w:val="20"/>
                <w:highlight w:val="none"/>
                <w:u w:val="none"/>
              </w:rPr>
            </w:pPr>
          </w:p>
        </w:tc>
        <w:tc>
          <w:tcPr>
            <w:tcW w:w="545" w:type="dxa"/>
            <w:vAlign w:val="bottom"/>
          </w:tcPr>
          <w:p>
            <w:pPr>
              <w:autoSpaceDN w:val="0"/>
              <w:jc w:val="left"/>
              <w:textAlignment w:val="bottom"/>
              <w:rPr>
                <w:rFonts w:hint="default" w:ascii="Arial" w:hAnsi="宋体"/>
                <w:b w:val="0"/>
                <w:i w:val="0"/>
                <w:color w:val="auto"/>
                <w:sz w:val="20"/>
                <w:highlight w:val="none"/>
                <w:u w:val="none"/>
              </w:rPr>
            </w:pPr>
          </w:p>
        </w:tc>
        <w:tc>
          <w:tcPr>
            <w:tcW w:w="3335" w:type="dxa"/>
            <w:vAlign w:val="bottom"/>
          </w:tcPr>
          <w:p>
            <w:pPr>
              <w:autoSpaceDN w:val="0"/>
              <w:jc w:val="right"/>
              <w:textAlignment w:val="bottom"/>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7" w:hRule="atLeast"/>
        </w:trPr>
        <w:tc>
          <w:tcPr>
            <w:tcW w:w="3077" w:type="dxa"/>
            <w:vAlign w:val="bottom"/>
          </w:tcPr>
          <w:p>
            <w:pPr>
              <w:autoSpaceDN w:val="0"/>
              <w:jc w:val="left"/>
              <w:textAlignment w:val="bottom"/>
              <w:rPr>
                <w:rFonts w:hint="default" w:ascii="宋体" w:hAnsi="宋体" w:eastAsia="宋体"/>
                <w:b w:val="0"/>
                <w:i w:val="0"/>
                <w:color w:val="auto"/>
                <w:sz w:val="20"/>
                <w:highlight w:val="none"/>
                <w:u w:val="none"/>
                <w:lang w:eastAsia="zh-CN"/>
              </w:rPr>
            </w:pPr>
            <w:r>
              <w:rPr>
                <w:rFonts w:hint="eastAsia" w:ascii="宋体" w:hAnsi="宋体"/>
                <w:b w:val="0"/>
                <w:i w:val="0"/>
                <w:color w:val="auto"/>
                <w:sz w:val="20"/>
                <w:highlight w:val="none"/>
                <w:u w:val="none"/>
                <w:lang w:eastAsia="zh-CN"/>
              </w:rPr>
              <w:t>单位</w:t>
            </w:r>
            <w:r>
              <w:rPr>
                <w:rFonts w:hint="default" w:ascii="宋体" w:hAnsi="宋体" w:eastAsia="宋体"/>
                <w:b w:val="0"/>
                <w:i w:val="0"/>
                <w:color w:val="auto"/>
                <w:sz w:val="20"/>
                <w:highlight w:val="none"/>
                <w:u w:val="none"/>
                <w:lang w:eastAsia="zh-CN"/>
              </w:rPr>
              <w:t>：许昌市畜牧技术推广站</w:t>
            </w:r>
          </w:p>
        </w:tc>
        <w:tc>
          <w:tcPr>
            <w:tcW w:w="544" w:type="dxa"/>
            <w:vAlign w:val="bottom"/>
          </w:tcPr>
          <w:p>
            <w:pPr>
              <w:autoSpaceDN w:val="0"/>
              <w:jc w:val="left"/>
              <w:textAlignment w:val="bottom"/>
              <w:rPr>
                <w:rFonts w:hint="default" w:ascii="Arial" w:hAnsi="宋体"/>
                <w:b w:val="0"/>
                <w:i w:val="0"/>
                <w:color w:val="auto"/>
                <w:sz w:val="20"/>
                <w:highlight w:val="none"/>
                <w:u w:val="none"/>
              </w:rPr>
            </w:pPr>
          </w:p>
        </w:tc>
        <w:tc>
          <w:tcPr>
            <w:tcW w:w="3063" w:type="dxa"/>
            <w:vAlign w:val="bottom"/>
          </w:tcPr>
          <w:p>
            <w:pPr>
              <w:autoSpaceDN w:val="0"/>
              <w:jc w:val="left"/>
              <w:textAlignment w:val="bottom"/>
              <w:rPr>
                <w:rFonts w:hint="default" w:ascii="Arial" w:hAnsi="宋体"/>
                <w:b w:val="0"/>
                <w:i w:val="0"/>
                <w:color w:val="auto"/>
                <w:sz w:val="20"/>
                <w:highlight w:val="none"/>
                <w:u w:val="none"/>
              </w:rPr>
            </w:pPr>
          </w:p>
        </w:tc>
        <w:tc>
          <w:tcPr>
            <w:tcW w:w="3376" w:type="dxa"/>
            <w:vAlign w:val="bottom"/>
          </w:tcPr>
          <w:p>
            <w:pPr>
              <w:autoSpaceDN w:val="0"/>
              <w:jc w:val="left"/>
              <w:textAlignment w:val="bottom"/>
              <w:rPr>
                <w:rFonts w:hint="default" w:ascii="Arial" w:hAnsi="宋体"/>
                <w:b w:val="0"/>
                <w:i w:val="0"/>
                <w:color w:val="auto"/>
                <w:sz w:val="20"/>
                <w:highlight w:val="none"/>
                <w:u w:val="none"/>
              </w:rPr>
            </w:pPr>
          </w:p>
        </w:tc>
        <w:tc>
          <w:tcPr>
            <w:tcW w:w="545" w:type="dxa"/>
            <w:vAlign w:val="bottom"/>
          </w:tcPr>
          <w:p>
            <w:pPr>
              <w:autoSpaceDN w:val="0"/>
              <w:jc w:val="left"/>
              <w:textAlignment w:val="bottom"/>
              <w:rPr>
                <w:rFonts w:hint="default" w:ascii="Arial" w:hAnsi="宋体"/>
                <w:b w:val="0"/>
                <w:i w:val="0"/>
                <w:color w:val="auto"/>
                <w:sz w:val="20"/>
                <w:highlight w:val="none"/>
                <w:u w:val="none"/>
              </w:rPr>
            </w:pPr>
          </w:p>
        </w:tc>
        <w:tc>
          <w:tcPr>
            <w:tcW w:w="3335" w:type="dxa"/>
            <w:vAlign w:val="bottom"/>
          </w:tcPr>
          <w:p>
            <w:pPr>
              <w:autoSpaceDN w:val="0"/>
              <w:jc w:val="right"/>
              <w:textAlignment w:val="bottom"/>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668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收入</w:t>
            </w:r>
          </w:p>
        </w:tc>
        <w:tc>
          <w:tcPr>
            <w:tcW w:w="7256"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项目</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行次</w:t>
            </w:r>
          </w:p>
        </w:tc>
        <w:tc>
          <w:tcPr>
            <w:tcW w:w="30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金额</w:t>
            </w:r>
          </w:p>
        </w:tc>
        <w:tc>
          <w:tcPr>
            <w:tcW w:w="3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项目</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行次</w:t>
            </w:r>
          </w:p>
        </w:tc>
        <w:tc>
          <w:tcPr>
            <w:tcW w:w="333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栏次</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p>
        </w:tc>
        <w:tc>
          <w:tcPr>
            <w:tcW w:w="30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w:t>
            </w:r>
          </w:p>
        </w:tc>
        <w:tc>
          <w:tcPr>
            <w:tcW w:w="3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栏次</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p>
        </w:tc>
        <w:tc>
          <w:tcPr>
            <w:tcW w:w="333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一、一般公共预算财政拨款收入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440.31</w:t>
            </w: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一、一般公共服务支出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32</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二、政府性基金预算财政拨款收入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二、外交支出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33</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83"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三、国有资本经营预算财政拨款收入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三、国防支出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34</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四、上级补助收入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四、公共安全支出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35</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五、事业收入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五、教育支出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36</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六、经营收入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六、科学技术支出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37</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七、附属单位上缴收入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7</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七、文化旅游体育与传媒支出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38</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八、其他收入</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8</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八、社会保障和就业支出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93.06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9</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九、卫生健康支出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40</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10</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十、节能环保支出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41</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11</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十一、城乡社区支出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42</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12</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十二、农林水支出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43</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389.23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13</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十三、交通运输支出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44</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14</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十四、资源勘探工业信息等支出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45</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15</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十五、商业服务业等支出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46</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16</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十六、金融支出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47</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17</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十七、援助其他地区支出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48</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18</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十八、自然资源海洋气象等支出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19</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十九、住房保障支出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50</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20</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二十、粮油物资储备支出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51</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21</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二十一、国有资本经营预算支出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52</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二十二、灾害防治及应急管理支出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53</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23</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二十三、其他支出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54</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0"/>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24</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0"/>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二十四、债务还本支出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55</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0"/>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25</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0"/>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二十五、债务付息支出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56</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0"/>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26</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0"/>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二十六、抗疫特别国债安排的支出</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57</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本年收入合计</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27</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440.31</w:t>
            </w:r>
          </w:p>
        </w:tc>
        <w:tc>
          <w:tcPr>
            <w:tcW w:w="3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本年支出合计</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58</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使用非财政拨款结余</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28</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结余分配</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59</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年初结转和结余</w:t>
            </w: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29</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56.12</w:t>
            </w: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年末结转和结余</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60</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33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61</w:t>
            </w:r>
          </w:p>
        </w:tc>
        <w:tc>
          <w:tcPr>
            <w:tcW w:w="33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 w:hRule="atLeast"/>
        </w:trPr>
        <w:tc>
          <w:tcPr>
            <w:tcW w:w="30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总计</w:t>
            </w:r>
          </w:p>
        </w:tc>
        <w:tc>
          <w:tcPr>
            <w:tcW w:w="544"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w:t>
            </w:r>
          </w:p>
        </w:tc>
        <w:tc>
          <w:tcPr>
            <w:tcW w:w="30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c>
          <w:tcPr>
            <w:tcW w:w="3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总计</w:t>
            </w:r>
          </w:p>
        </w:tc>
        <w:tc>
          <w:tcPr>
            <w:tcW w:w="5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62</w:t>
            </w:r>
          </w:p>
        </w:tc>
        <w:tc>
          <w:tcPr>
            <w:tcW w:w="3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6" w:hRule="atLeast"/>
        </w:trPr>
        <w:tc>
          <w:tcPr>
            <w:tcW w:w="13940" w:type="dxa"/>
            <w:gridSpan w:val="6"/>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注：本表反映</w:t>
            </w:r>
            <w:r>
              <w:rPr>
                <w:rFonts w:hint="eastAsia" w:ascii="宋体" w:hAnsi="宋体"/>
                <w:b w:val="0"/>
                <w:i w:val="0"/>
                <w:color w:val="auto"/>
                <w:sz w:val="22"/>
                <w:highlight w:val="none"/>
                <w:u w:val="none"/>
                <w:lang w:eastAsia="zh-CN"/>
              </w:rPr>
              <w:t>单位</w:t>
            </w:r>
            <w:r>
              <w:rPr>
                <w:rFonts w:hint="default" w:ascii="宋体" w:hAnsi="宋体" w:eastAsia="宋体"/>
                <w:b w:val="0"/>
                <w:i w:val="0"/>
                <w:color w:val="auto"/>
                <w:sz w:val="22"/>
                <w:highlight w:val="none"/>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928"/>
        <w:gridCol w:w="896"/>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59"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28"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96"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tcMar>
              <w:top w:w="15" w:type="dxa"/>
              <w:left w:w="15" w:type="dxa"/>
              <w:right w:w="15" w:type="dxa"/>
            </w:tcMar>
            <w:vAlign w:val="center"/>
          </w:tcPr>
          <w:p>
            <w:pPr>
              <w:jc w:val="both"/>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eastAsia="zh-CN"/>
              </w:rPr>
              <w:t>许昌市畜牧技术推广站</w:t>
            </w: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014" w:type="dxa"/>
            <w:gridSpan w:val="3"/>
            <w:tcBorders>
              <w:top w:val="single" w:color="000000" w:sz="8"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98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8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8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0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01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440.31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440.31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201</w:t>
            </w:r>
          </w:p>
        </w:tc>
        <w:tc>
          <w:tcPr>
            <w:tcW w:w="1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一般公共服务支出</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20129</w:t>
            </w:r>
          </w:p>
        </w:tc>
        <w:tc>
          <w:tcPr>
            <w:tcW w:w="1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群众团体事务</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华文中宋" w:hAnsi="华文中宋" w:eastAsia="华文中宋" w:cs="华文中宋"/>
                <w:color w:val="auto"/>
                <w:sz w:val="20"/>
                <w:szCs w:val="20"/>
                <w:highlight w:val="none"/>
                <w:lang w:val="en-US" w:eastAsia="zh-CN"/>
              </w:rPr>
            </w:pPr>
            <w:r>
              <w:rPr>
                <w:rFonts w:hint="eastAsia" w:ascii="华文中宋" w:hAnsi="华文中宋" w:eastAsia="华文中宋" w:cs="华文中宋"/>
                <w:color w:val="auto"/>
                <w:sz w:val="20"/>
                <w:szCs w:val="20"/>
                <w:highlight w:val="none"/>
                <w:lang w:val="en-US" w:eastAsia="zh-CN"/>
              </w:rPr>
              <w:t>2.28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2012906</w:t>
            </w:r>
          </w:p>
        </w:tc>
        <w:tc>
          <w:tcPr>
            <w:tcW w:w="1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工会事务</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w:t>
            </w:r>
          </w:p>
        </w:tc>
        <w:tc>
          <w:tcPr>
            <w:tcW w:w="1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社会保障和就业支出</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75.52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75.52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20805</w:t>
            </w:r>
          </w:p>
        </w:tc>
        <w:tc>
          <w:tcPr>
            <w:tcW w:w="1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行政事业单位养老支出</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75.52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75.52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2080502</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事业单位离退休</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55.71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55.71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2080505</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机关事业单位基本养老保险缴费支出</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19.81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19.81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210</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卫生健康支出</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11.86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21011</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行政事业单位医疗</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11.86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2101102</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事业单位医疗</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11.86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农林水支出</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350.65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350.65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21301</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农业农村</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350.65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350.65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2130104</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事业运行</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349.26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349.26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2130106</w:t>
            </w:r>
          </w:p>
        </w:tc>
        <w:tc>
          <w:tcPr>
            <w:tcW w:w="19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科技转化与推广服务</w:t>
            </w:r>
          </w:p>
        </w:tc>
        <w:tc>
          <w:tcPr>
            <w:tcW w:w="98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1.40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632"/>
        <w:gridCol w:w="1491"/>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32"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91"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tcMar>
              <w:top w:w="15" w:type="dxa"/>
              <w:left w:w="15" w:type="dxa"/>
              <w:right w:w="15" w:type="dxa"/>
            </w:tcMar>
            <w:vAlign w:val="bottom"/>
          </w:tcPr>
          <w:p>
            <w:pPr>
              <w:jc w:val="left"/>
              <w:rPr>
                <w:rFonts w:hint="eastAsia" w:ascii="宋体" w:hAnsi="宋体" w:cs="宋体"/>
                <w:color w:val="auto"/>
                <w:sz w:val="20"/>
                <w:szCs w:val="20"/>
                <w:highlight w:val="none"/>
              </w:rPr>
            </w:pPr>
            <w:r>
              <w:rPr>
                <w:rFonts w:hint="eastAsia" w:ascii="宋体" w:hAnsi="宋体"/>
                <w:b w:val="0"/>
                <w:i w:val="0"/>
                <w:color w:val="auto"/>
                <w:sz w:val="20"/>
                <w:highlight w:val="none"/>
                <w:u w:val="none"/>
                <w:lang w:eastAsia="zh-CN"/>
              </w:rPr>
              <w:t>单位</w:t>
            </w:r>
            <w:r>
              <w:rPr>
                <w:rFonts w:hint="default" w:ascii="宋体" w:hAnsi="宋体" w:eastAsia="宋体"/>
                <w:b w:val="0"/>
                <w:i w:val="0"/>
                <w:color w:val="auto"/>
                <w:sz w:val="20"/>
                <w:highlight w:val="none"/>
                <w:u w:val="none"/>
                <w:lang w:eastAsia="zh-CN"/>
              </w:rPr>
              <w:t>：许昌市畜牧技术推广站</w:t>
            </w:r>
          </w:p>
        </w:tc>
        <w:tc>
          <w:tcPr>
            <w:tcW w:w="1802"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42" w:type="dxa"/>
            <w:gridSpan w:val="4"/>
            <w:tcBorders>
              <w:top w:val="single" w:color="000000" w:sz="8"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62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65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62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2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42"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42" w:type="dxa"/>
            <w:gridSpan w:val="4"/>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496.43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494.96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201</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一般公共服务支出</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2.28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20129</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群众团体事务</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2.28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2012906</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工会事务</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2.28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社会保障和就业支出</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93.06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20805</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行政事业单位养老支出</w:t>
            </w: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93.06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2080502</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事业单位离退休</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65.57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65.57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2080505</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机关事业单位基本养老保险缴费支出</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27.49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27.49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210</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卫生健康支出</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11.86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21011</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行政事业单位医疗</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11.86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2101102</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事业单位医疗</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11.86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农林水支出</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389.23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389.23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21301</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农业农村</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389.23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389.23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2130104</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事业运行</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387.76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387.76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2130106</w:t>
            </w: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科技转化与推广服务</w:t>
            </w:r>
          </w:p>
        </w:tc>
        <w:tc>
          <w:tcPr>
            <w:tcW w:w="16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336"/>
        <w:gridCol w:w="520"/>
        <w:gridCol w:w="2323"/>
        <w:gridCol w:w="2846"/>
        <w:gridCol w:w="334"/>
        <w:gridCol w:w="1103"/>
        <w:gridCol w:w="1"/>
        <w:gridCol w:w="856"/>
        <w:gridCol w:w="856"/>
        <w:gridCol w:w="1"/>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8" w:hRule="atLeast"/>
        </w:trPr>
        <w:tc>
          <w:tcPr>
            <w:tcW w:w="13720" w:type="dxa"/>
            <w:gridSpan w:val="11"/>
            <w:vAlign w:val="bottom"/>
          </w:tcPr>
          <w:p>
            <w:pPr>
              <w:autoSpaceDN w:val="0"/>
              <w:jc w:val="center"/>
              <w:textAlignment w:val="bottom"/>
              <w:rPr>
                <w:rFonts w:hint="default" w:ascii="宋体" w:hAnsi="宋体" w:eastAsia="宋体"/>
                <w:b w:val="0"/>
                <w:i w:val="0"/>
                <w:color w:val="auto"/>
                <w:sz w:val="30"/>
                <w:highlight w:val="none"/>
                <w:u w:val="none"/>
                <w:lang w:eastAsia="zh-CN"/>
              </w:rPr>
            </w:pPr>
            <w:r>
              <w:rPr>
                <w:rFonts w:hint="default" w:ascii="宋体" w:hAnsi="宋体" w:eastAsia="宋体"/>
                <w:b w:val="0"/>
                <w:i w:val="0"/>
                <w:color w:val="auto"/>
                <w:sz w:val="32"/>
                <w:szCs w:val="32"/>
                <w:highlight w:val="none"/>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9" w:hRule="atLeast"/>
        </w:trPr>
        <w:tc>
          <w:tcPr>
            <w:tcW w:w="2336" w:type="dxa"/>
            <w:vAlign w:val="bottom"/>
          </w:tcPr>
          <w:p>
            <w:pPr>
              <w:autoSpaceDN w:val="0"/>
              <w:jc w:val="left"/>
              <w:textAlignment w:val="bottom"/>
              <w:rPr>
                <w:rFonts w:hint="default" w:ascii="Arial" w:hAnsi="宋体"/>
                <w:b w:val="0"/>
                <w:i w:val="0"/>
                <w:color w:val="auto"/>
                <w:sz w:val="20"/>
                <w:highlight w:val="none"/>
                <w:u w:val="none"/>
              </w:rPr>
            </w:pPr>
          </w:p>
        </w:tc>
        <w:tc>
          <w:tcPr>
            <w:tcW w:w="520" w:type="dxa"/>
            <w:vAlign w:val="bottom"/>
          </w:tcPr>
          <w:p>
            <w:pPr>
              <w:autoSpaceDN w:val="0"/>
              <w:jc w:val="left"/>
              <w:textAlignment w:val="bottom"/>
              <w:rPr>
                <w:rFonts w:hint="default" w:ascii="Arial" w:hAnsi="宋体"/>
                <w:b w:val="0"/>
                <w:i w:val="0"/>
                <w:color w:val="auto"/>
                <w:sz w:val="20"/>
                <w:highlight w:val="none"/>
                <w:u w:val="none"/>
              </w:rPr>
            </w:pPr>
          </w:p>
        </w:tc>
        <w:tc>
          <w:tcPr>
            <w:tcW w:w="2323" w:type="dxa"/>
            <w:vAlign w:val="bottom"/>
          </w:tcPr>
          <w:p>
            <w:pPr>
              <w:autoSpaceDN w:val="0"/>
              <w:jc w:val="left"/>
              <w:textAlignment w:val="bottom"/>
              <w:rPr>
                <w:rFonts w:hint="default" w:ascii="Arial" w:hAnsi="宋体"/>
                <w:b w:val="0"/>
                <w:i w:val="0"/>
                <w:color w:val="auto"/>
                <w:sz w:val="20"/>
                <w:highlight w:val="none"/>
                <w:u w:val="none"/>
              </w:rPr>
            </w:pPr>
          </w:p>
        </w:tc>
        <w:tc>
          <w:tcPr>
            <w:tcW w:w="2846" w:type="dxa"/>
            <w:vAlign w:val="bottom"/>
          </w:tcPr>
          <w:p>
            <w:pPr>
              <w:autoSpaceDN w:val="0"/>
              <w:jc w:val="left"/>
              <w:textAlignment w:val="bottom"/>
              <w:rPr>
                <w:rFonts w:hint="default" w:ascii="Arial" w:hAnsi="宋体"/>
                <w:b w:val="0"/>
                <w:i w:val="0"/>
                <w:color w:val="auto"/>
                <w:sz w:val="20"/>
                <w:highlight w:val="none"/>
                <w:u w:val="none"/>
              </w:rPr>
            </w:pPr>
          </w:p>
        </w:tc>
        <w:tc>
          <w:tcPr>
            <w:tcW w:w="334" w:type="dxa"/>
            <w:vAlign w:val="bottom"/>
          </w:tcPr>
          <w:p>
            <w:pPr>
              <w:autoSpaceDN w:val="0"/>
              <w:jc w:val="left"/>
              <w:textAlignment w:val="bottom"/>
              <w:rPr>
                <w:rFonts w:hint="default" w:ascii="Arial" w:hAnsi="宋体"/>
                <w:b w:val="0"/>
                <w:i w:val="0"/>
                <w:color w:val="auto"/>
                <w:sz w:val="20"/>
                <w:highlight w:val="none"/>
                <w:u w:val="none"/>
              </w:rPr>
            </w:pPr>
          </w:p>
        </w:tc>
        <w:tc>
          <w:tcPr>
            <w:tcW w:w="1104" w:type="dxa"/>
            <w:gridSpan w:val="2"/>
            <w:vAlign w:val="bottom"/>
          </w:tcPr>
          <w:p>
            <w:pPr>
              <w:autoSpaceDN w:val="0"/>
              <w:jc w:val="left"/>
              <w:textAlignment w:val="bottom"/>
              <w:rPr>
                <w:rFonts w:hint="default" w:ascii="Arial" w:hAnsi="宋体"/>
                <w:b w:val="0"/>
                <w:i w:val="0"/>
                <w:color w:val="auto"/>
                <w:sz w:val="20"/>
                <w:highlight w:val="none"/>
                <w:u w:val="none"/>
              </w:rPr>
            </w:pPr>
          </w:p>
        </w:tc>
        <w:tc>
          <w:tcPr>
            <w:tcW w:w="856" w:type="dxa"/>
            <w:vAlign w:val="bottom"/>
          </w:tcPr>
          <w:p>
            <w:pPr>
              <w:autoSpaceDN w:val="0"/>
              <w:jc w:val="left"/>
              <w:textAlignment w:val="bottom"/>
              <w:rPr>
                <w:rFonts w:hint="default" w:ascii="Arial" w:hAnsi="宋体"/>
                <w:b w:val="0"/>
                <w:i w:val="0"/>
                <w:color w:val="auto"/>
                <w:sz w:val="20"/>
                <w:highlight w:val="none"/>
                <w:u w:val="none"/>
              </w:rPr>
            </w:pPr>
          </w:p>
        </w:tc>
        <w:tc>
          <w:tcPr>
            <w:tcW w:w="857" w:type="dxa"/>
            <w:gridSpan w:val="2"/>
            <w:vAlign w:val="bottom"/>
          </w:tcPr>
          <w:p>
            <w:pPr>
              <w:autoSpaceDN w:val="0"/>
              <w:jc w:val="left"/>
              <w:textAlignment w:val="bottom"/>
              <w:rPr>
                <w:rFonts w:hint="default" w:ascii="Arial" w:hAnsi="宋体"/>
                <w:b w:val="0"/>
                <w:i w:val="0"/>
                <w:color w:val="auto"/>
                <w:sz w:val="20"/>
                <w:highlight w:val="none"/>
                <w:u w:val="none"/>
              </w:rPr>
            </w:pPr>
          </w:p>
        </w:tc>
        <w:tc>
          <w:tcPr>
            <w:tcW w:w="2544" w:type="dxa"/>
            <w:vAlign w:val="bottom"/>
          </w:tcPr>
          <w:p>
            <w:pPr>
              <w:autoSpaceDN w:val="0"/>
              <w:jc w:val="right"/>
              <w:textAlignment w:val="bottom"/>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9" w:hRule="atLeast"/>
        </w:trPr>
        <w:tc>
          <w:tcPr>
            <w:tcW w:w="2856" w:type="dxa"/>
            <w:gridSpan w:val="2"/>
            <w:vAlign w:val="bottom"/>
          </w:tcPr>
          <w:p>
            <w:pPr>
              <w:autoSpaceDN w:val="0"/>
              <w:jc w:val="left"/>
              <w:textAlignment w:val="bottom"/>
              <w:rPr>
                <w:rFonts w:hint="default" w:ascii="Arial" w:hAnsi="宋体"/>
                <w:b w:val="0"/>
                <w:i w:val="0"/>
                <w:color w:val="auto"/>
                <w:sz w:val="20"/>
                <w:highlight w:val="none"/>
                <w:u w:val="none"/>
              </w:rPr>
            </w:pPr>
            <w:r>
              <w:rPr>
                <w:rFonts w:hint="eastAsia" w:ascii="宋体" w:hAnsi="宋体"/>
                <w:b w:val="0"/>
                <w:i w:val="0"/>
                <w:color w:val="auto"/>
                <w:sz w:val="20"/>
                <w:highlight w:val="none"/>
                <w:u w:val="none"/>
                <w:lang w:eastAsia="zh-CN"/>
              </w:rPr>
              <w:t>单位</w:t>
            </w:r>
            <w:r>
              <w:rPr>
                <w:rFonts w:hint="default" w:ascii="宋体" w:hAnsi="宋体" w:eastAsia="宋体"/>
                <w:b w:val="0"/>
                <w:i w:val="0"/>
                <w:color w:val="auto"/>
                <w:sz w:val="20"/>
                <w:highlight w:val="none"/>
                <w:u w:val="none"/>
                <w:lang w:eastAsia="zh-CN"/>
              </w:rPr>
              <w:t>：许昌市畜牧技术推广站</w:t>
            </w:r>
          </w:p>
        </w:tc>
        <w:tc>
          <w:tcPr>
            <w:tcW w:w="2323" w:type="dxa"/>
            <w:vAlign w:val="bottom"/>
          </w:tcPr>
          <w:p>
            <w:pPr>
              <w:autoSpaceDN w:val="0"/>
              <w:jc w:val="left"/>
              <w:textAlignment w:val="bottom"/>
              <w:rPr>
                <w:rFonts w:hint="default" w:ascii="Arial" w:hAnsi="宋体"/>
                <w:b w:val="0"/>
                <w:i w:val="0"/>
                <w:color w:val="auto"/>
                <w:sz w:val="20"/>
                <w:highlight w:val="none"/>
                <w:u w:val="none"/>
              </w:rPr>
            </w:pPr>
          </w:p>
        </w:tc>
        <w:tc>
          <w:tcPr>
            <w:tcW w:w="2846" w:type="dxa"/>
            <w:vAlign w:val="bottom"/>
          </w:tcPr>
          <w:p>
            <w:pPr>
              <w:autoSpaceDN w:val="0"/>
              <w:jc w:val="left"/>
              <w:textAlignment w:val="bottom"/>
              <w:rPr>
                <w:rFonts w:hint="default" w:ascii="Arial" w:hAnsi="宋体"/>
                <w:b w:val="0"/>
                <w:i w:val="0"/>
                <w:color w:val="auto"/>
                <w:sz w:val="20"/>
                <w:highlight w:val="none"/>
                <w:u w:val="none"/>
              </w:rPr>
            </w:pPr>
          </w:p>
        </w:tc>
        <w:tc>
          <w:tcPr>
            <w:tcW w:w="334" w:type="dxa"/>
            <w:vAlign w:val="bottom"/>
          </w:tcPr>
          <w:p>
            <w:pPr>
              <w:autoSpaceDN w:val="0"/>
              <w:jc w:val="left"/>
              <w:textAlignment w:val="bottom"/>
              <w:rPr>
                <w:rFonts w:hint="default" w:ascii="Arial" w:hAnsi="宋体"/>
                <w:b w:val="0"/>
                <w:i w:val="0"/>
                <w:color w:val="auto"/>
                <w:sz w:val="20"/>
                <w:highlight w:val="none"/>
                <w:u w:val="none"/>
              </w:rPr>
            </w:pPr>
          </w:p>
        </w:tc>
        <w:tc>
          <w:tcPr>
            <w:tcW w:w="1104" w:type="dxa"/>
            <w:gridSpan w:val="2"/>
            <w:vAlign w:val="bottom"/>
          </w:tcPr>
          <w:p>
            <w:pPr>
              <w:autoSpaceDN w:val="0"/>
              <w:jc w:val="left"/>
              <w:textAlignment w:val="bottom"/>
              <w:rPr>
                <w:rFonts w:hint="default" w:ascii="Arial" w:hAnsi="宋体"/>
                <w:b w:val="0"/>
                <w:i w:val="0"/>
                <w:color w:val="auto"/>
                <w:sz w:val="20"/>
                <w:highlight w:val="none"/>
                <w:u w:val="none"/>
              </w:rPr>
            </w:pPr>
          </w:p>
        </w:tc>
        <w:tc>
          <w:tcPr>
            <w:tcW w:w="856" w:type="dxa"/>
            <w:vAlign w:val="bottom"/>
          </w:tcPr>
          <w:p>
            <w:pPr>
              <w:autoSpaceDN w:val="0"/>
              <w:jc w:val="left"/>
              <w:textAlignment w:val="bottom"/>
              <w:rPr>
                <w:rFonts w:hint="default" w:ascii="Arial" w:hAnsi="宋体"/>
                <w:b w:val="0"/>
                <w:i w:val="0"/>
                <w:color w:val="auto"/>
                <w:sz w:val="20"/>
                <w:highlight w:val="none"/>
                <w:u w:val="none"/>
              </w:rPr>
            </w:pPr>
          </w:p>
        </w:tc>
        <w:tc>
          <w:tcPr>
            <w:tcW w:w="857" w:type="dxa"/>
            <w:gridSpan w:val="2"/>
            <w:vAlign w:val="bottom"/>
          </w:tcPr>
          <w:p>
            <w:pPr>
              <w:autoSpaceDN w:val="0"/>
              <w:jc w:val="left"/>
              <w:textAlignment w:val="bottom"/>
              <w:rPr>
                <w:rFonts w:hint="default" w:ascii="Arial" w:hAnsi="宋体"/>
                <w:b w:val="0"/>
                <w:i w:val="0"/>
                <w:color w:val="auto"/>
                <w:sz w:val="20"/>
                <w:highlight w:val="none"/>
                <w:u w:val="none"/>
              </w:rPr>
            </w:pPr>
          </w:p>
        </w:tc>
        <w:tc>
          <w:tcPr>
            <w:tcW w:w="2544" w:type="dxa"/>
            <w:vAlign w:val="bottom"/>
          </w:tcPr>
          <w:p>
            <w:pPr>
              <w:autoSpaceDN w:val="0"/>
              <w:jc w:val="right"/>
              <w:textAlignment w:val="bottom"/>
              <w:rPr>
                <w:rFonts w:hint="default" w:ascii="宋体" w:hAnsi="宋体" w:eastAsia="宋体"/>
                <w:b w:val="0"/>
                <w:i w:val="0"/>
                <w:color w:val="auto"/>
                <w:sz w:val="20"/>
                <w:highlight w:val="none"/>
                <w:u w:val="none"/>
                <w:lang w:eastAsia="zh-CN"/>
              </w:rPr>
            </w:pPr>
            <w:r>
              <w:rPr>
                <w:rFonts w:hint="default" w:ascii="宋体" w:hAnsi="宋体" w:eastAsia="宋体"/>
                <w:b w:val="0"/>
                <w:i w:val="0"/>
                <w:color w:val="auto"/>
                <w:sz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517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收     入</w:t>
            </w:r>
          </w:p>
        </w:tc>
        <w:tc>
          <w:tcPr>
            <w:tcW w:w="8541" w:type="dxa"/>
            <w:gridSpan w:val="8"/>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2336"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项目</w:t>
            </w:r>
          </w:p>
        </w:tc>
        <w:tc>
          <w:tcPr>
            <w:tcW w:w="52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行次</w:t>
            </w:r>
          </w:p>
        </w:tc>
        <w:tc>
          <w:tcPr>
            <w:tcW w:w="232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金额</w:t>
            </w:r>
          </w:p>
        </w:tc>
        <w:tc>
          <w:tcPr>
            <w:tcW w:w="284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项目</w:t>
            </w:r>
          </w:p>
        </w:tc>
        <w:tc>
          <w:tcPr>
            <w:tcW w:w="33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行次</w:t>
            </w:r>
          </w:p>
        </w:tc>
        <w:tc>
          <w:tcPr>
            <w:tcW w:w="110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合计</w:t>
            </w:r>
          </w:p>
        </w:tc>
        <w:tc>
          <w:tcPr>
            <w:tcW w:w="857"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一般公共预算财政拨款</w:t>
            </w:r>
          </w:p>
        </w:tc>
        <w:tc>
          <w:tcPr>
            <w:tcW w:w="85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政府性基金预算财政拨款</w:t>
            </w:r>
          </w:p>
        </w:tc>
        <w:tc>
          <w:tcPr>
            <w:tcW w:w="2545"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4" w:hRule="atLeast"/>
        </w:trPr>
        <w:tc>
          <w:tcPr>
            <w:tcW w:w="2336"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520"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2323"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2846"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334"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1103"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857" w:type="dxa"/>
            <w:gridSpan w:val="2"/>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856"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2545" w:type="dxa"/>
            <w:gridSpan w:val="2"/>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栏次</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p>
        </w:tc>
        <w:tc>
          <w:tcPr>
            <w:tcW w:w="23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w:t>
            </w:r>
          </w:p>
        </w:tc>
        <w:tc>
          <w:tcPr>
            <w:tcW w:w="28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栏次</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p>
        </w:tc>
        <w:tc>
          <w:tcPr>
            <w:tcW w:w="110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w:t>
            </w:r>
          </w:p>
        </w:tc>
        <w:tc>
          <w:tcPr>
            <w:tcW w:w="85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w:t>
            </w:r>
          </w:p>
        </w:tc>
        <w:tc>
          <w:tcPr>
            <w:tcW w:w="8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w:t>
            </w:r>
          </w:p>
        </w:tc>
        <w:tc>
          <w:tcPr>
            <w:tcW w:w="25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一、一般公共预算财政拨款</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440.31</w:t>
            </w: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一、一般公共服务支出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33</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2.28</w:t>
            </w: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2.28</w:t>
            </w: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8"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二、政府性基金预算财政拨款</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二、外交支出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34</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三、国有资本经营财政拨款</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三、国防支出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35</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四、公共安全支出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36</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五、教育支出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37</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六、科学技术支出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38</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7</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七、文化旅游体育与传媒支出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8</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八、社会保障和就业支出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40</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93.06</w:t>
            </w: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93.06</w:t>
            </w: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9</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九、卫生健康支出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41</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11.86</w:t>
            </w: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11.86</w:t>
            </w: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10</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十、节能环保支出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42</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11</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十一、城乡社区支出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43</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12</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十二、农林水支出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44</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389.23</w:t>
            </w: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389.23</w:t>
            </w: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13</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十三、交通运输支出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45</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14</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十四、资源勘探工业信息等支出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46</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15</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十五、商业服务业等支出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47</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16</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十六、金融支出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48</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17</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十七、援助其他地区支出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18</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十八、自然资源海洋气象等支出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50</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19</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十九、住房保障支出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51</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20</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二十、粮油物资储备支出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52</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21</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二十一、国有资本经营预算支出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53</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8"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二十二、灾害防治及应急管理支出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54</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23</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二十三、其他支出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55</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0"/>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24</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二十四、债务还本支出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56</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0"/>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25</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二十五、债务付息支出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57</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8"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0"/>
                <w:highlight w:val="none"/>
                <w:u w:val="none"/>
                <w:lang w:eastAsia="zh-CN"/>
              </w:rPr>
            </w:pP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26</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二十六、抗疫特别国债安排的支出</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58</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本年收入合计</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27</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440.31</w:t>
            </w:r>
          </w:p>
        </w:tc>
        <w:tc>
          <w:tcPr>
            <w:tcW w:w="28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本年支出合计</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59</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年初财政拨款结转和结余</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28</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56.12</w:t>
            </w: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年末财政拨款结转和结余</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60</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一般公共预算财政拨款</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29</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56.12</w:t>
            </w: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61</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政府性基金预算财政拨款</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62</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8" w:hRule="atLeast"/>
        </w:trPr>
        <w:tc>
          <w:tcPr>
            <w:tcW w:w="233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国有资本经营预算财政拨款</w:t>
            </w:r>
          </w:p>
        </w:tc>
        <w:tc>
          <w:tcPr>
            <w:tcW w:w="5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63</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233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总计</w:t>
            </w:r>
          </w:p>
        </w:tc>
        <w:tc>
          <w:tcPr>
            <w:tcW w:w="520"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32</w:t>
            </w:r>
          </w:p>
        </w:tc>
        <w:tc>
          <w:tcPr>
            <w:tcW w:w="232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c>
          <w:tcPr>
            <w:tcW w:w="28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2"/>
                <w:highlight w:val="none"/>
                <w:u w:val="none"/>
                <w:lang w:eastAsia="zh-CN"/>
              </w:rPr>
            </w:pPr>
            <w:r>
              <w:rPr>
                <w:rFonts w:hint="default" w:ascii="宋体" w:hAnsi="宋体" w:eastAsia="宋体"/>
                <w:b/>
                <w:i w:val="0"/>
                <w:color w:val="auto"/>
                <w:sz w:val="22"/>
                <w:highlight w:val="none"/>
                <w:u w:val="none"/>
                <w:lang w:eastAsia="zh-CN"/>
              </w:rPr>
              <w:t>总计</w:t>
            </w:r>
          </w:p>
        </w:tc>
        <w:tc>
          <w:tcPr>
            <w:tcW w:w="3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64</w:t>
            </w:r>
          </w:p>
        </w:tc>
        <w:tc>
          <w:tcPr>
            <w:tcW w:w="11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c>
          <w:tcPr>
            <w:tcW w:w="85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496.43</w:t>
            </w:r>
          </w:p>
        </w:tc>
        <w:tc>
          <w:tcPr>
            <w:tcW w:w="85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254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7" w:hRule="atLeast"/>
        </w:trPr>
        <w:tc>
          <w:tcPr>
            <w:tcW w:w="13720" w:type="dxa"/>
            <w:gridSpan w:val="11"/>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注：本表反映</w:t>
            </w:r>
            <w:r>
              <w:rPr>
                <w:rFonts w:hint="eastAsia" w:ascii="宋体" w:hAnsi="宋体"/>
                <w:b w:val="0"/>
                <w:i w:val="0"/>
                <w:color w:val="auto"/>
                <w:sz w:val="22"/>
                <w:highlight w:val="none"/>
                <w:u w:val="none"/>
                <w:lang w:eastAsia="zh-CN"/>
              </w:rPr>
              <w:t>单位</w:t>
            </w:r>
            <w:r>
              <w:rPr>
                <w:rFonts w:hint="default" w:ascii="宋体" w:hAnsi="宋体" w:eastAsia="宋体"/>
                <w:b w:val="0"/>
                <w:i w:val="0"/>
                <w:color w:val="auto"/>
                <w:sz w:val="22"/>
                <w:highlight w:val="none"/>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2"/>
                <w:szCs w:val="32"/>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688"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w:t>
            </w:r>
            <w:r>
              <w:rPr>
                <w:rStyle w:val="14"/>
                <w:rFonts w:hint="default"/>
                <w:color w:val="auto"/>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tcMar>
              <w:top w:w="15" w:type="dxa"/>
              <w:left w:w="15" w:type="dxa"/>
              <w:right w:w="15" w:type="dxa"/>
            </w:tcMar>
            <w:vAlign w:val="bottom"/>
          </w:tcPr>
          <w:p>
            <w:pPr>
              <w:autoSpaceDN w:val="0"/>
              <w:jc w:val="left"/>
              <w:textAlignment w:val="bottom"/>
              <w:rPr>
                <w:rFonts w:hint="eastAsia" w:ascii="宋体" w:hAnsi="宋体" w:cs="宋体"/>
                <w:color w:val="auto"/>
                <w:sz w:val="20"/>
                <w:szCs w:val="20"/>
                <w:highlight w:val="none"/>
              </w:rPr>
            </w:pPr>
            <w:r>
              <w:rPr>
                <w:rFonts w:hint="eastAsia" w:ascii="宋体" w:hAnsi="宋体"/>
                <w:b w:val="0"/>
                <w:i w:val="0"/>
                <w:color w:val="auto"/>
                <w:sz w:val="20"/>
                <w:highlight w:val="none"/>
                <w:u w:val="none"/>
                <w:lang w:eastAsia="zh-CN"/>
              </w:rPr>
              <w:t>单位</w:t>
            </w:r>
            <w:r>
              <w:rPr>
                <w:rFonts w:hint="default" w:ascii="宋体" w:hAnsi="宋体" w:eastAsia="宋体"/>
                <w:b w:val="0"/>
                <w:i w:val="0"/>
                <w:color w:val="auto"/>
                <w:sz w:val="20"/>
                <w:highlight w:val="none"/>
                <w:u w:val="none"/>
                <w:lang w:eastAsia="zh-CN"/>
              </w:rPr>
              <w:t>：许昌市畜牧技术推广站</w:t>
            </w:r>
          </w:p>
        </w:tc>
        <w:tc>
          <w:tcPr>
            <w:tcW w:w="3449"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项 </w:t>
            </w:r>
            <w:r>
              <w:rPr>
                <w:rStyle w:val="15"/>
                <w:rFonts w:hint="default"/>
                <w:color w:val="auto"/>
                <w:sz w:val="20"/>
                <w:szCs w:val="20"/>
                <w:highlight w:val="none"/>
              </w:rPr>
              <w:t xml:space="preserve">   </w:t>
            </w:r>
            <w:r>
              <w:rPr>
                <w:rStyle w:val="16"/>
                <w:rFonts w:hint="default"/>
                <w:color w:val="auto"/>
                <w:sz w:val="20"/>
                <w:szCs w:val="20"/>
                <w:highlight w:val="none"/>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496.43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494.96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abs>
                <w:tab w:val="left" w:pos="323"/>
              </w:tabs>
              <w:jc w:val="left"/>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ab/>
            </w:r>
            <w:r>
              <w:rPr>
                <w:rFonts w:hint="eastAsia" w:ascii="宋体" w:hAnsi="宋体" w:cs="宋体"/>
                <w:color w:val="auto"/>
                <w:sz w:val="20"/>
                <w:szCs w:val="20"/>
                <w:highlight w:val="none"/>
                <w:lang w:eastAsia="zh-CN"/>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20129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2012906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2080502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事业单位离退休</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65.57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65.57</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tabs>
                <w:tab w:val="left" w:pos="387"/>
              </w:tabs>
              <w:jc w:val="left"/>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ab/>
            </w:r>
            <w:r>
              <w:rPr>
                <w:rFonts w:hint="eastAsia" w:ascii="宋体" w:hAnsi="宋体" w:cs="宋体"/>
                <w:color w:val="auto"/>
                <w:sz w:val="20"/>
                <w:szCs w:val="20"/>
                <w:highlight w:val="none"/>
                <w:lang w:eastAsia="zh-CN"/>
              </w:rPr>
              <w:t>2080505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27.49</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27.49</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210</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卫生健康支出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21011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2101102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11.86</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农林水支出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389.23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389.23</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21301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农业农村</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389.23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389.23</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2130104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事业运行</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387.76</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387.76</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2130106</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科技转化与推广服务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45"/>
        <w:gridCol w:w="2021"/>
        <w:gridCol w:w="1176"/>
        <w:gridCol w:w="730"/>
        <w:gridCol w:w="1"/>
        <w:gridCol w:w="2120"/>
        <w:gridCol w:w="2"/>
        <w:gridCol w:w="1431"/>
        <w:gridCol w:w="1"/>
        <w:gridCol w:w="730"/>
        <w:gridCol w:w="2"/>
        <w:gridCol w:w="2521"/>
        <w:gridCol w:w="2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8" w:hRule="atLeast"/>
        </w:trPr>
        <w:tc>
          <w:tcPr>
            <w:tcW w:w="13988" w:type="dxa"/>
            <w:gridSpan w:val="13"/>
            <w:vAlign w:val="bottom"/>
          </w:tcPr>
          <w:p>
            <w:pPr>
              <w:autoSpaceDN w:val="0"/>
              <w:jc w:val="center"/>
              <w:textAlignment w:val="bottom"/>
              <w:rPr>
                <w:rFonts w:hint="default" w:ascii="宋体" w:hAnsi="宋体" w:eastAsia="宋体"/>
                <w:b w:val="0"/>
                <w:i w:val="0"/>
                <w:color w:val="auto"/>
                <w:sz w:val="30"/>
                <w:highlight w:val="none"/>
                <w:u w:val="none"/>
                <w:lang w:eastAsia="zh-CN"/>
              </w:rPr>
            </w:pPr>
            <w:r>
              <w:rPr>
                <w:rFonts w:hint="default" w:ascii="宋体" w:hAnsi="宋体" w:eastAsia="宋体"/>
                <w:b w:val="0"/>
                <w:i w:val="0"/>
                <w:color w:val="auto"/>
                <w:sz w:val="32"/>
                <w:szCs w:val="32"/>
                <w:highlight w:val="none"/>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745" w:type="dxa"/>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2021" w:type="dxa"/>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1176" w:type="dxa"/>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730" w:type="dxa"/>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2121" w:type="dxa"/>
            <w:gridSpan w:val="2"/>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1433" w:type="dxa"/>
            <w:gridSpan w:val="2"/>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731" w:type="dxa"/>
            <w:gridSpan w:val="2"/>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5031" w:type="dxa"/>
            <w:gridSpan w:val="3"/>
            <w:vAlign w:val="bottom"/>
          </w:tcPr>
          <w:p>
            <w:pPr>
              <w:autoSpaceDN w:val="0"/>
              <w:jc w:val="right"/>
              <w:textAlignment w:val="bottom"/>
              <w:rPr>
                <w:rFonts w:hint="default" w:ascii="宋体" w:hAnsi="宋体" w:eastAsia="宋体"/>
                <w:b w:val="0"/>
                <w:i w:val="0"/>
                <w:color w:val="auto"/>
                <w:sz w:val="20"/>
                <w:szCs w:val="20"/>
                <w:highlight w:val="none"/>
                <w:u w:val="none"/>
                <w:lang w:eastAsia="zh-CN"/>
              </w:rPr>
            </w:pPr>
            <w:r>
              <w:rPr>
                <w:rFonts w:hint="default" w:ascii="宋体" w:hAnsi="宋体" w:eastAsia="宋体"/>
                <w:b w:val="0"/>
                <w:i w:val="0"/>
                <w:color w:val="auto"/>
                <w:sz w:val="20"/>
                <w:szCs w:val="20"/>
                <w:highlight w:val="none"/>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9" w:hRule="atLeast"/>
        </w:trPr>
        <w:tc>
          <w:tcPr>
            <w:tcW w:w="3942" w:type="dxa"/>
            <w:gridSpan w:val="3"/>
            <w:vAlign w:val="bottom"/>
          </w:tcPr>
          <w:p>
            <w:pPr>
              <w:autoSpaceDN w:val="0"/>
              <w:jc w:val="left"/>
              <w:textAlignment w:val="bottom"/>
              <w:rPr>
                <w:rFonts w:hint="default" w:ascii="宋体" w:hAnsi="宋体" w:eastAsia="宋体"/>
                <w:b w:val="0"/>
                <w:i w:val="0"/>
                <w:color w:val="auto"/>
                <w:sz w:val="20"/>
                <w:highlight w:val="none"/>
                <w:u w:val="none"/>
                <w:lang w:eastAsia="zh-CN"/>
              </w:rPr>
            </w:pPr>
            <w:r>
              <w:rPr>
                <w:rFonts w:hint="eastAsia" w:ascii="宋体" w:hAnsi="宋体"/>
                <w:b w:val="0"/>
                <w:i w:val="0"/>
                <w:color w:val="auto"/>
                <w:sz w:val="20"/>
                <w:highlight w:val="none"/>
                <w:u w:val="none"/>
                <w:lang w:eastAsia="zh-CN"/>
              </w:rPr>
              <w:t>单位</w:t>
            </w:r>
            <w:r>
              <w:rPr>
                <w:rFonts w:hint="default" w:ascii="宋体" w:hAnsi="宋体" w:eastAsia="宋体"/>
                <w:b w:val="0"/>
                <w:i w:val="0"/>
                <w:color w:val="auto"/>
                <w:sz w:val="20"/>
                <w:highlight w:val="none"/>
                <w:u w:val="none"/>
                <w:lang w:eastAsia="zh-CN"/>
              </w:rPr>
              <w:t>：许昌市畜牧技术推广站</w:t>
            </w:r>
          </w:p>
        </w:tc>
        <w:tc>
          <w:tcPr>
            <w:tcW w:w="730" w:type="dxa"/>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2121" w:type="dxa"/>
            <w:gridSpan w:val="2"/>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1433" w:type="dxa"/>
            <w:gridSpan w:val="2"/>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731" w:type="dxa"/>
            <w:gridSpan w:val="2"/>
            <w:vAlign w:val="bottom"/>
          </w:tcPr>
          <w:p>
            <w:pPr>
              <w:autoSpaceDN w:val="0"/>
              <w:jc w:val="left"/>
              <w:textAlignment w:val="bottom"/>
              <w:rPr>
                <w:rFonts w:hint="default" w:ascii="宋体" w:hAnsi="宋体" w:eastAsia="宋体"/>
                <w:b w:val="0"/>
                <w:i w:val="0"/>
                <w:color w:val="auto"/>
                <w:sz w:val="20"/>
                <w:highlight w:val="none"/>
                <w:u w:val="none"/>
                <w:lang w:eastAsia="zh-CN"/>
              </w:rPr>
            </w:pPr>
          </w:p>
        </w:tc>
        <w:tc>
          <w:tcPr>
            <w:tcW w:w="5031" w:type="dxa"/>
            <w:gridSpan w:val="3"/>
            <w:vAlign w:val="bottom"/>
          </w:tcPr>
          <w:p>
            <w:pPr>
              <w:autoSpaceDN w:val="0"/>
              <w:jc w:val="right"/>
              <w:textAlignment w:val="bottom"/>
              <w:rPr>
                <w:rFonts w:hint="default" w:ascii="宋体" w:hAnsi="宋体" w:eastAsia="宋体"/>
                <w:b w:val="0"/>
                <w:i w:val="0"/>
                <w:color w:val="auto"/>
                <w:sz w:val="20"/>
                <w:szCs w:val="20"/>
                <w:highlight w:val="none"/>
                <w:u w:val="none"/>
                <w:lang w:eastAsia="zh-CN"/>
              </w:rPr>
            </w:pPr>
            <w:r>
              <w:rPr>
                <w:rFonts w:hint="default" w:ascii="宋体" w:hAnsi="宋体" w:eastAsia="宋体"/>
                <w:b w:val="0"/>
                <w:i w:val="0"/>
                <w:color w:val="auto"/>
                <w:sz w:val="20"/>
                <w:szCs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394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人员经费</w:t>
            </w:r>
          </w:p>
        </w:tc>
        <w:tc>
          <w:tcPr>
            <w:tcW w:w="10046" w:type="dxa"/>
            <w:gridSpan w:val="10"/>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2" w:hRule="atLeast"/>
        </w:trPr>
        <w:tc>
          <w:tcPr>
            <w:tcW w:w="74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科目编码</w:t>
            </w:r>
          </w:p>
        </w:tc>
        <w:tc>
          <w:tcPr>
            <w:tcW w:w="202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科目名称</w:t>
            </w:r>
          </w:p>
        </w:tc>
        <w:tc>
          <w:tcPr>
            <w:tcW w:w="117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决算数</w:t>
            </w:r>
          </w:p>
        </w:tc>
        <w:tc>
          <w:tcPr>
            <w:tcW w:w="731"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科目编码</w:t>
            </w:r>
          </w:p>
        </w:tc>
        <w:tc>
          <w:tcPr>
            <w:tcW w:w="212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科目名称</w:t>
            </w:r>
          </w:p>
        </w:tc>
        <w:tc>
          <w:tcPr>
            <w:tcW w:w="143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决算数</w:t>
            </w:r>
          </w:p>
        </w:tc>
        <w:tc>
          <w:tcPr>
            <w:tcW w:w="73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科目编码</w:t>
            </w:r>
          </w:p>
        </w:tc>
        <w:tc>
          <w:tcPr>
            <w:tcW w:w="252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科目名称</w:t>
            </w:r>
          </w:p>
        </w:tc>
        <w:tc>
          <w:tcPr>
            <w:tcW w:w="25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1" w:hRule="atLeast"/>
        </w:trPr>
        <w:tc>
          <w:tcPr>
            <w:tcW w:w="745"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2021"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1176"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731" w:type="dxa"/>
            <w:gridSpan w:val="2"/>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2122" w:type="dxa"/>
            <w:gridSpan w:val="2"/>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1432" w:type="dxa"/>
            <w:gridSpan w:val="2"/>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732" w:type="dxa"/>
            <w:gridSpan w:val="2"/>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2521"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c>
          <w:tcPr>
            <w:tcW w:w="2508" w:type="dxa"/>
            <w:vMerge w:val="continue"/>
            <w:tcBorders>
              <w:bottom w:val="single" w:color="000000" w:sz="4" w:space="0"/>
              <w:right w:val="single" w:color="000000" w:sz="4" w:space="0"/>
            </w:tcBorders>
            <w:vAlign w:val="center"/>
          </w:tcPr>
          <w:p>
            <w:pPr>
              <w:rPr>
                <w:rFonts w:hint="default" w:ascii="宋体" w:hAnsi="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工资福利支出</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405.43</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商品和服务支出</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23.96</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307</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债务利息及费用支出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30101</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基本工资</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66.78</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30201</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办公费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0.50</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30701</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国内债务付息</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30102</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津贴补贴</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144.46</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30202</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印刷费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1.60</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30702</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国外债务付息</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30103</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奖金</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20.96</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30203</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咨询费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0.02</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资本性支出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30106</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伙食补助费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30204</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手续费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31001</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房屋建筑物购建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30107</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绩效工资</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75.27</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30205</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水费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31002</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办公设备购置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30108</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机关事业单位基本养老保险缴费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27.49</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30206</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电费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31003</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专用设备购置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30109</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职业年金缴费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6.80</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30207</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邮电费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0.23</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31005</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基础设施建设</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30110</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职工基本医疗保险缴费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11.86</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30208</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取暖费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31006</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大型修缮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30111</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公务员医疗补助缴费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30209</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物业管理费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31007</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信息网络及软件购置更新</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30112</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其他社会保障缴费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1.58</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30211</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差旅费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7.79</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31008</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物资储备</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30113</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住房公积金</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47.97</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30212</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因公出国（境）费用</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31009</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土地补偿</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30114</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医疗费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30213</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维修（护）费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31010</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安置补助</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30199</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其他工资福利支出</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2.25</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30214</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租赁费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31011</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地上附着物和青苗补偿</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对个人和家庭的补助</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65.57</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30215</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会议费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31012</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拆迁补偿</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30301</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离休费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7.78</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30216</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培训费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31013</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公务用车购置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30302</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退休费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57.79</w:t>
            </w: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30217</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公务接待费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31019</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其他交通工具购置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30303</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退职（役）费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30218</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专用材料费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31021</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文物和陈列品购置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30304</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抚恤金</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30224</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被装购置费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31022</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无形资产购置</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30305</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生活补助</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30225</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专用燃料费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31099</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其他资本性支出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30306</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救济费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30226</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劳务费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0.90</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399</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其他支出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30307</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医疗费补助</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30227</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委托业务费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2.28</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39906</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赠与</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30308</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助学金</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30228</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工会经费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2.28</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39907</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国家赔偿费用支出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30309</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奖励金</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30229</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福利费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3.22</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39908</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对民间非营利组织和群众性自治组织补贴</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30310</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个人农业生产补贴</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30231</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公务用车运行维护费</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1.22</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39999</w:t>
            </w: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其他支出</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30311</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代缴社会保险费</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30239</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其他交通费用</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30399</w:t>
            </w: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其他对个人和家庭的补助</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30240</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税金及附加费用</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8" w:hRule="atLeast"/>
        </w:trPr>
        <w:tc>
          <w:tcPr>
            <w:tcW w:w="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0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c>
          <w:tcPr>
            <w:tcW w:w="731"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30299</w:t>
            </w:r>
          </w:p>
        </w:tc>
        <w:tc>
          <w:tcPr>
            <w:tcW w:w="212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 xml:space="preserve">  其他商品和服务支出</w:t>
            </w:r>
          </w:p>
        </w:tc>
        <w:tc>
          <w:tcPr>
            <w:tcW w:w="143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3.92</w:t>
            </w:r>
          </w:p>
        </w:tc>
        <w:tc>
          <w:tcPr>
            <w:tcW w:w="7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52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2"/>
                <w:highlight w:val="none"/>
                <w:u w:val="none"/>
                <w:lang w:eastAsia="zh-CN"/>
              </w:rPr>
            </w:pP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2766"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人员经费合计</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471.00</w:t>
            </w:r>
          </w:p>
        </w:tc>
        <w:tc>
          <w:tcPr>
            <w:tcW w:w="7538" w:type="dxa"/>
            <w:gridSpan w:val="9"/>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公用经费合计</w:t>
            </w:r>
          </w:p>
        </w:tc>
        <w:tc>
          <w:tcPr>
            <w:tcW w:w="2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23.96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9" w:hRule="atLeast"/>
        </w:trPr>
        <w:tc>
          <w:tcPr>
            <w:tcW w:w="13988" w:type="dxa"/>
            <w:gridSpan w:val="13"/>
            <w:vAlign w:val="center"/>
          </w:tcPr>
          <w:p>
            <w:pPr>
              <w:autoSpaceDN w:val="0"/>
              <w:jc w:val="left"/>
              <w:textAlignment w:val="center"/>
              <w:rPr>
                <w:rFonts w:hint="default" w:ascii="宋体" w:hAnsi="宋体" w:eastAsia="宋体"/>
                <w:b w:val="0"/>
                <w:i w:val="0"/>
                <w:color w:val="auto"/>
                <w:sz w:val="22"/>
                <w:highlight w:val="none"/>
                <w:u w:val="none"/>
                <w:lang w:eastAsia="zh-CN"/>
              </w:rPr>
            </w:pPr>
            <w:r>
              <w:rPr>
                <w:rFonts w:hint="default" w:ascii="宋体" w:hAnsi="宋体" w:eastAsia="宋体"/>
                <w:b w:val="0"/>
                <w:i w:val="0"/>
                <w:color w:val="auto"/>
                <w:sz w:val="22"/>
                <w:highlight w:val="none"/>
                <w:u w:val="none"/>
                <w:lang w:eastAsia="zh-CN"/>
              </w:rPr>
              <w:t>注：本表反映</w:t>
            </w:r>
            <w:r>
              <w:rPr>
                <w:rFonts w:hint="eastAsia" w:ascii="宋体" w:hAnsi="宋体"/>
                <w:b w:val="0"/>
                <w:i w:val="0"/>
                <w:color w:val="auto"/>
                <w:sz w:val="22"/>
                <w:highlight w:val="none"/>
                <w:u w:val="none"/>
                <w:lang w:eastAsia="zh-CN"/>
              </w:rPr>
              <w:t>单位</w:t>
            </w:r>
            <w:r>
              <w:rPr>
                <w:rFonts w:hint="default" w:ascii="宋体" w:hAnsi="宋体" w:eastAsia="宋体"/>
                <w:b w:val="0"/>
                <w:i w:val="0"/>
                <w:color w:val="auto"/>
                <w:sz w:val="22"/>
                <w:highlight w:val="none"/>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2"/>
                <w:szCs w:val="32"/>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eastAsia="zh-CN"/>
              </w:rPr>
              <w:t>许昌市畜牧技术推广站</w:t>
            </w:r>
          </w:p>
        </w:tc>
        <w:tc>
          <w:tcPr>
            <w:tcW w:w="1150"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2302"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2"/>
                <w:szCs w:val="32"/>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eastAsia="zh-CN"/>
              </w:rPr>
              <w:t>许昌市畜牧技术推广站</w:t>
            </w:r>
          </w:p>
        </w:tc>
        <w:tc>
          <w:tcPr>
            <w:tcW w:w="1926" w:type="dxa"/>
            <w:gridSpan w:val="2"/>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年初</w:t>
            </w:r>
            <w:r>
              <w:rPr>
                <w:rFonts w:hint="eastAsia" w:ascii="宋体" w:hAnsi="宋体" w:cs="宋体"/>
                <w:color w:val="auto"/>
                <w:kern w:val="0"/>
                <w:sz w:val="20"/>
                <w:szCs w:val="20"/>
                <w:highlight w:val="none"/>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496.43</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5.60</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年初结余资金减少</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厉行节约压缩开支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440.31</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440.31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三、支出决算情况说明</w:t>
      </w:r>
      <w:r>
        <w:rPr>
          <w:rFonts w:hint="eastAsia" w:ascii="黑体" w:hAnsi="黑体" w:eastAsia="黑体" w:cs="黑体"/>
          <w:color w:val="auto"/>
          <w:sz w:val="32"/>
          <w:szCs w:val="32"/>
          <w:highlight w:val="none"/>
          <w:lang w:val="en-US" w:eastAsia="zh-CN"/>
        </w:rPr>
        <w:t xml:space="preserve">     </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496.43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494.96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99.70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496.43</w:t>
      </w:r>
      <w:r>
        <w:rPr>
          <w:rFonts w:hint="eastAsia" w:ascii="仿宋_GB2312" w:hAnsi="仿宋_GB2312" w:eastAsia="仿宋_GB2312" w:cs="仿宋_GB2312"/>
          <w:color w:val="auto"/>
          <w:sz w:val="32"/>
          <w:szCs w:val="32"/>
          <w:highlight w:val="none"/>
        </w:rPr>
        <w:t>万元。与上年度相比，财政拨款收、支总计减少</w:t>
      </w:r>
      <w:r>
        <w:rPr>
          <w:rFonts w:hint="eastAsia" w:ascii="仿宋_GB2312" w:hAnsi="仿宋_GB2312" w:eastAsia="仿宋_GB2312" w:cs="仿宋_GB2312"/>
          <w:color w:val="auto"/>
          <w:sz w:val="32"/>
          <w:szCs w:val="32"/>
          <w:highlight w:val="none"/>
          <w:lang w:val="en-US" w:eastAsia="zh-CN"/>
        </w:rPr>
        <w:t>5.60</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减少厉行节约压缩开支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496.43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47.37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10.55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人员增资调标</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496.43</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2.28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93.06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18.75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11.86万元，占2.39%；农林水（类）支出389.23万元，占78.40%</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462.74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496.43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107.28</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2.28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58.71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65.57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111.68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离休干部医药费增加及每年离退休增资</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26.93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27.49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102.08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每年常规调整养老金基数增加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11.86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93.90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使用上年结余资金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387.76万元</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362.19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387.76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107.06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人员增资标准调整</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科技转化与推广服务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1.47万元</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1.47</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该资金系年中追加资金，无年初预算。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494.96</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471.00</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其他工资福利支出、</w:t>
      </w:r>
      <w:r>
        <w:rPr>
          <w:rFonts w:hint="eastAsia" w:ascii="仿宋_GB2312" w:hAnsi="仿宋_GB2312" w:eastAsia="仿宋_GB2312" w:cs="仿宋_GB2312"/>
          <w:color w:val="auto"/>
          <w:sz w:val="32"/>
          <w:szCs w:val="32"/>
          <w:highlight w:val="none"/>
          <w:lang w:eastAsia="zh-CN"/>
        </w:rPr>
        <w:t>对个人和家庭的补助、</w:t>
      </w:r>
      <w:r>
        <w:rPr>
          <w:rFonts w:hint="eastAsia" w:ascii="仿宋_GB2312" w:hAnsi="仿宋_GB2312" w:eastAsia="仿宋_GB2312" w:cs="仿宋_GB2312"/>
          <w:color w:val="auto"/>
          <w:sz w:val="32"/>
          <w:szCs w:val="32"/>
          <w:highlight w:val="none"/>
        </w:rPr>
        <w:t>离休费、退休费；公用经费</w:t>
      </w:r>
      <w:r>
        <w:rPr>
          <w:rFonts w:hint="eastAsia" w:ascii="仿宋_GB2312" w:hAnsi="仿宋_GB2312" w:eastAsia="仿宋_GB2312" w:cs="仿宋_GB2312"/>
          <w:color w:val="auto"/>
          <w:sz w:val="32"/>
          <w:szCs w:val="32"/>
          <w:highlight w:val="none"/>
          <w:lang w:val="en-US" w:eastAsia="zh-CN"/>
        </w:rPr>
        <w:t>23.96</w:t>
      </w:r>
      <w:r>
        <w:rPr>
          <w:rFonts w:hint="eastAsia" w:ascii="仿宋_GB2312" w:hAnsi="仿宋_GB2312" w:eastAsia="仿宋_GB2312" w:cs="仿宋_GB2312"/>
          <w:color w:val="auto"/>
          <w:sz w:val="32"/>
          <w:szCs w:val="32"/>
          <w:highlight w:val="none"/>
        </w:rPr>
        <w:t>万元，主要包括：办公费、印刷费、咨询费、邮电费、差旅费、</w:t>
      </w:r>
      <w:r>
        <w:rPr>
          <w:rFonts w:hint="eastAsia" w:ascii="仿宋_GB2312" w:hAnsi="仿宋_GB2312" w:eastAsia="仿宋_GB2312" w:cs="仿宋_GB2312"/>
          <w:color w:val="auto"/>
          <w:sz w:val="32"/>
          <w:szCs w:val="32"/>
          <w:highlight w:val="none"/>
          <w:lang w:eastAsia="zh-CN"/>
        </w:rPr>
        <w:t>劳务费、委托业务费、工会经费、</w:t>
      </w:r>
      <w:r>
        <w:rPr>
          <w:rFonts w:hint="eastAsia" w:ascii="仿宋_GB2312" w:hAnsi="仿宋_GB2312" w:eastAsia="仿宋_GB2312" w:cs="仿宋_GB2312"/>
          <w:color w:val="auto"/>
          <w:sz w:val="32"/>
          <w:szCs w:val="32"/>
          <w:highlight w:val="none"/>
        </w:rPr>
        <w:t>福利费、公务用车运行维护费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bCs/>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万元。主要用</w:t>
      </w:r>
      <w:r>
        <w:rPr>
          <w:rFonts w:hint="eastAsia" w:ascii="仿宋_GB2312" w:hAnsi="仿宋_GB2312" w:eastAsia="仿宋_GB2312" w:cs="仿宋_GB2312"/>
          <w:color w:val="auto"/>
          <w:sz w:val="32"/>
          <w:szCs w:val="32"/>
          <w:highlight w:val="none"/>
          <w:lang w:eastAsia="zh-CN"/>
        </w:rPr>
        <w:t>于单位下乡技术推广</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万元。2021年共接待国内</w:t>
      </w:r>
      <w:r>
        <w:rPr>
          <w:rFonts w:hint="eastAsia" w:ascii="仿宋_GB2312" w:hAnsi="仿宋_GB2312" w:eastAsia="仿宋_GB2312" w:cs="仿宋_GB2312"/>
          <w:color w:val="auto"/>
          <w:sz w:val="32"/>
          <w:szCs w:val="32"/>
          <w:highlight w:val="none"/>
          <w:lang w:val="en-US" w:eastAsia="zh-CN"/>
        </w:rPr>
        <w:t>来访团组0个、来宾0人次（不包括陪同人员）。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万元。2021年共接待国内</w:t>
      </w:r>
      <w:r>
        <w:rPr>
          <w:rFonts w:hint="eastAsia" w:ascii="仿宋_GB2312" w:hAnsi="仿宋_GB2312" w:eastAsia="仿宋_GB2312" w:cs="仿宋_GB2312"/>
          <w:color w:val="auto"/>
          <w:sz w:val="32"/>
          <w:szCs w:val="32"/>
          <w:highlight w:val="none"/>
          <w:lang w:val="en-US" w:eastAsia="zh-CN"/>
        </w:rPr>
        <w:t>来访团组0个、来宾0人次（不包括陪同人员）。</w:t>
      </w:r>
    </w:p>
    <w:p>
      <w:pPr>
        <w:widowControl/>
        <w:numPr>
          <w:ilvl w:val="0"/>
          <w:numId w:val="2"/>
        </w:numPr>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2021年度政府性基金预算财政拨款支出预算为0.00万元，支出决算为0.00万元。不存在项目年末结转和结余资金数额较大。</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。授予中小企业合同金额</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rPr>
        <w:t>授予中小</w:t>
      </w:r>
      <w:r>
        <w:rPr>
          <w:rFonts w:hint="eastAsia" w:ascii="仿宋_GB2312" w:hAnsi="仿宋_GB2312" w:eastAsia="仿宋_GB2312" w:cs="仿宋_GB2312"/>
          <w:color w:val="auto"/>
          <w:sz w:val="32"/>
          <w:szCs w:val="32"/>
          <w:highlight w:val="none"/>
          <w:lang w:eastAsia="zh-CN"/>
        </w:rPr>
        <w:t>微</w:t>
      </w:r>
      <w:r>
        <w:rPr>
          <w:rFonts w:hint="eastAsia" w:ascii="仿宋_GB2312" w:hAnsi="仿宋_GB2312" w:eastAsia="仿宋_GB2312" w:cs="仿宋_GB2312"/>
          <w:color w:val="auto"/>
          <w:sz w:val="32"/>
          <w:szCs w:val="32"/>
          <w:highlight w:val="none"/>
        </w:rPr>
        <w:t>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auto"/>
          <w:sz w:val="32"/>
          <w:szCs w:val="32"/>
          <w:highlight w:val="none"/>
          <w:shd w:val="clear" w:color="auto" w:fill="FFFFFF"/>
          <w:lang w:val="en-US" w:eastAsia="zh-CN"/>
        </w:rPr>
        <w:t>。开展情况如下：</w:t>
      </w:r>
    </w:p>
    <w:p>
      <w:pPr>
        <w:widowControl/>
        <w:numPr>
          <w:ilvl w:val="0"/>
          <w:numId w:val="0"/>
        </w:numPr>
        <w:wordWrap/>
        <w:adjustRightInd/>
        <w:snapToGrid/>
        <w:spacing w:line="360" w:lineRule="auto"/>
        <w:ind w:left="420" w:leftChars="200" w:right="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1.制度建设。完善责任分工。</w:t>
      </w:r>
    </w:p>
    <w:p>
      <w:pPr>
        <w:widowControl/>
        <w:numPr>
          <w:ilvl w:val="0"/>
          <w:numId w:val="0"/>
        </w:numPr>
        <w:wordWrap/>
        <w:adjustRightInd/>
        <w:snapToGrid/>
        <w:spacing w:line="360" w:lineRule="auto"/>
        <w:ind w:left="0" w:leftChars="0" w:right="0" w:firstLine="419" w:firstLineChars="131"/>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2.组织培训。积极参加财政管理科组织的有关线上培训，认真阅读有关文件。</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3.执行情况。根据下一年度资金需求，科学合理的编制下年度资金用途，报送预计完成目标目标以及执行进度、成果。</w:t>
      </w:r>
    </w:p>
    <w:p>
      <w:pPr>
        <w:widowControl/>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（二）单位整体和项目绩效自评结果。</w:t>
      </w:r>
    </w:p>
    <w:p>
      <w:pPr>
        <w:widowControl/>
        <w:wordWrap/>
        <w:adjustRightInd/>
        <w:snapToGrid/>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按照《许昌市财政局关于开展2021年度市级预算绩效自评工作的通知》</w:t>
      </w:r>
      <w:r>
        <w:rPr>
          <w:rFonts w:hint="eastAsia" w:ascii="仿宋_GB2312" w:hAnsi="仿宋_GB2312" w:eastAsia="仿宋_GB2312" w:cs="仿宋_GB2312"/>
          <w:color w:val="auto"/>
          <w:sz w:val="32"/>
          <w:szCs w:val="32"/>
          <w:highlight w:val="none"/>
        </w:rPr>
        <w:t>（许财效〔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是在整体绩效自评实施过程中，未发现任何违规行为的发生，经综合评价，绩效自评80分。二是项目绩效自评情况。我单位共有0个项目批复了绩效目标，项目金额0.00万元。</w:t>
      </w:r>
    </w:p>
    <w:p>
      <w:pPr>
        <w:widowControl/>
        <w:wordWrap/>
        <w:adjustRightInd/>
        <w:snapToGrid/>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360" w:lineRule="auto"/>
        <w:ind w:right="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rPr>
          <w:rFonts w:hint="eastAsia"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ind w:firstLine="2400" w:firstLineChars="5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rPr>
          <w:rFonts w:hint="eastAsia"/>
          <w:color w:val="auto"/>
          <w:kern w:val="2"/>
          <w:sz w:val="21"/>
          <w:szCs w:val="22"/>
          <w:highlight w:val="none"/>
          <w:lang w:val="en-US" w:eastAsia="zh-CN" w:bidi="ar-SA"/>
        </w:rPr>
      </w:pPr>
    </w:p>
    <w:p>
      <w:pPr>
        <w:tabs>
          <w:tab w:val="center" w:pos="4394"/>
        </w:tabs>
        <w:jc w:val="left"/>
        <w:rPr>
          <w:rFonts w:hint="eastAsia"/>
          <w:color w:val="auto"/>
          <w:highlight w:val="none"/>
          <w:lang w:val="en-US"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单位从同级政府财政单位取得的财政预算资金。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三、上级补助收入：事业单位从主管单位和上级单位取得的非财政补助收入。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8"/>
      <w:numFmt w:val="chineseCounting"/>
      <w:suff w:val="nothing"/>
      <w:lvlText w:val="%1、"/>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00000"/>
    <w:rsid w:val="03982F01"/>
    <w:rsid w:val="0E096C10"/>
    <w:rsid w:val="0F621C35"/>
    <w:rsid w:val="1EDF1817"/>
    <w:rsid w:val="241D6B0E"/>
    <w:rsid w:val="246D1444"/>
    <w:rsid w:val="277963CF"/>
    <w:rsid w:val="30145F41"/>
    <w:rsid w:val="30F77A80"/>
    <w:rsid w:val="382D2A2D"/>
    <w:rsid w:val="40FB2EE6"/>
    <w:rsid w:val="44FA7C3F"/>
    <w:rsid w:val="45401825"/>
    <w:rsid w:val="456A12FE"/>
    <w:rsid w:val="48D46301"/>
    <w:rsid w:val="534872B8"/>
    <w:rsid w:val="55D336EB"/>
    <w:rsid w:val="562B1693"/>
    <w:rsid w:val="566413BC"/>
    <w:rsid w:val="60BB2E18"/>
    <w:rsid w:val="639E4800"/>
    <w:rsid w:val="68623BE2"/>
    <w:rsid w:val="72FB4336"/>
    <w:rsid w:val="73A10265"/>
    <w:rsid w:val="796C5B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kern w:val="2"/>
      <w:sz w:val="18"/>
      <w:szCs w:val="18"/>
    </w:rPr>
  </w:style>
  <w:style w:type="paragraph" w:styleId="3">
    <w:name w:val="footer"/>
    <w:basedOn w:val="1"/>
    <w:link w:val="11"/>
    <w:qFormat/>
    <w:uiPriority w:val="0"/>
    <w:pPr>
      <w:tabs>
        <w:tab w:val="center" w:pos="4153"/>
        <w:tab w:val="right" w:pos="8306"/>
      </w:tabs>
      <w:snapToGrid w:val="0"/>
      <w:jc w:val="left"/>
    </w:pPr>
    <w:rPr>
      <w:kern w:val="2"/>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font41"/>
    <w:qFormat/>
    <w:uiPriority w:val="0"/>
    <w:rPr>
      <w:rFonts w:hint="eastAsia" w:ascii="宋体" w:hAnsi="宋体" w:eastAsia="宋体" w:cs="宋体"/>
      <w:color w:val="000000"/>
      <w:sz w:val="24"/>
      <w:szCs w:val="24"/>
      <w:u w:val="none"/>
    </w:rPr>
  </w:style>
  <w:style w:type="character" w:customStyle="1" w:styleId="10">
    <w:name w:val="font21"/>
    <w:qFormat/>
    <w:uiPriority w:val="0"/>
    <w:rPr>
      <w:rFonts w:hint="eastAsia" w:ascii="宋体" w:hAnsi="宋体" w:eastAsia="宋体" w:cs="宋体"/>
      <w:color w:val="000000"/>
      <w:sz w:val="22"/>
      <w:szCs w:val="22"/>
      <w:u w:val="none"/>
    </w:rPr>
  </w:style>
  <w:style w:type="character" w:customStyle="1" w:styleId="11">
    <w:name w:val="页脚 Char Char"/>
    <w:link w:val="3"/>
    <w:qFormat/>
    <w:uiPriority w:val="0"/>
    <w:rPr>
      <w:kern w:val="2"/>
      <w:sz w:val="18"/>
      <w:szCs w:val="18"/>
    </w:rPr>
  </w:style>
  <w:style w:type="character" w:customStyle="1" w:styleId="12">
    <w:name w:val="批注框文本 Char Char"/>
    <w:link w:val="2"/>
    <w:qFormat/>
    <w:uiPriority w:val="0"/>
    <w:rPr>
      <w:kern w:val="2"/>
      <w:sz w:val="18"/>
      <w:szCs w:val="18"/>
    </w:rPr>
  </w:style>
  <w:style w:type="character" w:customStyle="1" w:styleId="13">
    <w:name w:val="页眉 Char Char"/>
    <w:link w:val="4"/>
    <w:qFormat/>
    <w:uiPriority w:val="0"/>
    <w:rPr>
      <w:kern w:val="2"/>
      <w:sz w:val="18"/>
      <w:szCs w:val="18"/>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7678</Words>
  <Characters>9363</Characters>
  <Lines>60</Lines>
  <Paragraphs>16</Paragraphs>
  <TotalTime>34</TotalTime>
  <ScaleCrop>false</ScaleCrop>
  <LinksUpToDate>false</LinksUpToDate>
  <CharactersWithSpaces>9601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2023-05-09T07:57:00Z</cp:lastPrinted>
  <dcterms:modified xsi:type="dcterms:W3CDTF">2023-09-17T11:19:10Z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C4275DABAD3540479CBBD1C0716EC6EA_13</vt:lpwstr>
  </property>
</Properties>
</file>