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2021年度</w:t>
      </w:r>
    </w:p>
    <w:p>
      <w:pPr>
        <w:jc w:val="center"/>
        <w:rPr>
          <w:rFonts w:hint="eastAsia" w:ascii="黑体" w:hAnsi="黑体" w:eastAsia="黑体" w:cs="黑体"/>
          <w:sz w:val="52"/>
          <w:szCs w:val="52"/>
        </w:rPr>
      </w:pPr>
      <w:r>
        <w:rPr>
          <w:rFonts w:hint="eastAsia" w:ascii="黑体" w:hAnsi="黑体" w:eastAsia="黑体" w:cs="黑体"/>
          <w:sz w:val="52"/>
          <w:szCs w:val="52"/>
        </w:rPr>
        <w:t>许昌市生态环境综合行政执法支队</w:t>
      </w:r>
    </w:p>
    <w:p>
      <w:pPr>
        <w:jc w:val="center"/>
        <w:rPr>
          <w:rFonts w:hint="eastAsia" w:ascii="黑体" w:hAnsi="黑体" w:eastAsia="黑体" w:cs="黑体"/>
          <w:sz w:val="52"/>
          <w:szCs w:val="52"/>
        </w:rPr>
      </w:pPr>
      <w:r>
        <w:rPr>
          <w:rFonts w:hint="eastAsia" w:ascii="黑体" w:hAnsi="黑体" w:eastAsia="黑体" w:cs="黑体"/>
          <w:sz w:val="52"/>
          <w:szCs w:val="52"/>
          <w:lang w:val="en-US" w:eastAsia="zh-CN"/>
        </w:rPr>
        <w:t>单位</w:t>
      </w:r>
      <w:r>
        <w:rPr>
          <w:rFonts w:hint="eastAsia" w:ascii="黑体" w:hAnsi="黑体" w:eastAsia="黑体" w:cs="黑体"/>
          <w:sz w:val="52"/>
          <w:szCs w:val="52"/>
        </w:rPr>
        <w:t>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hint="eastAsia" w:ascii="黑体" w:hAnsi="黑体" w:eastAsia="黑体" w:cs="黑体"/>
          <w:sz w:val="36"/>
          <w:szCs w:val="36"/>
        </w:rPr>
      </w:pPr>
      <w:r>
        <w:rPr>
          <w:rFonts w:hint="eastAsia" w:ascii="黑体" w:hAnsi="黑体" w:eastAsia="黑体" w:cs="黑体"/>
          <w:sz w:val="36"/>
          <w:szCs w:val="36"/>
        </w:rPr>
        <w:t>目　　录</w:t>
      </w:r>
    </w:p>
    <w:p>
      <w:pPr>
        <w:pStyle w:val="2"/>
      </w:pPr>
    </w:p>
    <w:p>
      <w:pPr>
        <w:jc w:val="left"/>
        <w:rPr>
          <w:rFonts w:ascii="黑体" w:hAnsi="黑体" w:eastAsia="黑体" w:cs="黑体"/>
          <w:sz w:val="32"/>
          <w:szCs w:val="32"/>
        </w:rPr>
      </w:pPr>
      <w:r>
        <w:rPr>
          <w:rFonts w:hint="eastAsia" w:ascii="黑体" w:hAnsi="黑体" w:eastAsia="黑体" w:cs="黑体"/>
          <w:sz w:val="32"/>
          <w:szCs w:val="32"/>
        </w:rPr>
        <w:t>第一部分　许昌市生态环境综合行政执法支队概况</w:t>
      </w:r>
    </w:p>
    <w:p>
      <w:pPr>
        <w:numPr>
          <w:ilvl w:val="0"/>
          <w:numId w:val="2"/>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2"/>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eastAsia="zh-CN"/>
        </w:rPr>
        <w:t>单位</w:t>
      </w:r>
      <w:r>
        <w:rPr>
          <w:rFonts w:hint="eastAsia" w:ascii="黑体" w:hAnsi="黑体" w:eastAsia="黑体" w:cs="黑体"/>
          <w:sz w:val="32"/>
          <w:szCs w:val="32"/>
        </w:rPr>
        <w:t>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eastAsia="zh-CN"/>
        </w:rPr>
        <w:t>单位</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宋体" w:eastAsia="黑体" w:cs="宋体"/>
          <w:kern w:val="0"/>
          <w:sz w:val="48"/>
          <w:szCs w:val="48"/>
        </w:rPr>
      </w:pPr>
      <w:r>
        <w:rPr>
          <w:rFonts w:hint="eastAsia" w:ascii="黑体" w:hAnsi="黑体" w:eastAsia="黑体" w:cs="黑体"/>
          <w:sz w:val="48"/>
          <w:szCs w:val="48"/>
        </w:rPr>
        <w:t>第一部分  许昌市生态环境综合行政执法支队概况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_GB2312" w:hAnsi="仿宋_GB2312" w:eastAsia="仿宋_GB2312" w:cs="仿宋_GB2312"/>
          <w:sz w:val="32"/>
          <w:szCs w:val="32"/>
        </w:rPr>
        <w:t>贯彻国家和地方生态环境保护方面的法律、法规和方针、政策；</w:t>
      </w:r>
    </w:p>
    <w:p>
      <w:pPr>
        <w:adjustRightInd w:val="0"/>
        <w:snapToGrid w:val="0"/>
        <w:spacing w:line="620" w:lineRule="exact"/>
        <w:rPr>
          <w:rFonts w:hint="eastAsia" w:ascii="仿宋" w:hAnsi="仿宋" w:eastAsia="仿宋" w:cs="仿宋"/>
          <w:sz w:val="32"/>
          <w:szCs w:val="32"/>
        </w:rPr>
      </w:pPr>
      <w:r>
        <w:rPr>
          <w:rFonts w:hint="eastAsia" w:ascii="仿宋" w:hAnsi="仿宋" w:eastAsia="仿宋" w:cs="仿宋"/>
          <w:sz w:val="32"/>
          <w:szCs w:val="32"/>
        </w:rPr>
        <w:t xml:space="preserve">    2.</w:t>
      </w:r>
      <w:r>
        <w:rPr>
          <w:rFonts w:hint="eastAsia" w:ascii="仿宋_GB2312" w:hAnsi="仿宋_GB2312" w:eastAsia="仿宋_GB2312" w:cs="仿宋_GB2312"/>
          <w:sz w:val="32"/>
          <w:szCs w:val="32"/>
        </w:rPr>
        <w:t>以部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名义依法统一行使污染防治、生态保护、核与辐射安全的行政处罚权以及与行政处罚相关的行政检查、行政强制权等执法职能；</w:t>
      </w:r>
    </w:p>
    <w:p>
      <w:pPr>
        <w:adjustRightInd w:val="0"/>
        <w:snapToGrid w:val="0"/>
        <w:spacing w:line="620" w:lineRule="atLeast"/>
        <w:ind w:firstLine="640"/>
        <w:rPr>
          <w:rFonts w:hint="eastAsia" w:ascii="仿宋_GB2312" w:hAnsi="仿宋_GB2312" w:eastAsia="仿宋_GB2312" w:cs="仿宋_GB2312"/>
          <w:sz w:val="32"/>
          <w:szCs w:val="32"/>
        </w:rPr>
      </w:pPr>
      <w:r>
        <w:rPr>
          <w:rFonts w:hint="eastAsia" w:ascii="仿宋" w:hAnsi="仿宋" w:eastAsia="仿宋" w:cs="仿宋"/>
          <w:sz w:val="32"/>
          <w:szCs w:val="32"/>
        </w:rPr>
        <w:t>3.</w:t>
      </w:r>
      <w:r>
        <w:rPr>
          <w:rFonts w:hint="eastAsia" w:ascii="仿宋_GB2312" w:hAnsi="仿宋_GB2312" w:eastAsia="仿宋_GB2312" w:cs="仿宋_GB2312"/>
          <w:sz w:val="32"/>
          <w:szCs w:val="32"/>
        </w:rPr>
        <w:t>具体负责城区（含魏都区、建安区、东城区、经济技术开发区、市城乡一体化示范区）的大气、水、土壤、固体废物（含危险废物）、核与辐射、移动源、自然生态等相关污染防治和生态环境保护等执法工作；</w:t>
      </w:r>
    </w:p>
    <w:p>
      <w:pPr>
        <w:adjustRightInd w:val="0"/>
        <w:snapToGrid w:val="0"/>
        <w:spacing w:line="62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4.组织开展全市范围内的生态环境行政检查“双随机一公开”和交叉执法、异地执法和跨区执法；</w:t>
      </w:r>
    </w:p>
    <w:p>
      <w:pPr>
        <w:adjustRightInd w:val="0"/>
        <w:snapToGrid w:val="0"/>
        <w:spacing w:line="62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5.受理12369热线、微信举报平台等生态环境举报，组织环境污染和生态破坏投诉、举报案件的调查处理工作；</w:t>
      </w:r>
    </w:p>
    <w:p>
      <w:pPr>
        <w:adjustRightInd w:val="0"/>
        <w:snapToGrid w:val="0"/>
        <w:spacing w:line="62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6.参与突发环境事件应急处置及环境污染事故、生态环境事件调查处理等工作；</w:t>
      </w:r>
    </w:p>
    <w:p>
      <w:pPr>
        <w:adjustRightInd w:val="0"/>
        <w:snapToGrid w:val="0"/>
        <w:spacing w:line="62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7.负责县（市）生态环境执法组织协调、业务指导、业务培训、评价考核等工作；</w:t>
      </w:r>
    </w:p>
    <w:p>
      <w:pPr>
        <w:adjustRightInd w:val="0"/>
        <w:snapToGrid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8.联合有关部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开展跨部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生态环境联合执法；</w:t>
      </w:r>
    </w:p>
    <w:p>
      <w:pPr>
        <w:adjustRightInd w:val="0"/>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9.依法履行法律法规规定的其他生态环境综合行政执法职责。</w:t>
      </w:r>
    </w:p>
    <w:p>
      <w:pPr>
        <w:adjustRightInd w:val="0"/>
        <w:snapToGrid w:val="0"/>
        <w:spacing w:line="620" w:lineRule="atLeast"/>
        <w:ind w:firstLine="640"/>
        <w:rPr>
          <w:rFonts w:ascii="仿宋_GB2312" w:hAnsi="仿宋_GB2312" w:eastAsia="仿宋_GB2312" w:cs="仿宋_GB2312"/>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许昌市生态环境综合行政执法支队内设机构7个，包括：办公室、法制科、环境信访科、机动大队、东城区大队、经济技术开发区大队、城乡一体化示范区大队。</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从决算单位构成看，许昌市生态环境综合行政执法支队</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决算包括：本级决算。</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2021年度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许昌市生态环境综合行政执法支队</w:t>
      </w:r>
    </w:p>
    <w:p>
      <w:pPr>
        <w:pStyle w:val="2"/>
        <w:rPr>
          <w:rFonts w:eastAsia="黑体"/>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决算表</w:t>
      </w: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8"/>
        <w:tblW w:w="5000" w:type="pct"/>
        <w:tblInd w:w="0" w:type="dxa"/>
        <w:tblLayout w:type="autofit"/>
        <w:tblCellMar>
          <w:top w:w="0" w:type="dxa"/>
          <w:left w:w="108" w:type="dxa"/>
          <w:bottom w:w="0" w:type="dxa"/>
          <w:right w:w="108" w:type="dxa"/>
        </w:tblCellMar>
      </w:tblPr>
      <w:tblGrid>
        <w:gridCol w:w="4229"/>
        <w:gridCol w:w="970"/>
        <w:gridCol w:w="1695"/>
        <w:gridCol w:w="3558"/>
        <w:gridCol w:w="992"/>
        <w:gridCol w:w="2730"/>
      </w:tblGrid>
      <w:tr>
        <w:tblPrEx>
          <w:tblCellMar>
            <w:top w:w="0" w:type="dxa"/>
            <w:left w:w="108" w:type="dxa"/>
            <w:bottom w:w="0" w:type="dxa"/>
            <w:right w:w="108" w:type="dxa"/>
          </w:tblCellMar>
        </w:tblPrEx>
        <w:trPr>
          <w:trHeight w:val="370" w:hRule="atLeast"/>
        </w:trPr>
        <w:tc>
          <w:tcPr>
            <w:tcW w:w="5000" w:type="pct"/>
            <w:gridSpan w:val="6"/>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收入支出决算总表</w:t>
            </w:r>
          </w:p>
        </w:tc>
      </w:tr>
      <w:tr>
        <w:tblPrEx>
          <w:tblCellMar>
            <w:top w:w="0" w:type="dxa"/>
            <w:left w:w="108" w:type="dxa"/>
            <w:bottom w:w="0" w:type="dxa"/>
            <w:right w:w="108" w:type="dxa"/>
          </w:tblCellMar>
        </w:tblPrEx>
        <w:trPr>
          <w:trHeight w:val="260" w:hRule="atLeast"/>
        </w:trPr>
        <w:tc>
          <w:tcPr>
            <w:tcW w:w="1492" w:type="pct"/>
            <w:tcBorders>
              <w:top w:val="nil"/>
              <w:left w:val="nil"/>
              <w:bottom w:val="nil"/>
              <w:right w:val="nil"/>
            </w:tcBorders>
            <w:noWrap/>
            <w:vAlign w:val="bottom"/>
          </w:tcPr>
          <w:p>
            <w:pPr>
              <w:rPr>
                <w:rFonts w:hint="eastAsia" w:ascii="Arial" w:hAnsi="Arial" w:cs="Arial"/>
                <w:color w:val="000000"/>
                <w:sz w:val="20"/>
                <w:szCs w:val="20"/>
              </w:rPr>
            </w:pPr>
          </w:p>
        </w:tc>
        <w:tc>
          <w:tcPr>
            <w:tcW w:w="342" w:type="pct"/>
            <w:tcBorders>
              <w:top w:val="nil"/>
              <w:left w:val="nil"/>
              <w:bottom w:val="nil"/>
              <w:right w:val="nil"/>
            </w:tcBorders>
            <w:noWrap/>
            <w:vAlign w:val="bottom"/>
          </w:tcPr>
          <w:p>
            <w:pPr>
              <w:rPr>
                <w:rFonts w:ascii="Arial" w:hAnsi="Arial" w:cs="Arial"/>
                <w:color w:val="000000"/>
                <w:sz w:val="20"/>
                <w:szCs w:val="20"/>
              </w:rPr>
            </w:pPr>
          </w:p>
        </w:tc>
        <w:tc>
          <w:tcPr>
            <w:tcW w:w="597" w:type="pct"/>
            <w:tcBorders>
              <w:top w:val="nil"/>
              <w:left w:val="nil"/>
              <w:bottom w:val="nil"/>
              <w:right w:val="nil"/>
            </w:tcBorders>
            <w:noWrap/>
            <w:vAlign w:val="bottom"/>
          </w:tcPr>
          <w:p>
            <w:pPr>
              <w:rPr>
                <w:rFonts w:ascii="Arial" w:hAnsi="Arial" w:cs="Arial"/>
                <w:color w:val="000000"/>
                <w:sz w:val="20"/>
                <w:szCs w:val="20"/>
              </w:rPr>
            </w:pPr>
          </w:p>
        </w:tc>
        <w:tc>
          <w:tcPr>
            <w:tcW w:w="1255" w:type="pct"/>
            <w:tcBorders>
              <w:top w:val="nil"/>
              <w:left w:val="nil"/>
              <w:bottom w:val="nil"/>
              <w:right w:val="nil"/>
            </w:tcBorders>
            <w:noWrap/>
            <w:vAlign w:val="bottom"/>
          </w:tcPr>
          <w:p>
            <w:pPr>
              <w:rPr>
                <w:rFonts w:ascii="Arial" w:hAnsi="Arial" w:cs="Arial"/>
                <w:color w:val="000000"/>
                <w:sz w:val="20"/>
                <w:szCs w:val="20"/>
              </w:rPr>
            </w:pPr>
          </w:p>
        </w:tc>
        <w:tc>
          <w:tcPr>
            <w:tcW w:w="1311"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18"/>
                <w:szCs w:val="18"/>
                <w:lang w:bidi="ar"/>
              </w:rPr>
              <w:t>公开01表</w:t>
            </w:r>
          </w:p>
        </w:tc>
      </w:tr>
      <w:tr>
        <w:tblPrEx>
          <w:tblCellMar>
            <w:top w:w="0" w:type="dxa"/>
            <w:left w:w="108" w:type="dxa"/>
            <w:bottom w:w="0" w:type="dxa"/>
            <w:right w:w="108" w:type="dxa"/>
          </w:tblCellMar>
        </w:tblPrEx>
        <w:trPr>
          <w:trHeight w:val="260" w:hRule="atLeast"/>
        </w:trPr>
        <w:tc>
          <w:tcPr>
            <w:tcW w:w="1834" w:type="pct"/>
            <w:gridSpan w:val="2"/>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：许昌市生态环境综合行政执法支队</w:t>
            </w:r>
          </w:p>
        </w:tc>
        <w:tc>
          <w:tcPr>
            <w:tcW w:w="597" w:type="pct"/>
            <w:tcBorders>
              <w:top w:val="nil"/>
              <w:left w:val="nil"/>
              <w:bottom w:val="nil"/>
              <w:right w:val="nil"/>
            </w:tcBorders>
            <w:noWrap/>
            <w:vAlign w:val="bottom"/>
          </w:tcPr>
          <w:p>
            <w:pPr>
              <w:rPr>
                <w:rFonts w:ascii="Arial" w:hAnsi="Arial" w:cs="Arial"/>
                <w:color w:val="000000"/>
                <w:sz w:val="20"/>
                <w:szCs w:val="20"/>
              </w:rPr>
            </w:pPr>
          </w:p>
        </w:tc>
        <w:tc>
          <w:tcPr>
            <w:tcW w:w="1255" w:type="pct"/>
            <w:tcBorders>
              <w:top w:val="nil"/>
              <w:left w:val="nil"/>
              <w:bottom w:val="nil"/>
              <w:right w:val="nil"/>
            </w:tcBorders>
            <w:noWrap/>
            <w:vAlign w:val="bottom"/>
          </w:tcPr>
          <w:p>
            <w:pPr>
              <w:rPr>
                <w:rFonts w:ascii="Arial" w:hAnsi="Arial" w:cs="Arial"/>
                <w:color w:val="000000"/>
                <w:sz w:val="20"/>
                <w:szCs w:val="20"/>
              </w:rPr>
            </w:pPr>
          </w:p>
        </w:tc>
        <w:tc>
          <w:tcPr>
            <w:tcW w:w="1311"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2432"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收入</w:t>
            </w:r>
          </w:p>
        </w:tc>
        <w:tc>
          <w:tcPr>
            <w:tcW w:w="2567" w:type="pct"/>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w:t>
            </w: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597"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1255"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96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342" w:type="pct"/>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597"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255"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350" w:type="pct"/>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96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一、一般公共预算财政拨款收入</w:t>
            </w: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59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410.04</w:t>
            </w: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一、一般公共服务支出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32</w:t>
            </w:r>
          </w:p>
        </w:tc>
        <w:tc>
          <w:tcPr>
            <w:tcW w:w="960"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4.32</w:t>
            </w: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二、政府性基金预算财政拨款收入</w:t>
            </w: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二、外交支出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33</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三、国有资本经营预算财政拨款收入</w:t>
            </w: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三、国防支出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34</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四、上级补助收入</w:t>
            </w: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四、公共安全支出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35</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五、事业收入</w:t>
            </w: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五、教育支出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36</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六、经营收入</w:t>
            </w: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六、科学技术支出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37</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七、附属单位上缴收入</w:t>
            </w: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七、文化旅游体育与传媒支出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38</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八、其他收入</w:t>
            </w: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八、社会保障和就业支出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39</w:t>
            </w:r>
          </w:p>
        </w:tc>
        <w:tc>
          <w:tcPr>
            <w:tcW w:w="960"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42.93</w:t>
            </w: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九、卫生健康支出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w:t>
            </w:r>
          </w:p>
        </w:tc>
        <w:tc>
          <w:tcPr>
            <w:tcW w:w="960"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19.41</w:t>
            </w: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十、节能环保支出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41</w:t>
            </w:r>
          </w:p>
        </w:tc>
        <w:tc>
          <w:tcPr>
            <w:tcW w:w="960"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610.07</w:t>
            </w: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十一、城乡社区支出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42</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十二、农林水支出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十三、交通运输支出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44</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14</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十四、资源勘探工业信息等支出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45</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十五、商业服务业等支出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46</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16</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十六、金融支出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17</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十七、援助其他地区支出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48</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18</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十八、自然资源海洋气象等支出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49</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19</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十九、住房保障支出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50</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二十、粮油物资储备支出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51</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21</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二十一、国有资本经营预算支出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52</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22</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二十二、灾害防治及应急管理支出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53</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23</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二十三、其他支出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b/>
                <w:bCs/>
                <w:color w:val="000000"/>
                <w:sz w:val="20"/>
                <w:szCs w:val="20"/>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二十四、债务还本支出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55</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二十五、债务付息支出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56</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二十六、抗疫特别国债安排的支出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57</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本年收入合计</w:t>
            </w: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27</w:t>
            </w:r>
          </w:p>
        </w:tc>
        <w:tc>
          <w:tcPr>
            <w:tcW w:w="59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410.04</w:t>
            </w:r>
          </w:p>
        </w:tc>
        <w:tc>
          <w:tcPr>
            <w:tcW w:w="1255"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本年支出合计</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58</w:t>
            </w:r>
          </w:p>
        </w:tc>
        <w:tc>
          <w:tcPr>
            <w:tcW w:w="960"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676.73</w:t>
            </w: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使用非财政拨款结余</w:t>
            </w: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28</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结余分配</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59</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29</w:t>
            </w:r>
          </w:p>
        </w:tc>
        <w:tc>
          <w:tcPr>
            <w:tcW w:w="59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266.69</w:t>
            </w:r>
          </w:p>
        </w:tc>
        <w:tc>
          <w:tcPr>
            <w:tcW w:w="1255"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60</w:t>
            </w:r>
          </w:p>
        </w:tc>
        <w:tc>
          <w:tcPr>
            <w:tcW w:w="9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255"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61</w:t>
            </w:r>
          </w:p>
        </w:tc>
        <w:tc>
          <w:tcPr>
            <w:tcW w:w="960"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92"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总计</w:t>
            </w:r>
          </w:p>
        </w:tc>
        <w:tc>
          <w:tcPr>
            <w:tcW w:w="342" w:type="pct"/>
            <w:tcBorders>
              <w:top w:val="nil"/>
              <w:left w:val="nil"/>
              <w:bottom w:val="single" w:color="000000" w:sz="8"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31</w:t>
            </w:r>
          </w:p>
        </w:tc>
        <w:tc>
          <w:tcPr>
            <w:tcW w:w="59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676.73</w:t>
            </w:r>
          </w:p>
        </w:tc>
        <w:tc>
          <w:tcPr>
            <w:tcW w:w="1255"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总计</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62</w:t>
            </w:r>
          </w:p>
        </w:tc>
        <w:tc>
          <w:tcPr>
            <w:tcW w:w="960"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676.73</w:t>
            </w:r>
          </w:p>
        </w:tc>
      </w:tr>
      <w:tr>
        <w:tblPrEx>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5000" w:type="pct"/>
        <w:tblInd w:w="0" w:type="dxa"/>
        <w:shd w:val="clear" w:color="auto" w:fill="auto"/>
        <w:tblLayout w:type="autofit"/>
        <w:tblCellMar>
          <w:top w:w="0" w:type="dxa"/>
          <w:left w:w="108" w:type="dxa"/>
          <w:bottom w:w="0" w:type="dxa"/>
          <w:right w:w="108" w:type="dxa"/>
        </w:tblCellMar>
      </w:tblPr>
      <w:tblGrid>
        <w:gridCol w:w="1094"/>
        <w:gridCol w:w="4187"/>
        <w:gridCol w:w="1480"/>
        <w:gridCol w:w="1491"/>
        <w:gridCol w:w="1066"/>
        <w:gridCol w:w="845"/>
        <w:gridCol w:w="887"/>
        <w:gridCol w:w="1383"/>
        <w:gridCol w:w="1741"/>
      </w:tblGrid>
      <w:tr>
        <w:tblPrEx>
          <w:shd w:val="clear" w:color="auto" w:fill="auto"/>
          <w:tblCellMar>
            <w:top w:w="0" w:type="dxa"/>
            <w:left w:w="108" w:type="dxa"/>
            <w:bottom w:w="0" w:type="dxa"/>
            <w:right w:w="108" w:type="dxa"/>
          </w:tblCellMar>
        </w:tblPrEx>
        <w:trPr>
          <w:trHeight w:val="612" w:hRule="atLeast"/>
        </w:trPr>
        <w:tc>
          <w:tcPr>
            <w:tcW w:w="5000" w:type="pct"/>
            <w:gridSpan w:val="9"/>
            <w:tcBorders>
              <w:top w:val="nil"/>
              <w:left w:val="nil"/>
              <w:bottom w:val="nil"/>
              <w:right w:val="nil"/>
            </w:tcBorders>
            <w:shd w:val="clear" w:color="auto" w:fill="auto"/>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收入决算表</w:t>
            </w:r>
          </w:p>
        </w:tc>
      </w:tr>
      <w:tr>
        <w:tblPrEx>
          <w:shd w:val="clear" w:color="auto" w:fill="auto"/>
          <w:tblCellMar>
            <w:top w:w="0" w:type="dxa"/>
            <w:left w:w="108" w:type="dxa"/>
            <w:bottom w:w="0" w:type="dxa"/>
            <w:right w:w="108" w:type="dxa"/>
          </w:tblCellMar>
        </w:tblPrEx>
        <w:trPr>
          <w:trHeight w:val="283" w:hRule="atLeast"/>
        </w:trPr>
        <w:tc>
          <w:tcPr>
            <w:tcW w:w="1863" w:type="pct"/>
            <w:gridSpan w:val="2"/>
            <w:tcBorders>
              <w:top w:val="nil"/>
              <w:left w:val="nil"/>
              <w:bottom w:val="nil"/>
              <w:right w:val="nil"/>
            </w:tcBorders>
            <w:shd w:val="clear" w:color="auto" w:fill="auto"/>
            <w:noWrap/>
            <w:vAlign w:val="bottom"/>
          </w:tcPr>
          <w:p>
            <w:pPr>
              <w:jc w:val="center"/>
              <w:rPr>
                <w:rFonts w:hint="eastAsia" w:ascii="Arial" w:hAnsi="Arial" w:cs="Arial"/>
                <w:color w:val="000000"/>
                <w:sz w:val="20"/>
                <w:szCs w:val="20"/>
              </w:rPr>
            </w:pPr>
          </w:p>
        </w:tc>
        <w:tc>
          <w:tcPr>
            <w:tcW w:w="52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2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7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9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8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11" w:type="pct"/>
            <w:tcBorders>
              <w:top w:val="nil"/>
              <w:left w:val="nil"/>
              <w:bottom w:val="nil"/>
              <w:right w:val="nil"/>
            </w:tcBorders>
            <w:shd w:val="clear" w:color="auto" w:fill="auto"/>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公开02表</w:t>
            </w:r>
          </w:p>
        </w:tc>
      </w:tr>
      <w:tr>
        <w:tblPrEx>
          <w:shd w:val="clear" w:color="auto" w:fill="auto"/>
          <w:tblCellMar>
            <w:top w:w="0" w:type="dxa"/>
            <w:left w:w="108" w:type="dxa"/>
            <w:bottom w:w="0" w:type="dxa"/>
            <w:right w:w="108" w:type="dxa"/>
          </w:tblCellMar>
        </w:tblPrEx>
        <w:trPr>
          <w:trHeight w:val="283" w:hRule="atLeast"/>
        </w:trPr>
        <w:tc>
          <w:tcPr>
            <w:tcW w:w="1863" w:type="pct"/>
            <w:gridSpan w:val="2"/>
            <w:tcBorders>
              <w:top w:val="nil"/>
              <w:left w:val="nil"/>
              <w:bottom w:val="nil"/>
              <w:right w:val="nil"/>
            </w:tcBorders>
            <w:shd w:val="clear" w:color="auto" w:fill="auto"/>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：许昌市生态环境综合行政执法支队</w:t>
            </w:r>
          </w:p>
        </w:tc>
        <w:tc>
          <w:tcPr>
            <w:tcW w:w="52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2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7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9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8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11" w:type="pct"/>
            <w:tcBorders>
              <w:top w:val="nil"/>
              <w:left w:val="nil"/>
              <w:bottom w:val="nil"/>
              <w:right w:val="nil"/>
            </w:tcBorders>
            <w:shd w:val="clear" w:color="auto" w:fill="auto"/>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shd w:val="clear" w:color="auto" w:fill="auto"/>
          <w:tblCellMar>
            <w:top w:w="0" w:type="dxa"/>
            <w:left w:w="108" w:type="dxa"/>
            <w:bottom w:w="0" w:type="dxa"/>
            <w:right w:w="108" w:type="dxa"/>
          </w:tblCellMar>
        </w:tblPrEx>
        <w:trPr>
          <w:trHeight w:val="292" w:hRule="atLeast"/>
        </w:trPr>
        <w:tc>
          <w:tcPr>
            <w:tcW w:w="18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522" w:type="pct"/>
            <w:vMerge w:val="restart"/>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本年收入合计</w:t>
            </w:r>
          </w:p>
        </w:tc>
        <w:tc>
          <w:tcPr>
            <w:tcW w:w="526" w:type="pct"/>
            <w:vMerge w:val="restart"/>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财政拨款收入</w:t>
            </w:r>
          </w:p>
        </w:tc>
        <w:tc>
          <w:tcPr>
            <w:tcW w:w="376" w:type="pct"/>
            <w:vMerge w:val="restart"/>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上级补助收入</w:t>
            </w:r>
          </w:p>
        </w:tc>
        <w:tc>
          <w:tcPr>
            <w:tcW w:w="298" w:type="pct"/>
            <w:vMerge w:val="restart"/>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事业收入</w:t>
            </w:r>
          </w:p>
        </w:tc>
        <w:tc>
          <w:tcPr>
            <w:tcW w:w="313" w:type="pct"/>
            <w:vMerge w:val="restart"/>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经营收入</w:t>
            </w:r>
          </w:p>
        </w:tc>
        <w:tc>
          <w:tcPr>
            <w:tcW w:w="488" w:type="pct"/>
            <w:vMerge w:val="restart"/>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附属单位上缴收入</w:t>
            </w:r>
          </w:p>
        </w:tc>
        <w:tc>
          <w:tcPr>
            <w:tcW w:w="611" w:type="pct"/>
            <w:vMerge w:val="restart"/>
            <w:tcBorders>
              <w:top w:val="single" w:color="000000" w:sz="4" w:space="0"/>
              <w:left w:val="nil"/>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其他收入</w:t>
            </w:r>
          </w:p>
        </w:tc>
      </w:tr>
      <w:tr>
        <w:tblPrEx>
          <w:shd w:val="clear" w:color="auto" w:fill="auto"/>
          <w:tblCellMar>
            <w:top w:w="0" w:type="dxa"/>
            <w:left w:w="108" w:type="dxa"/>
            <w:bottom w:w="0" w:type="dxa"/>
            <w:right w:w="108" w:type="dxa"/>
          </w:tblCellMar>
        </w:tblPrEx>
        <w:trPr>
          <w:trHeight w:val="312" w:hRule="atLeast"/>
        </w:trPr>
        <w:tc>
          <w:tcPr>
            <w:tcW w:w="386" w:type="pct"/>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1477"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522"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526"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376"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298"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313"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488"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611"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312" w:hRule="atLeast"/>
        </w:trPr>
        <w:tc>
          <w:tcPr>
            <w:tcW w:w="386"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147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rPr>
            </w:pPr>
          </w:p>
        </w:tc>
        <w:tc>
          <w:tcPr>
            <w:tcW w:w="522"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526"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376"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298"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313"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488"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611"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312" w:hRule="atLeast"/>
        </w:trPr>
        <w:tc>
          <w:tcPr>
            <w:tcW w:w="386"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147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rPr>
            </w:pPr>
          </w:p>
        </w:tc>
        <w:tc>
          <w:tcPr>
            <w:tcW w:w="522"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526"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376"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298"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313"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488"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c>
          <w:tcPr>
            <w:tcW w:w="611" w:type="pct"/>
            <w:vMerge w:val="continue"/>
            <w:tcBorders>
              <w:top w:val="single" w:color="000000" w:sz="4" w:space="0"/>
              <w:left w:val="nil"/>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1863"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522" w:type="pct"/>
            <w:tcBorders>
              <w:top w:val="nil"/>
              <w:left w:val="nil"/>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526" w:type="pct"/>
            <w:tcBorders>
              <w:top w:val="nil"/>
              <w:left w:val="nil"/>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376" w:type="pct"/>
            <w:tcBorders>
              <w:top w:val="nil"/>
              <w:left w:val="nil"/>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298" w:type="pct"/>
            <w:tcBorders>
              <w:top w:val="nil"/>
              <w:left w:val="nil"/>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313" w:type="pct"/>
            <w:tcBorders>
              <w:top w:val="nil"/>
              <w:left w:val="nil"/>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88" w:type="pct"/>
            <w:tcBorders>
              <w:top w:val="nil"/>
              <w:left w:val="nil"/>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611" w:type="pct"/>
            <w:tcBorders>
              <w:top w:val="nil"/>
              <w:left w:val="nil"/>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r>
      <w:tr>
        <w:tblPrEx>
          <w:shd w:val="clear" w:color="auto" w:fill="auto"/>
          <w:tblCellMar>
            <w:top w:w="0" w:type="dxa"/>
            <w:left w:w="108" w:type="dxa"/>
            <w:bottom w:w="0" w:type="dxa"/>
            <w:right w:w="108" w:type="dxa"/>
          </w:tblCellMar>
        </w:tblPrEx>
        <w:trPr>
          <w:trHeight w:val="292" w:hRule="atLeast"/>
        </w:trPr>
        <w:tc>
          <w:tcPr>
            <w:tcW w:w="1863"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410.04</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410.04</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b/>
                <w:bCs/>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b/>
                <w:bCs/>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b/>
                <w:bCs/>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b/>
                <w:bCs/>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b/>
                <w:bCs/>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4.32</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4.32</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20101</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人大事务</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2010101</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行政运行</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群众团体事务</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1.65</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1.65</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2012906</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工会事务</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1.65</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1.65</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33.54</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33.54</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33.54</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33.54</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2080501</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行政单位离退休</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17.36</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17.36</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16.18</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16.18</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16.49</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16.49</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16.49</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16.49</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2101101</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行政单位医疗</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8.98</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8.98</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2101103</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7.51</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7.51</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节能环保支出</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355.69</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355.69</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21101</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环境保护管理事务</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338.01</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338.01</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2110101</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行政运行</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338.01</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338.01</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21103</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污染防治</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17.68</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17.68</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shd w:val="clear" w:color="auto" w:fill="auto"/>
          <w:tblCellMar>
            <w:top w:w="0" w:type="dxa"/>
            <w:left w:w="108" w:type="dxa"/>
            <w:bottom w:w="0" w:type="dxa"/>
            <w:right w:w="108" w:type="dxa"/>
          </w:tblCellMar>
        </w:tblPrEx>
        <w:trPr>
          <w:trHeight w:val="292" w:hRule="atLeast"/>
        </w:trPr>
        <w:tc>
          <w:tcPr>
            <w:tcW w:w="38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2110301</w:t>
            </w:r>
          </w:p>
        </w:tc>
        <w:tc>
          <w:tcPr>
            <w:tcW w:w="1477"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大气</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17.68</w:t>
            </w:r>
          </w:p>
        </w:tc>
        <w:tc>
          <w:tcPr>
            <w:tcW w:w="52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17.68</w:t>
            </w:r>
          </w:p>
        </w:tc>
        <w:tc>
          <w:tcPr>
            <w:tcW w:w="3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2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4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c>
          <w:tcPr>
            <w:tcW w:w="6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292" w:hRule="atLeast"/>
        </w:trPr>
        <w:tc>
          <w:tcPr>
            <w:tcW w:w="5000" w:type="pct"/>
            <w:gridSpan w:val="9"/>
            <w:tcBorders>
              <w:top w:val="nil"/>
              <w:left w:val="nil"/>
              <w:bottom w:val="nil"/>
              <w:right w:val="nil"/>
            </w:tcBorders>
            <w:shd w:val="clear" w:color="auto" w:fill="auto"/>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本年度取得的各项收入情况。本表金额转换为万元时，因四舍五入可能存在尾差。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5000" w:type="pct"/>
        <w:tblInd w:w="0" w:type="dxa"/>
        <w:tblLayout w:type="autofit"/>
        <w:tblCellMar>
          <w:top w:w="0" w:type="dxa"/>
          <w:left w:w="108" w:type="dxa"/>
          <w:bottom w:w="0" w:type="dxa"/>
          <w:right w:w="108" w:type="dxa"/>
        </w:tblCellMar>
      </w:tblPr>
      <w:tblGrid>
        <w:gridCol w:w="1491"/>
        <w:gridCol w:w="5171"/>
        <w:gridCol w:w="1536"/>
        <w:gridCol w:w="1517"/>
        <w:gridCol w:w="1398"/>
        <w:gridCol w:w="1057"/>
        <w:gridCol w:w="935"/>
        <w:gridCol w:w="1069"/>
      </w:tblGrid>
      <w:tr>
        <w:tblPrEx>
          <w:tblCellMar>
            <w:top w:w="0" w:type="dxa"/>
            <w:left w:w="108" w:type="dxa"/>
            <w:bottom w:w="0" w:type="dxa"/>
            <w:right w:w="108" w:type="dxa"/>
          </w:tblCellMar>
        </w:tblPrEx>
        <w:trPr>
          <w:trHeight w:val="370" w:hRule="atLeast"/>
        </w:trPr>
        <w:tc>
          <w:tcPr>
            <w:tcW w:w="5000" w:type="pct"/>
            <w:gridSpan w:val="8"/>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支出决算表</w:t>
            </w:r>
          </w:p>
        </w:tc>
      </w:tr>
      <w:tr>
        <w:tblPrEx>
          <w:tblCellMar>
            <w:top w:w="0" w:type="dxa"/>
            <w:left w:w="108" w:type="dxa"/>
            <w:bottom w:w="0" w:type="dxa"/>
            <w:right w:w="108" w:type="dxa"/>
          </w:tblCellMar>
        </w:tblPrEx>
        <w:trPr>
          <w:trHeight w:val="260" w:hRule="atLeast"/>
        </w:trPr>
        <w:tc>
          <w:tcPr>
            <w:tcW w:w="2350" w:type="pct"/>
            <w:gridSpan w:val="2"/>
            <w:tcBorders>
              <w:top w:val="nil"/>
              <w:left w:val="nil"/>
              <w:bottom w:val="nil"/>
              <w:right w:val="nil"/>
            </w:tcBorders>
            <w:noWrap/>
            <w:vAlign w:val="bottom"/>
          </w:tcPr>
          <w:p>
            <w:pPr>
              <w:jc w:val="center"/>
              <w:rPr>
                <w:rFonts w:hint="eastAsia" w:ascii="Arial" w:hAnsi="Arial" w:cs="Arial"/>
                <w:color w:val="000000"/>
                <w:sz w:val="18"/>
                <w:szCs w:val="18"/>
              </w:rPr>
            </w:pPr>
          </w:p>
        </w:tc>
        <w:tc>
          <w:tcPr>
            <w:tcW w:w="542" w:type="pct"/>
            <w:tcBorders>
              <w:top w:val="nil"/>
              <w:left w:val="nil"/>
              <w:bottom w:val="nil"/>
              <w:right w:val="nil"/>
            </w:tcBorders>
            <w:noWrap/>
            <w:vAlign w:val="bottom"/>
          </w:tcPr>
          <w:p>
            <w:pPr>
              <w:rPr>
                <w:rFonts w:ascii="Arial" w:hAnsi="Arial" w:cs="Arial"/>
                <w:color w:val="000000"/>
                <w:sz w:val="18"/>
                <w:szCs w:val="18"/>
              </w:rPr>
            </w:pPr>
          </w:p>
        </w:tc>
        <w:tc>
          <w:tcPr>
            <w:tcW w:w="535" w:type="pct"/>
            <w:tcBorders>
              <w:top w:val="nil"/>
              <w:left w:val="nil"/>
              <w:bottom w:val="nil"/>
              <w:right w:val="nil"/>
            </w:tcBorders>
            <w:noWrap/>
            <w:vAlign w:val="bottom"/>
          </w:tcPr>
          <w:p>
            <w:pPr>
              <w:rPr>
                <w:rFonts w:ascii="Arial" w:hAnsi="Arial" w:cs="Arial"/>
                <w:color w:val="000000"/>
                <w:sz w:val="18"/>
                <w:szCs w:val="18"/>
              </w:rPr>
            </w:pPr>
          </w:p>
        </w:tc>
        <w:tc>
          <w:tcPr>
            <w:tcW w:w="493" w:type="pct"/>
            <w:tcBorders>
              <w:top w:val="nil"/>
              <w:left w:val="nil"/>
              <w:bottom w:val="nil"/>
              <w:right w:val="nil"/>
            </w:tcBorders>
            <w:noWrap/>
            <w:vAlign w:val="bottom"/>
          </w:tcPr>
          <w:p>
            <w:pPr>
              <w:rPr>
                <w:rFonts w:ascii="Arial" w:hAnsi="Arial" w:cs="Arial"/>
                <w:color w:val="000000"/>
                <w:sz w:val="18"/>
                <w:szCs w:val="18"/>
              </w:rPr>
            </w:pPr>
          </w:p>
        </w:tc>
        <w:tc>
          <w:tcPr>
            <w:tcW w:w="373" w:type="pct"/>
            <w:tcBorders>
              <w:top w:val="nil"/>
              <w:left w:val="nil"/>
              <w:bottom w:val="nil"/>
              <w:right w:val="nil"/>
            </w:tcBorders>
            <w:noWrap/>
            <w:vAlign w:val="bottom"/>
          </w:tcPr>
          <w:p>
            <w:pPr>
              <w:rPr>
                <w:rFonts w:ascii="Arial" w:hAnsi="Arial" w:cs="Arial"/>
                <w:color w:val="000000"/>
                <w:sz w:val="18"/>
                <w:szCs w:val="18"/>
              </w:rPr>
            </w:pPr>
          </w:p>
        </w:tc>
        <w:tc>
          <w:tcPr>
            <w:tcW w:w="704"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公开03表</w:t>
            </w:r>
          </w:p>
        </w:tc>
      </w:tr>
      <w:tr>
        <w:tblPrEx>
          <w:tblCellMar>
            <w:top w:w="0" w:type="dxa"/>
            <w:left w:w="108" w:type="dxa"/>
            <w:bottom w:w="0" w:type="dxa"/>
            <w:right w:w="108" w:type="dxa"/>
          </w:tblCellMar>
        </w:tblPrEx>
        <w:trPr>
          <w:trHeight w:val="260" w:hRule="atLeast"/>
        </w:trPr>
        <w:tc>
          <w:tcPr>
            <w:tcW w:w="2350" w:type="pct"/>
            <w:gridSpan w:val="2"/>
            <w:tcBorders>
              <w:top w:val="nil"/>
              <w:left w:val="nil"/>
              <w:bottom w:val="nil"/>
              <w:right w:val="nil"/>
            </w:tcBorders>
            <w:noWrap/>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：许昌市生态环境综合行政执法支队</w:t>
            </w:r>
          </w:p>
        </w:tc>
        <w:tc>
          <w:tcPr>
            <w:tcW w:w="542" w:type="pct"/>
            <w:tcBorders>
              <w:top w:val="nil"/>
              <w:left w:val="nil"/>
              <w:bottom w:val="nil"/>
              <w:right w:val="nil"/>
            </w:tcBorders>
            <w:noWrap/>
            <w:vAlign w:val="bottom"/>
          </w:tcPr>
          <w:p>
            <w:pPr>
              <w:rPr>
                <w:rFonts w:ascii="Arial" w:hAnsi="Arial" w:cs="Arial"/>
                <w:color w:val="000000"/>
                <w:sz w:val="18"/>
                <w:szCs w:val="18"/>
              </w:rPr>
            </w:pPr>
          </w:p>
        </w:tc>
        <w:tc>
          <w:tcPr>
            <w:tcW w:w="535" w:type="pct"/>
            <w:tcBorders>
              <w:top w:val="nil"/>
              <w:left w:val="nil"/>
              <w:bottom w:val="nil"/>
              <w:right w:val="nil"/>
            </w:tcBorders>
            <w:noWrap/>
            <w:vAlign w:val="bottom"/>
          </w:tcPr>
          <w:p>
            <w:pPr>
              <w:rPr>
                <w:rFonts w:ascii="Arial" w:hAnsi="Arial" w:cs="Arial"/>
                <w:color w:val="000000"/>
                <w:sz w:val="18"/>
                <w:szCs w:val="18"/>
              </w:rPr>
            </w:pPr>
          </w:p>
        </w:tc>
        <w:tc>
          <w:tcPr>
            <w:tcW w:w="493" w:type="pct"/>
            <w:tcBorders>
              <w:top w:val="nil"/>
              <w:left w:val="nil"/>
              <w:bottom w:val="nil"/>
              <w:right w:val="nil"/>
            </w:tcBorders>
            <w:noWrap/>
            <w:vAlign w:val="bottom"/>
          </w:tcPr>
          <w:p>
            <w:pPr>
              <w:rPr>
                <w:rFonts w:ascii="Arial" w:hAnsi="Arial" w:cs="Arial"/>
                <w:color w:val="000000"/>
                <w:sz w:val="18"/>
                <w:szCs w:val="18"/>
              </w:rPr>
            </w:pPr>
          </w:p>
        </w:tc>
        <w:tc>
          <w:tcPr>
            <w:tcW w:w="373" w:type="pct"/>
            <w:tcBorders>
              <w:top w:val="nil"/>
              <w:left w:val="nil"/>
              <w:bottom w:val="nil"/>
              <w:right w:val="nil"/>
            </w:tcBorders>
            <w:noWrap/>
            <w:vAlign w:val="bottom"/>
          </w:tcPr>
          <w:p>
            <w:pPr>
              <w:rPr>
                <w:rFonts w:ascii="Arial" w:hAnsi="Arial" w:cs="Arial"/>
                <w:color w:val="000000"/>
                <w:sz w:val="18"/>
                <w:szCs w:val="18"/>
              </w:rPr>
            </w:pPr>
          </w:p>
        </w:tc>
        <w:tc>
          <w:tcPr>
            <w:tcW w:w="704"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2350"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542"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本年支出合计</w:t>
            </w:r>
          </w:p>
        </w:tc>
        <w:tc>
          <w:tcPr>
            <w:tcW w:w="535"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493"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373"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上缴上级支出</w:t>
            </w:r>
          </w:p>
        </w:tc>
        <w:tc>
          <w:tcPr>
            <w:tcW w:w="330"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经营支出</w:t>
            </w:r>
          </w:p>
        </w:tc>
        <w:tc>
          <w:tcPr>
            <w:tcW w:w="373"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对附属单位补助支出</w:t>
            </w:r>
          </w:p>
        </w:tc>
      </w:tr>
      <w:tr>
        <w:tblPrEx>
          <w:tblCellMar>
            <w:top w:w="0" w:type="dxa"/>
            <w:left w:w="108" w:type="dxa"/>
            <w:bottom w:w="0" w:type="dxa"/>
            <w:right w:w="108" w:type="dxa"/>
          </w:tblCellMar>
        </w:tblPrEx>
        <w:trPr>
          <w:trHeight w:val="312" w:hRule="atLeast"/>
        </w:trPr>
        <w:tc>
          <w:tcPr>
            <w:tcW w:w="526" w:type="pct"/>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1823" w:type="pct"/>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54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53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9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7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3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7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526"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54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53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9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7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3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7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526"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2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54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53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9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7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3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7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350" w:type="pct"/>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542"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535"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493"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373"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330"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73"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2350" w:type="pct"/>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676.73</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433.99</w:t>
            </w:r>
          </w:p>
        </w:tc>
        <w:tc>
          <w:tcPr>
            <w:tcW w:w="49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242.74</w:t>
            </w: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4.32</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4.32</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20101</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人大事务</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2010101</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行政运行</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群众团体事务</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1.65</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1.65</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2012906</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工会事务</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1.65</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1.65</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42.93</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42.93</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42.93</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42.93</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2080501</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行政单位离退休</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21.18</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21.18</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21.75</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21.75</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19.41</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19.41</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19.41</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19.41</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2101101</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行政单位医疗</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10.52</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10.52</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2101103</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8.89</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8.89</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节能环保支出</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610.07</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367.33</w:t>
            </w:r>
          </w:p>
        </w:tc>
        <w:tc>
          <w:tcPr>
            <w:tcW w:w="49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242.74</w:t>
            </w: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21101</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环境保护管理事务</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378.57</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367.33</w:t>
            </w:r>
          </w:p>
        </w:tc>
        <w:tc>
          <w:tcPr>
            <w:tcW w:w="49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11.24</w:t>
            </w: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2110101</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行政运行</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378.57</w:t>
            </w:r>
          </w:p>
        </w:tc>
        <w:tc>
          <w:tcPr>
            <w:tcW w:w="53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367.33</w:t>
            </w:r>
          </w:p>
        </w:tc>
        <w:tc>
          <w:tcPr>
            <w:tcW w:w="49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11.24</w:t>
            </w: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21103</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污染防治</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231.51</w:t>
            </w: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9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231.51</w:t>
            </w: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2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2110301</w:t>
            </w:r>
          </w:p>
        </w:tc>
        <w:tc>
          <w:tcPr>
            <w:tcW w:w="1823"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大气</w:t>
            </w:r>
          </w:p>
        </w:tc>
        <w:tc>
          <w:tcPr>
            <w:tcW w:w="54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231.51</w:t>
            </w:r>
          </w:p>
        </w:tc>
        <w:tc>
          <w:tcPr>
            <w:tcW w:w="53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9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231.51</w:t>
            </w: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5000" w:type="pct"/>
            <w:gridSpan w:val="8"/>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5000" w:type="pct"/>
        <w:tblInd w:w="0" w:type="dxa"/>
        <w:tblLayout w:type="autofit"/>
        <w:tblCellMar>
          <w:top w:w="0" w:type="dxa"/>
          <w:left w:w="108" w:type="dxa"/>
          <w:bottom w:w="0" w:type="dxa"/>
          <w:right w:w="108" w:type="dxa"/>
        </w:tblCellMar>
      </w:tblPr>
      <w:tblGrid>
        <w:gridCol w:w="3881"/>
        <w:gridCol w:w="510"/>
        <w:gridCol w:w="1199"/>
        <w:gridCol w:w="3736"/>
        <w:gridCol w:w="669"/>
        <w:gridCol w:w="989"/>
        <w:gridCol w:w="1123"/>
        <w:gridCol w:w="1057"/>
        <w:gridCol w:w="1010"/>
      </w:tblGrid>
      <w:tr>
        <w:tblPrEx>
          <w:tblCellMar>
            <w:top w:w="0" w:type="dxa"/>
            <w:left w:w="108" w:type="dxa"/>
            <w:bottom w:w="0" w:type="dxa"/>
            <w:right w:w="108" w:type="dxa"/>
          </w:tblCellMar>
        </w:tblPrEx>
        <w:trPr>
          <w:trHeight w:val="370" w:hRule="atLeast"/>
        </w:trPr>
        <w:tc>
          <w:tcPr>
            <w:tcW w:w="5000" w:type="pct"/>
            <w:gridSpan w:val="9"/>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财政拨款收入支出决算总表</w:t>
            </w:r>
          </w:p>
        </w:tc>
      </w:tr>
      <w:tr>
        <w:tblPrEx>
          <w:tblCellMar>
            <w:top w:w="0" w:type="dxa"/>
            <w:left w:w="108" w:type="dxa"/>
            <w:bottom w:w="0" w:type="dxa"/>
            <w:right w:w="108" w:type="dxa"/>
          </w:tblCellMar>
        </w:tblPrEx>
        <w:trPr>
          <w:trHeight w:val="260" w:hRule="atLeast"/>
        </w:trPr>
        <w:tc>
          <w:tcPr>
            <w:tcW w:w="1972" w:type="pct"/>
            <w:gridSpan w:val="3"/>
            <w:tcBorders>
              <w:top w:val="nil"/>
              <w:left w:val="nil"/>
              <w:bottom w:val="nil"/>
              <w:right w:val="nil"/>
            </w:tcBorders>
            <w:noWrap/>
            <w:vAlign w:val="bottom"/>
          </w:tcPr>
          <w:p>
            <w:pPr>
              <w:jc w:val="center"/>
              <w:rPr>
                <w:rFonts w:hint="eastAsia" w:ascii="Arial" w:hAnsi="Arial" w:cs="Arial"/>
                <w:color w:val="000000"/>
                <w:sz w:val="18"/>
                <w:szCs w:val="18"/>
              </w:rPr>
            </w:pPr>
          </w:p>
        </w:tc>
        <w:tc>
          <w:tcPr>
            <w:tcW w:w="1318" w:type="pct"/>
            <w:tcBorders>
              <w:top w:val="nil"/>
              <w:left w:val="nil"/>
              <w:bottom w:val="nil"/>
              <w:right w:val="nil"/>
            </w:tcBorders>
            <w:noWrap/>
            <w:vAlign w:val="bottom"/>
          </w:tcPr>
          <w:p>
            <w:pPr>
              <w:rPr>
                <w:rFonts w:ascii="Arial" w:hAnsi="Arial" w:cs="Arial"/>
                <w:color w:val="000000"/>
                <w:sz w:val="18"/>
                <w:szCs w:val="18"/>
              </w:rPr>
            </w:pPr>
          </w:p>
        </w:tc>
        <w:tc>
          <w:tcPr>
            <w:tcW w:w="236" w:type="pct"/>
            <w:tcBorders>
              <w:top w:val="nil"/>
              <w:left w:val="nil"/>
              <w:bottom w:val="nil"/>
              <w:right w:val="nil"/>
            </w:tcBorders>
            <w:noWrap/>
            <w:vAlign w:val="bottom"/>
          </w:tcPr>
          <w:p>
            <w:pPr>
              <w:rPr>
                <w:rFonts w:ascii="Arial" w:hAnsi="Arial" w:cs="Arial"/>
                <w:color w:val="000000"/>
                <w:sz w:val="18"/>
                <w:szCs w:val="18"/>
              </w:rPr>
            </w:pPr>
          </w:p>
        </w:tc>
        <w:tc>
          <w:tcPr>
            <w:tcW w:w="349" w:type="pct"/>
            <w:tcBorders>
              <w:top w:val="nil"/>
              <w:left w:val="nil"/>
              <w:bottom w:val="nil"/>
              <w:right w:val="nil"/>
            </w:tcBorders>
            <w:noWrap/>
            <w:vAlign w:val="bottom"/>
          </w:tcPr>
          <w:p>
            <w:pPr>
              <w:rPr>
                <w:rFonts w:ascii="Arial" w:hAnsi="Arial" w:cs="Arial"/>
                <w:color w:val="000000"/>
                <w:sz w:val="18"/>
                <w:szCs w:val="18"/>
              </w:rPr>
            </w:pPr>
          </w:p>
        </w:tc>
        <w:tc>
          <w:tcPr>
            <w:tcW w:w="396" w:type="pct"/>
            <w:tcBorders>
              <w:top w:val="nil"/>
              <w:left w:val="nil"/>
              <w:bottom w:val="nil"/>
              <w:right w:val="nil"/>
            </w:tcBorders>
            <w:noWrap/>
            <w:vAlign w:val="bottom"/>
          </w:tcPr>
          <w:p>
            <w:pPr>
              <w:rPr>
                <w:rFonts w:ascii="Arial" w:hAnsi="Arial" w:cs="Arial"/>
                <w:color w:val="000000"/>
                <w:sz w:val="18"/>
                <w:szCs w:val="18"/>
              </w:rPr>
            </w:pPr>
          </w:p>
        </w:tc>
        <w:tc>
          <w:tcPr>
            <w:tcW w:w="725"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公开04表</w:t>
            </w:r>
          </w:p>
        </w:tc>
      </w:tr>
      <w:tr>
        <w:tblPrEx>
          <w:tblCellMar>
            <w:top w:w="0" w:type="dxa"/>
            <w:left w:w="108" w:type="dxa"/>
            <w:bottom w:w="0" w:type="dxa"/>
            <w:right w:w="108" w:type="dxa"/>
          </w:tblCellMar>
        </w:tblPrEx>
        <w:trPr>
          <w:trHeight w:val="260" w:hRule="atLeast"/>
        </w:trPr>
        <w:tc>
          <w:tcPr>
            <w:tcW w:w="1369" w:type="pct"/>
            <w:tcBorders>
              <w:top w:val="nil"/>
              <w:left w:val="nil"/>
              <w:bottom w:val="nil"/>
              <w:right w:val="nil"/>
            </w:tcBorders>
            <w:noWrap/>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：许昌市生态环境综合行政执法支队</w:t>
            </w:r>
          </w:p>
        </w:tc>
        <w:tc>
          <w:tcPr>
            <w:tcW w:w="180" w:type="pct"/>
            <w:tcBorders>
              <w:top w:val="nil"/>
              <w:left w:val="nil"/>
              <w:bottom w:val="nil"/>
              <w:right w:val="nil"/>
            </w:tcBorders>
            <w:noWrap/>
            <w:vAlign w:val="bottom"/>
          </w:tcPr>
          <w:p>
            <w:pPr>
              <w:rPr>
                <w:rFonts w:hint="eastAsia" w:ascii="宋体" w:hAnsi="宋体" w:cs="宋体"/>
                <w:color w:val="000000"/>
                <w:sz w:val="18"/>
                <w:szCs w:val="18"/>
              </w:rPr>
            </w:pPr>
          </w:p>
        </w:tc>
        <w:tc>
          <w:tcPr>
            <w:tcW w:w="422" w:type="pct"/>
            <w:tcBorders>
              <w:top w:val="nil"/>
              <w:left w:val="nil"/>
              <w:bottom w:val="nil"/>
              <w:right w:val="nil"/>
            </w:tcBorders>
            <w:noWrap/>
            <w:vAlign w:val="bottom"/>
          </w:tcPr>
          <w:p>
            <w:pPr>
              <w:rPr>
                <w:rFonts w:ascii="Arial" w:hAnsi="Arial" w:cs="Arial"/>
                <w:color w:val="000000"/>
                <w:sz w:val="18"/>
                <w:szCs w:val="18"/>
              </w:rPr>
            </w:pPr>
          </w:p>
        </w:tc>
        <w:tc>
          <w:tcPr>
            <w:tcW w:w="1318" w:type="pct"/>
            <w:tcBorders>
              <w:top w:val="nil"/>
              <w:left w:val="nil"/>
              <w:bottom w:val="nil"/>
              <w:right w:val="nil"/>
            </w:tcBorders>
            <w:noWrap/>
            <w:vAlign w:val="bottom"/>
          </w:tcPr>
          <w:p>
            <w:pPr>
              <w:rPr>
                <w:rFonts w:ascii="Arial" w:hAnsi="Arial" w:cs="Arial"/>
                <w:color w:val="000000"/>
                <w:sz w:val="18"/>
                <w:szCs w:val="18"/>
              </w:rPr>
            </w:pPr>
          </w:p>
        </w:tc>
        <w:tc>
          <w:tcPr>
            <w:tcW w:w="236" w:type="pct"/>
            <w:tcBorders>
              <w:top w:val="nil"/>
              <w:left w:val="nil"/>
              <w:bottom w:val="nil"/>
              <w:right w:val="nil"/>
            </w:tcBorders>
            <w:noWrap/>
            <w:vAlign w:val="bottom"/>
          </w:tcPr>
          <w:p>
            <w:pPr>
              <w:rPr>
                <w:rFonts w:ascii="Arial" w:hAnsi="Arial" w:cs="Arial"/>
                <w:color w:val="000000"/>
                <w:sz w:val="18"/>
                <w:szCs w:val="18"/>
              </w:rPr>
            </w:pPr>
          </w:p>
        </w:tc>
        <w:tc>
          <w:tcPr>
            <w:tcW w:w="349" w:type="pct"/>
            <w:tcBorders>
              <w:top w:val="nil"/>
              <w:left w:val="nil"/>
              <w:bottom w:val="nil"/>
              <w:right w:val="nil"/>
            </w:tcBorders>
            <w:noWrap/>
            <w:vAlign w:val="bottom"/>
          </w:tcPr>
          <w:p>
            <w:pPr>
              <w:rPr>
                <w:rFonts w:ascii="Arial" w:hAnsi="Arial" w:cs="Arial"/>
                <w:color w:val="000000"/>
                <w:sz w:val="18"/>
                <w:szCs w:val="18"/>
              </w:rPr>
            </w:pPr>
          </w:p>
        </w:tc>
        <w:tc>
          <w:tcPr>
            <w:tcW w:w="396" w:type="pct"/>
            <w:tcBorders>
              <w:top w:val="nil"/>
              <w:left w:val="nil"/>
              <w:bottom w:val="nil"/>
              <w:right w:val="nil"/>
            </w:tcBorders>
            <w:noWrap/>
            <w:vAlign w:val="bottom"/>
          </w:tcPr>
          <w:p>
            <w:pPr>
              <w:rPr>
                <w:rFonts w:ascii="Arial" w:hAnsi="Arial" w:cs="Arial"/>
                <w:color w:val="000000"/>
                <w:sz w:val="18"/>
                <w:szCs w:val="18"/>
              </w:rPr>
            </w:pPr>
          </w:p>
        </w:tc>
        <w:tc>
          <w:tcPr>
            <w:tcW w:w="725"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1972"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     入</w:t>
            </w:r>
          </w:p>
        </w:tc>
        <w:tc>
          <w:tcPr>
            <w:tcW w:w="3027" w:type="pct"/>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     出</w:t>
            </w:r>
          </w:p>
        </w:tc>
      </w:tr>
      <w:tr>
        <w:tblPrEx>
          <w:tblCellMar>
            <w:top w:w="0" w:type="dxa"/>
            <w:left w:w="108" w:type="dxa"/>
            <w:bottom w:w="0" w:type="dxa"/>
            <w:right w:w="108" w:type="dxa"/>
          </w:tblCellMar>
        </w:tblPrEx>
        <w:trPr>
          <w:trHeight w:val="312" w:hRule="atLeast"/>
        </w:trPr>
        <w:tc>
          <w:tcPr>
            <w:tcW w:w="1369" w:type="pct"/>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80"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422"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1318"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236"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349" w:type="pct"/>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396"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一般公共预算财政拨款</w:t>
            </w:r>
          </w:p>
        </w:tc>
        <w:tc>
          <w:tcPr>
            <w:tcW w:w="373"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政府性基金预算财政拨款</w:t>
            </w:r>
          </w:p>
        </w:tc>
        <w:tc>
          <w:tcPr>
            <w:tcW w:w="352"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国有资本经营预算财政拨款</w:t>
            </w:r>
          </w:p>
        </w:tc>
      </w:tr>
      <w:tr>
        <w:tblPrEx>
          <w:tblCellMar>
            <w:top w:w="0" w:type="dxa"/>
            <w:left w:w="108" w:type="dxa"/>
            <w:bottom w:w="0" w:type="dxa"/>
            <w:right w:w="108" w:type="dxa"/>
          </w:tblCellMar>
        </w:tblPrEx>
        <w:trPr>
          <w:trHeight w:val="615" w:hRule="atLeast"/>
        </w:trPr>
        <w:tc>
          <w:tcPr>
            <w:tcW w:w="1369"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8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2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1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3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4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39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7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5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80" w:type="pct"/>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42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318"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236" w:type="pct"/>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34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39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373"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35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一、一般公共预算财政拨款</w:t>
            </w: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42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410.04</w:t>
            </w: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一、一般公共服务支出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33</w:t>
            </w:r>
          </w:p>
        </w:tc>
        <w:tc>
          <w:tcPr>
            <w:tcW w:w="349"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4.32</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4.32</w:t>
            </w: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二、政府性基金预算财政拨款</w:t>
            </w: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二、外交支出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34</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三、国有资本经营财政拨款</w:t>
            </w: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三、国防支出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35</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四、公共安全支出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36</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五、教育支出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37</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六、科学技术支出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38</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七、文化旅游体育与传媒支出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39</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八、社会保障和就业支出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w:t>
            </w:r>
          </w:p>
        </w:tc>
        <w:tc>
          <w:tcPr>
            <w:tcW w:w="349"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42.93</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42.93</w:t>
            </w: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九、卫生健康支出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41</w:t>
            </w:r>
          </w:p>
        </w:tc>
        <w:tc>
          <w:tcPr>
            <w:tcW w:w="349"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19.41</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19.41</w:t>
            </w: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十、节能环保支出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42</w:t>
            </w:r>
          </w:p>
        </w:tc>
        <w:tc>
          <w:tcPr>
            <w:tcW w:w="349"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610.07</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610.07</w:t>
            </w: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十一、城乡社区支出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十二、农林水支出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44</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十三、交通运输支出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45</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14</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十四、资源勘探工业信息等支出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46</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十五、商业服务业等支出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16</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十六、金融支出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48</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17</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十七、援助其他地区支出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49</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18</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十八、自然资源海洋气象等支出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50</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19</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十九、住房保障支出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51</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二十、粮油物资储备支出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52</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21</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二十一、国有资本经营预算支出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53</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22</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二十二、灾害防治及应急管理支出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23</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二十三、其他支出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55</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b/>
                <w:bCs/>
                <w:color w:val="000000"/>
                <w:sz w:val="20"/>
                <w:szCs w:val="20"/>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24</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二十四、债务还本支出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56</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25</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二十五、债务付息支出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57</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26</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二十六、抗疫特别国债安排的支出</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58</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本年收入合计</w:t>
            </w: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27</w:t>
            </w:r>
          </w:p>
        </w:tc>
        <w:tc>
          <w:tcPr>
            <w:tcW w:w="42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410.04</w:t>
            </w:r>
          </w:p>
        </w:tc>
        <w:tc>
          <w:tcPr>
            <w:tcW w:w="1318"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本年支出合计</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59</w:t>
            </w:r>
          </w:p>
        </w:tc>
        <w:tc>
          <w:tcPr>
            <w:tcW w:w="349"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676.73</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676.73</w:t>
            </w: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年初财政拨款结转和结余</w:t>
            </w: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28</w:t>
            </w:r>
          </w:p>
        </w:tc>
        <w:tc>
          <w:tcPr>
            <w:tcW w:w="42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266.69</w:t>
            </w:r>
          </w:p>
        </w:tc>
        <w:tc>
          <w:tcPr>
            <w:tcW w:w="131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年末财政拨款结转和结余</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60</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一般公共预算财政拨款</w:t>
            </w: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29</w:t>
            </w:r>
          </w:p>
        </w:tc>
        <w:tc>
          <w:tcPr>
            <w:tcW w:w="42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266.69</w:t>
            </w:r>
          </w:p>
        </w:tc>
        <w:tc>
          <w:tcPr>
            <w:tcW w:w="131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61</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政府性基金预算财政拨款</w:t>
            </w: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62</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国有资本经营预算财政拨款</w:t>
            </w:r>
          </w:p>
        </w:tc>
        <w:tc>
          <w:tcPr>
            <w:tcW w:w="18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31</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31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63</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69"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总计</w:t>
            </w:r>
          </w:p>
        </w:tc>
        <w:tc>
          <w:tcPr>
            <w:tcW w:w="180" w:type="pct"/>
            <w:tcBorders>
              <w:top w:val="nil"/>
              <w:left w:val="nil"/>
              <w:bottom w:val="single" w:color="000000" w:sz="8"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32</w:t>
            </w:r>
          </w:p>
        </w:tc>
        <w:tc>
          <w:tcPr>
            <w:tcW w:w="422"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676.73</w:t>
            </w:r>
          </w:p>
        </w:tc>
        <w:tc>
          <w:tcPr>
            <w:tcW w:w="1318"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总计</w:t>
            </w:r>
          </w:p>
        </w:tc>
        <w:tc>
          <w:tcPr>
            <w:tcW w:w="23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64</w:t>
            </w:r>
          </w:p>
        </w:tc>
        <w:tc>
          <w:tcPr>
            <w:tcW w:w="349"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676.73</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676.73</w:t>
            </w:r>
          </w:p>
        </w:tc>
        <w:tc>
          <w:tcPr>
            <w:tcW w:w="37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5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585" w:hRule="atLeast"/>
        </w:trPr>
        <w:tc>
          <w:tcPr>
            <w:tcW w:w="5000" w:type="pct"/>
            <w:gridSpan w:val="9"/>
            <w:tcBorders>
              <w:top w:val="nil"/>
              <w:left w:val="nil"/>
              <w:bottom w:val="nil"/>
              <w:right w:val="nil"/>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5000" w:type="pct"/>
        <w:tblInd w:w="0" w:type="dxa"/>
        <w:tblLayout w:type="autofit"/>
        <w:tblCellMar>
          <w:top w:w="0" w:type="dxa"/>
          <w:left w:w="108" w:type="dxa"/>
          <w:bottom w:w="0" w:type="dxa"/>
          <w:right w:w="108" w:type="dxa"/>
        </w:tblCellMar>
      </w:tblPr>
      <w:tblGrid>
        <w:gridCol w:w="1412"/>
        <w:gridCol w:w="5706"/>
        <w:gridCol w:w="2339"/>
        <w:gridCol w:w="2225"/>
        <w:gridCol w:w="2492"/>
      </w:tblGrid>
      <w:tr>
        <w:tblPrEx>
          <w:tblCellMar>
            <w:top w:w="0" w:type="dxa"/>
            <w:left w:w="108" w:type="dxa"/>
            <w:bottom w:w="0" w:type="dxa"/>
            <w:right w:w="108" w:type="dxa"/>
          </w:tblCellMar>
        </w:tblPrEx>
        <w:trPr>
          <w:trHeight w:val="559" w:hRule="atLeast"/>
        </w:trPr>
        <w:tc>
          <w:tcPr>
            <w:tcW w:w="5000" w:type="pct"/>
            <w:gridSpan w:val="5"/>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一般公共预算财政拨款支出决算表</w:t>
            </w:r>
          </w:p>
        </w:tc>
      </w:tr>
      <w:tr>
        <w:tblPrEx>
          <w:tblCellMar>
            <w:top w:w="0" w:type="dxa"/>
            <w:left w:w="108" w:type="dxa"/>
            <w:bottom w:w="0" w:type="dxa"/>
            <w:right w:w="108" w:type="dxa"/>
          </w:tblCellMar>
        </w:tblPrEx>
        <w:trPr>
          <w:trHeight w:val="280" w:hRule="atLeast"/>
        </w:trPr>
        <w:tc>
          <w:tcPr>
            <w:tcW w:w="2511" w:type="pct"/>
            <w:gridSpan w:val="2"/>
            <w:tcBorders>
              <w:top w:val="nil"/>
              <w:left w:val="nil"/>
              <w:bottom w:val="nil"/>
              <w:right w:val="nil"/>
            </w:tcBorders>
            <w:noWrap/>
            <w:vAlign w:val="bottom"/>
          </w:tcPr>
          <w:p>
            <w:pPr>
              <w:jc w:val="center"/>
              <w:rPr>
                <w:rFonts w:hint="eastAsia" w:ascii="Arial" w:hAnsi="Arial" w:cs="Arial"/>
                <w:color w:val="000000"/>
                <w:sz w:val="18"/>
                <w:szCs w:val="18"/>
              </w:rPr>
            </w:pPr>
          </w:p>
        </w:tc>
        <w:tc>
          <w:tcPr>
            <w:tcW w:w="825" w:type="pct"/>
            <w:tcBorders>
              <w:top w:val="nil"/>
              <w:left w:val="nil"/>
              <w:bottom w:val="nil"/>
              <w:right w:val="nil"/>
            </w:tcBorders>
            <w:noWrap/>
            <w:vAlign w:val="bottom"/>
          </w:tcPr>
          <w:p>
            <w:pPr>
              <w:rPr>
                <w:rFonts w:ascii="Arial" w:hAnsi="Arial" w:cs="Arial"/>
                <w:color w:val="000000"/>
                <w:sz w:val="18"/>
                <w:szCs w:val="18"/>
              </w:rPr>
            </w:pPr>
          </w:p>
        </w:tc>
        <w:tc>
          <w:tcPr>
            <w:tcW w:w="1663"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公开05表</w:t>
            </w:r>
          </w:p>
        </w:tc>
      </w:tr>
      <w:tr>
        <w:tblPrEx>
          <w:tblCellMar>
            <w:top w:w="0" w:type="dxa"/>
            <w:left w:w="108" w:type="dxa"/>
            <w:bottom w:w="0" w:type="dxa"/>
            <w:right w:w="108" w:type="dxa"/>
          </w:tblCellMar>
        </w:tblPrEx>
        <w:trPr>
          <w:trHeight w:val="280" w:hRule="atLeast"/>
        </w:trPr>
        <w:tc>
          <w:tcPr>
            <w:tcW w:w="2511" w:type="pct"/>
            <w:gridSpan w:val="2"/>
            <w:tcBorders>
              <w:top w:val="nil"/>
              <w:left w:val="nil"/>
              <w:bottom w:val="nil"/>
              <w:right w:val="nil"/>
            </w:tcBorders>
            <w:noWrap/>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：许昌市生态环境综合行政执法支队</w:t>
            </w:r>
          </w:p>
        </w:tc>
        <w:tc>
          <w:tcPr>
            <w:tcW w:w="825" w:type="pct"/>
            <w:tcBorders>
              <w:top w:val="nil"/>
              <w:left w:val="nil"/>
              <w:bottom w:val="nil"/>
              <w:right w:val="nil"/>
            </w:tcBorders>
            <w:noWrap/>
            <w:vAlign w:val="bottom"/>
          </w:tcPr>
          <w:p>
            <w:pPr>
              <w:rPr>
                <w:rFonts w:ascii="Arial" w:hAnsi="Arial" w:cs="Arial"/>
                <w:color w:val="000000"/>
                <w:sz w:val="18"/>
                <w:szCs w:val="18"/>
              </w:rPr>
            </w:pPr>
          </w:p>
        </w:tc>
        <w:tc>
          <w:tcPr>
            <w:tcW w:w="1663"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289" w:hRule="atLeast"/>
        </w:trPr>
        <w:tc>
          <w:tcPr>
            <w:tcW w:w="2511"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2488" w:type="pct"/>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r>
      <w:tr>
        <w:tblPrEx>
          <w:tblCellMar>
            <w:top w:w="0" w:type="dxa"/>
            <w:left w:w="108" w:type="dxa"/>
            <w:bottom w:w="0" w:type="dxa"/>
            <w:right w:w="108" w:type="dxa"/>
          </w:tblCellMar>
        </w:tblPrEx>
        <w:trPr>
          <w:trHeight w:val="312" w:hRule="atLeast"/>
        </w:trPr>
        <w:tc>
          <w:tcPr>
            <w:tcW w:w="498" w:type="pct"/>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2012" w:type="pct"/>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825"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785"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878"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r>
      <w:tr>
        <w:tblPrEx>
          <w:tblCellMar>
            <w:top w:w="0" w:type="dxa"/>
            <w:left w:w="108" w:type="dxa"/>
            <w:bottom w:w="0" w:type="dxa"/>
            <w:right w:w="108" w:type="dxa"/>
          </w:tblCellMar>
        </w:tblPrEx>
        <w:trPr>
          <w:trHeight w:val="312" w:hRule="atLeast"/>
        </w:trPr>
        <w:tc>
          <w:tcPr>
            <w:tcW w:w="498"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012"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82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78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7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498"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012"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82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78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7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289" w:hRule="atLeast"/>
        </w:trPr>
        <w:tc>
          <w:tcPr>
            <w:tcW w:w="2511" w:type="pct"/>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825"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785"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878"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r>
      <w:tr>
        <w:tblPrEx>
          <w:tblCellMar>
            <w:top w:w="0" w:type="dxa"/>
            <w:left w:w="108" w:type="dxa"/>
            <w:bottom w:w="0" w:type="dxa"/>
            <w:right w:w="108" w:type="dxa"/>
          </w:tblCellMar>
        </w:tblPrEx>
        <w:trPr>
          <w:trHeight w:val="289" w:hRule="atLeast"/>
        </w:trPr>
        <w:tc>
          <w:tcPr>
            <w:tcW w:w="2511" w:type="pct"/>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676.73</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433.99</w:t>
            </w:r>
          </w:p>
        </w:tc>
        <w:tc>
          <w:tcPr>
            <w:tcW w:w="87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242.74</w:t>
            </w: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4.32</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4.32</w:t>
            </w:r>
          </w:p>
        </w:tc>
        <w:tc>
          <w:tcPr>
            <w:tcW w:w="87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20101</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人大事务</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w:t>
            </w:r>
          </w:p>
        </w:tc>
        <w:tc>
          <w:tcPr>
            <w:tcW w:w="87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2010101</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行政运行</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w:t>
            </w:r>
          </w:p>
        </w:tc>
        <w:tc>
          <w:tcPr>
            <w:tcW w:w="87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群众团体事务</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1.65</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1.65</w:t>
            </w:r>
          </w:p>
        </w:tc>
        <w:tc>
          <w:tcPr>
            <w:tcW w:w="87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2012906</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工会事务</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1.65</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1.65</w:t>
            </w:r>
          </w:p>
        </w:tc>
        <w:tc>
          <w:tcPr>
            <w:tcW w:w="87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42.93</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42.93</w:t>
            </w:r>
          </w:p>
        </w:tc>
        <w:tc>
          <w:tcPr>
            <w:tcW w:w="87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42.93</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42.93</w:t>
            </w:r>
          </w:p>
        </w:tc>
        <w:tc>
          <w:tcPr>
            <w:tcW w:w="87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2080501</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行政单位离退休</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21.18</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21.18</w:t>
            </w:r>
          </w:p>
        </w:tc>
        <w:tc>
          <w:tcPr>
            <w:tcW w:w="87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21.75</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21.75</w:t>
            </w:r>
          </w:p>
        </w:tc>
        <w:tc>
          <w:tcPr>
            <w:tcW w:w="87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19.41</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19.41</w:t>
            </w:r>
          </w:p>
        </w:tc>
        <w:tc>
          <w:tcPr>
            <w:tcW w:w="87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19.41</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19.41</w:t>
            </w:r>
          </w:p>
        </w:tc>
        <w:tc>
          <w:tcPr>
            <w:tcW w:w="87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2101101</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行政单位医疗</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10.52</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10.52</w:t>
            </w:r>
          </w:p>
        </w:tc>
        <w:tc>
          <w:tcPr>
            <w:tcW w:w="87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2101103</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8.89</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8.89</w:t>
            </w:r>
          </w:p>
        </w:tc>
        <w:tc>
          <w:tcPr>
            <w:tcW w:w="87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节能环保支出</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610.07</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367.33</w:t>
            </w:r>
          </w:p>
        </w:tc>
        <w:tc>
          <w:tcPr>
            <w:tcW w:w="87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242.74</w:t>
            </w: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21101</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环境保护管理事务</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378.57</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367.33</w:t>
            </w:r>
          </w:p>
        </w:tc>
        <w:tc>
          <w:tcPr>
            <w:tcW w:w="87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11.24</w:t>
            </w: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2110101</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行政运行</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378.57</w:t>
            </w:r>
          </w:p>
        </w:tc>
        <w:tc>
          <w:tcPr>
            <w:tcW w:w="78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367.33</w:t>
            </w:r>
          </w:p>
        </w:tc>
        <w:tc>
          <w:tcPr>
            <w:tcW w:w="87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11.24</w:t>
            </w: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21103</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污染防治</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231.51</w:t>
            </w:r>
          </w:p>
        </w:tc>
        <w:tc>
          <w:tcPr>
            <w:tcW w:w="78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87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231.51</w:t>
            </w:r>
          </w:p>
        </w:tc>
      </w:tr>
      <w:tr>
        <w:tblPrEx>
          <w:tblCellMar>
            <w:top w:w="0" w:type="dxa"/>
            <w:left w:w="108" w:type="dxa"/>
            <w:bottom w:w="0" w:type="dxa"/>
            <w:right w:w="108" w:type="dxa"/>
          </w:tblCellMar>
        </w:tblPrEx>
        <w:trPr>
          <w:trHeight w:val="289" w:hRule="atLeast"/>
        </w:trPr>
        <w:tc>
          <w:tcPr>
            <w:tcW w:w="498"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2110301</w:t>
            </w:r>
          </w:p>
        </w:tc>
        <w:tc>
          <w:tcPr>
            <w:tcW w:w="20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大气</w:t>
            </w:r>
          </w:p>
        </w:tc>
        <w:tc>
          <w:tcPr>
            <w:tcW w:w="825"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231.51</w:t>
            </w:r>
          </w:p>
        </w:tc>
        <w:tc>
          <w:tcPr>
            <w:tcW w:w="78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87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231.51</w:t>
            </w:r>
          </w:p>
        </w:tc>
      </w:tr>
      <w:tr>
        <w:tblPrEx>
          <w:tblCellMar>
            <w:top w:w="0" w:type="dxa"/>
            <w:left w:w="108" w:type="dxa"/>
            <w:bottom w:w="0" w:type="dxa"/>
            <w:right w:w="108" w:type="dxa"/>
          </w:tblCellMar>
        </w:tblPrEx>
        <w:trPr>
          <w:trHeight w:val="289" w:hRule="atLeast"/>
        </w:trPr>
        <w:tc>
          <w:tcPr>
            <w:tcW w:w="5000" w:type="pct"/>
            <w:gridSpan w:val="5"/>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5000" w:type="pct"/>
        <w:tblInd w:w="0" w:type="dxa"/>
        <w:tblLayout w:type="fixed"/>
        <w:tblCellMar>
          <w:top w:w="0" w:type="dxa"/>
          <w:left w:w="108" w:type="dxa"/>
          <w:bottom w:w="0" w:type="dxa"/>
          <w:right w:w="108" w:type="dxa"/>
        </w:tblCellMar>
      </w:tblPr>
      <w:tblGrid>
        <w:gridCol w:w="946"/>
        <w:gridCol w:w="2831"/>
        <w:gridCol w:w="904"/>
        <w:gridCol w:w="1170"/>
        <w:gridCol w:w="2400"/>
        <w:gridCol w:w="900"/>
        <w:gridCol w:w="1125"/>
        <w:gridCol w:w="2925"/>
        <w:gridCol w:w="973"/>
      </w:tblGrid>
      <w:tr>
        <w:tblPrEx>
          <w:tblCellMar>
            <w:top w:w="0" w:type="dxa"/>
            <w:left w:w="108" w:type="dxa"/>
            <w:bottom w:w="0" w:type="dxa"/>
            <w:right w:w="108" w:type="dxa"/>
          </w:tblCellMar>
        </w:tblPrEx>
        <w:trPr>
          <w:trHeight w:val="370" w:hRule="atLeast"/>
        </w:trPr>
        <w:tc>
          <w:tcPr>
            <w:tcW w:w="5000" w:type="pct"/>
            <w:gridSpan w:val="9"/>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一般公共预算财政拨款基本支出决算</w:t>
            </w:r>
            <w:r>
              <w:rPr>
                <w:rFonts w:hint="eastAsia" w:ascii="宋体" w:hAnsi="宋体" w:cs="宋体"/>
                <w:color w:val="000000"/>
                <w:kern w:val="0"/>
                <w:sz w:val="30"/>
                <w:szCs w:val="30"/>
                <w:lang w:eastAsia="zh-CN" w:bidi="ar"/>
              </w:rPr>
              <w:t>明细</w:t>
            </w:r>
            <w:r>
              <w:rPr>
                <w:rFonts w:hint="eastAsia" w:ascii="宋体" w:hAnsi="宋体" w:cs="宋体"/>
                <w:color w:val="000000"/>
                <w:kern w:val="0"/>
                <w:sz w:val="30"/>
                <w:szCs w:val="30"/>
                <w:lang w:bidi="ar"/>
              </w:rPr>
              <w:t>表</w:t>
            </w:r>
          </w:p>
        </w:tc>
      </w:tr>
      <w:tr>
        <w:tblPrEx>
          <w:tblCellMar>
            <w:top w:w="0" w:type="dxa"/>
            <w:left w:w="108" w:type="dxa"/>
            <w:bottom w:w="0" w:type="dxa"/>
            <w:right w:w="108" w:type="dxa"/>
          </w:tblCellMar>
        </w:tblPrEx>
        <w:trPr>
          <w:trHeight w:val="250" w:hRule="atLeast"/>
        </w:trPr>
        <w:tc>
          <w:tcPr>
            <w:tcW w:w="1332" w:type="pct"/>
            <w:gridSpan w:val="2"/>
            <w:tcBorders>
              <w:top w:val="nil"/>
              <w:left w:val="nil"/>
              <w:bottom w:val="nil"/>
              <w:right w:val="nil"/>
            </w:tcBorders>
            <w:noWrap/>
            <w:vAlign w:val="bottom"/>
          </w:tcPr>
          <w:p>
            <w:pPr>
              <w:jc w:val="center"/>
              <w:rPr>
                <w:rFonts w:hint="eastAsia" w:ascii="Arial" w:hAnsi="Arial" w:cs="Arial"/>
                <w:color w:val="000000"/>
                <w:sz w:val="18"/>
                <w:szCs w:val="18"/>
              </w:rPr>
            </w:pPr>
          </w:p>
        </w:tc>
        <w:tc>
          <w:tcPr>
            <w:tcW w:w="318" w:type="pct"/>
            <w:tcBorders>
              <w:top w:val="nil"/>
              <w:left w:val="nil"/>
              <w:bottom w:val="nil"/>
              <w:right w:val="nil"/>
            </w:tcBorders>
            <w:noWrap/>
            <w:vAlign w:val="bottom"/>
          </w:tcPr>
          <w:p>
            <w:pPr>
              <w:rPr>
                <w:rFonts w:ascii="Arial" w:hAnsi="Arial" w:cs="Arial"/>
                <w:color w:val="000000"/>
                <w:sz w:val="18"/>
                <w:szCs w:val="18"/>
              </w:rPr>
            </w:pPr>
          </w:p>
        </w:tc>
        <w:tc>
          <w:tcPr>
            <w:tcW w:w="412" w:type="pct"/>
            <w:tcBorders>
              <w:top w:val="nil"/>
              <w:left w:val="nil"/>
              <w:bottom w:val="nil"/>
              <w:right w:val="nil"/>
            </w:tcBorders>
            <w:noWrap/>
            <w:vAlign w:val="bottom"/>
          </w:tcPr>
          <w:p>
            <w:pPr>
              <w:rPr>
                <w:rFonts w:ascii="Arial" w:hAnsi="Arial" w:cs="Arial"/>
                <w:color w:val="000000"/>
                <w:sz w:val="18"/>
                <w:szCs w:val="18"/>
              </w:rPr>
            </w:pPr>
          </w:p>
        </w:tc>
        <w:tc>
          <w:tcPr>
            <w:tcW w:w="846" w:type="pct"/>
            <w:tcBorders>
              <w:top w:val="nil"/>
              <w:left w:val="nil"/>
              <w:bottom w:val="nil"/>
              <w:right w:val="nil"/>
            </w:tcBorders>
            <w:noWrap/>
            <w:vAlign w:val="bottom"/>
          </w:tcPr>
          <w:p>
            <w:pPr>
              <w:rPr>
                <w:rFonts w:ascii="Arial" w:hAnsi="Arial" w:cs="Arial"/>
                <w:color w:val="000000"/>
                <w:sz w:val="18"/>
                <w:szCs w:val="18"/>
              </w:rPr>
            </w:pPr>
          </w:p>
        </w:tc>
        <w:tc>
          <w:tcPr>
            <w:tcW w:w="317" w:type="pct"/>
            <w:tcBorders>
              <w:top w:val="nil"/>
              <w:left w:val="nil"/>
              <w:bottom w:val="nil"/>
              <w:right w:val="nil"/>
            </w:tcBorders>
            <w:noWrap/>
            <w:vAlign w:val="bottom"/>
          </w:tcPr>
          <w:p>
            <w:pPr>
              <w:rPr>
                <w:rFonts w:ascii="Arial" w:hAnsi="Arial" w:cs="Arial"/>
                <w:color w:val="000000"/>
                <w:sz w:val="18"/>
                <w:szCs w:val="18"/>
              </w:rPr>
            </w:pPr>
          </w:p>
        </w:tc>
        <w:tc>
          <w:tcPr>
            <w:tcW w:w="396" w:type="pct"/>
            <w:tcBorders>
              <w:top w:val="nil"/>
              <w:left w:val="nil"/>
              <w:bottom w:val="nil"/>
              <w:right w:val="nil"/>
            </w:tcBorders>
            <w:noWrap/>
            <w:vAlign w:val="bottom"/>
          </w:tcPr>
          <w:p>
            <w:pPr>
              <w:rPr>
                <w:rFonts w:ascii="Arial" w:hAnsi="Arial" w:cs="Arial"/>
                <w:color w:val="000000"/>
                <w:sz w:val="18"/>
                <w:szCs w:val="18"/>
              </w:rPr>
            </w:pPr>
          </w:p>
        </w:tc>
        <w:tc>
          <w:tcPr>
            <w:tcW w:w="1375"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公开06表</w:t>
            </w:r>
          </w:p>
        </w:tc>
      </w:tr>
      <w:tr>
        <w:tblPrEx>
          <w:tblCellMar>
            <w:top w:w="0" w:type="dxa"/>
            <w:left w:w="108" w:type="dxa"/>
            <w:bottom w:w="0" w:type="dxa"/>
            <w:right w:w="108" w:type="dxa"/>
          </w:tblCellMar>
        </w:tblPrEx>
        <w:trPr>
          <w:trHeight w:val="260" w:hRule="atLeast"/>
        </w:trPr>
        <w:tc>
          <w:tcPr>
            <w:tcW w:w="1332" w:type="pct"/>
            <w:gridSpan w:val="2"/>
            <w:tcBorders>
              <w:top w:val="nil"/>
              <w:left w:val="nil"/>
              <w:bottom w:val="nil"/>
              <w:right w:val="nil"/>
            </w:tcBorders>
            <w:noWrap/>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：许昌市生态环境综合行政执法支队</w:t>
            </w:r>
          </w:p>
        </w:tc>
        <w:tc>
          <w:tcPr>
            <w:tcW w:w="318" w:type="pct"/>
            <w:tcBorders>
              <w:top w:val="nil"/>
              <w:left w:val="nil"/>
              <w:bottom w:val="nil"/>
              <w:right w:val="nil"/>
            </w:tcBorders>
            <w:noWrap/>
            <w:vAlign w:val="bottom"/>
          </w:tcPr>
          <w:p>
            <w:pPr>
              <w:rPr>
                <w:rFonts w:ascii="Arial" w:hAnsi="Arial" w:cs="Arial"/>
                <w:color w:val="000000"/>
                <w:sz w:val="18"/>
                <w:szCs w:val="18"/>
              </w:rPr>
            </w:pPr>
          </w:p>
        </w:tc>
        <w:tc>
          <w:tcPr>
            <w:tcW w:w="412" w:type="pct"/>
            <w:tcBorders>
              <w:top w:val="nil"/>
              <w:left w:val="nil"/>
              <w:bottom w:val="nil"/>
              <w:right w:val="nil"/>
            </w:tcBorders>
            <w:noWrap/>
            <w:vAlign w:val="bottom"/>
          </w:tcPr>
          <w:p>
            <w:pPr>
              <w:rPr>
                <w:rFonts w:ascii="Arial" w:hAnsi="Arial" w:cs="Arial"/>
                <w:color w:val="000000"/>
                <w:sz w:val="18"/>
                <w:szCs w:val="18"/>
              </w:rPr>
            </w:pPr>
          </w:p>
        </w:tc>
        <w:tc>
          <w:tcPr>
            <w:tcW w:w="846" w:type="pct"/>
            <w:tcBorders>
              <w:top w:val="nil"/>
              <w:left w:val="nil"/>
              <w:bottom w:val="nil"/>
              <w:right w:val="nil"/>
            </w:tcBorders>
            <w:noWrap/>
            <w:vAlign w:val="bottom"/>
          </w:tcPr>
          <w:p>
            <w:pPr>
              <w:rPr>
                <w:rFonts w:ascii="Arial" w:hAnsi="Arial" w:cs="Arial"/>
                <w:color w:val="000000"/>
                <w:sz w:val="18"/>
                <w:szCs w:val="18"/>
              </w:rPr>
            </w:pPr>
          </w:p>
        </w:tc>
        <w:tc>
          <w:tcPr>
            <w:tcW w:w="317" w:type="pct"/>
            <w:tcBorders>
              <w:top w:val="nil"/>
              <w:left w:val="nil"/>
              <w:bottom w:val="nil"/>
              <w:right w:val="nil"/>
            </w:tcBorders>
            <w:noWrap/>
            <w:vAlign w:val="bottom"/>
          </w:tcPr>
          <w:p>
            <w:pPr>
              <w:rPr>
                <w:rFonts w:ascii="Arial" w:hAnsi="Arial" w:cs="Arial"/>
                <w:color w:val="000000"/>
                <w:sz w:val="18"/>
                <w:szCs w:val="18"/>
              </w:rPr>
            </w:pPr>
          </w:p>
        </w:tc>
        <w:tc>
          <w:tcPr>
            <w:tcW w:w="396" w:type="pct"/>
            <w:tcBorders>
              <w:top w:val="nil"/>
              <w:left w:val="nil"/>
              <w:bottom w:val="nil"/>
              <w:right w:val="nil"/>
            </w:tcBorders>
            <w:noWrap/>
            <w:vAlign w:val="bottom"/>
          </w:tcPr>
          <w:p>
            <w:pPr>
              <w:rPr>
                <w:rFonts w:ascii="Arial" w:hAnsi="Arial" w:cs="Arial"/>
                <w:color w:val="000000"/>
                <w:sz w:val="18"/>
                <w:szCs w:val="18"/>
              </w:rPr>
            </w:pPr>
          </w:p>
        </w:tc>
        <w:tc>
          <w:tcPr>
            <w:tcW w:w="1375"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1651"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w:t>
            </w:r>
          </w:p>
        </w:tc>
        <w:tc>
          <w:tcPr>
            <w:tcW w:w="3348" w:type="pct"/>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w:t>
            </w:r>
          </w:p>
        </w:tc>
      </w:tr>
      <w:tr>
        <w:tblPrEx>
          <w:tblCellMar>
            <w:top w:w="0" w:type="dxa"/>
            <w:left w:w="108" w:type="dxa"/>
            <w:bottom w:w="0" w:type="dxa"/>
            <w:right w:w="108" w:type="dxa"/>
          </w:tblCellMar>
        </w:tblPrEx>
        <w:trPr>
          <w:trHeight w:val="312" w:hRule="atLeast"/>
        </w:trPr>
        <w:tc>
          <w:tcPr>
            <w:tcW w:w="333" w:type="pct"/>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998"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318"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412"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846"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317"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396"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1031"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343"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12" w:hRule="atLeast"/>
        </w:trPr>
        <w:tc>
          <w:tcPr>
            <w:tcW w:w="333"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9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1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1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4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1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9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3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4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工资福利支出</w:t>
            </w:r>
          </w:p>
        </w:tc>
        <w:tc>
          <w:tcPr>
            <w:tcW w:w="31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348.06</w:t>
            </w: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商品和服务支出</w:t>
            </w:r>
          </w:p>
        </w:tc>
        <w:tc>
          <w:tcPr>
            <w:tcW w:w="31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63.92</w:t>
            </w: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债务利息及费用支出</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30101</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基本工资</w:t>
            </w:r>
          </w:p>
        </w:tc>
        <w:tc>
          <w:tcPr>
            <w:tcW w:w="31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93.41</w:t>
            </w: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30201</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办公费</w:t>
            </w:r>
          </w:p>
        </w:tc>
        <w:tc>
          <w:tcPr>
            <w:tcW w:w="31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10.10</w:t>
            </w: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30701</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国内债务付息</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30102</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津贴补贴</w:t>
            </w:r>
          </w:p>
        </w:tc>
        <w:tc>
          <w:tcPr>
            <w:tcW w:w="31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101.21</w:t>
            </w: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30202</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印刷费</w:t>
            </w:r>
          </w:p>
        </w:tc>
        <w:tc>
          <w:tcPr>
            <w:tcW w:w="31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0.39</w:t>
            </w: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30702</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国外债务付息</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30103</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奖金</w:t>
            </w:r>
          </w:p>
        </w:tc>
        <w:tc>
          <w:tcPr>
            <w:tcW w:w="31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90.47</w:t>
            </w: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30203</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咨询费</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资本性支出</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30106</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伙食补助费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30204</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手续费</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31001</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房屋建筑物购建</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30107</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绩效工资</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30205</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水费</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31002</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办公设备购置</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30108</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机关事业单位基本养老保险缴费</w:t>
            </w:r>
          </w:p>
        </w:tc>
        <w:tc>
          <w:tcPr>
            <w:tcW w:w="31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21.75</w:t>
            </w: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30206</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电费</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31003</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专用设备购置</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30109</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职业年金缴费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30207</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邮电费</w:t>
            </w:r>
          </w:p>
        </w:tc>
        <w:tc>
          <w:tcPr>
            <w:tcW w:w="31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1.18</w:t>
            </w: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31005</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基础设施建设</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30110</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职工基本医疗保险缴费</w:t>
            </w:r>
          </w:p>
        </w:tc>
        <w:tc>
          <w:tcPr>
            <w:tcW w:w="31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10.90</w:t>
            </w: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30208</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取暖费</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31006</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大型修缮</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30111</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公务员医疗补助缴费</w:t>
            </w:r>
          </w:p>
        </w:tc>
        <w:tc>
          <w:tcPr>
            <w:tcW w:w="31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8.89</w:t>
            </w: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30209</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物业管理费</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31007</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信息网络及软件购置更新</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30112</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其他社会保障缴费</w:t>
            </w:r>
          </w:p>
        </w:tc>
        <w:tc>
          <w:tcPr>
            <w:tcW w:w="31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0.15</w:t>
            </w: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30211</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差旅费</w:t>
            </w:r>
          </w:p>
        </w:tc>
        <w:tc>
          <w:tcPr>
            <w:tcW w:w="31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10.42</w:t>
            </w: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31008</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物资储备</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30113</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住房公积金</w:t>
            </w:r>
          </w:p>
        </w:tc>
        <w:tc>
          <w:tcPr>
            <w:tcW w:w="31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21.19</w:t>
            </w: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30212</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因公出国（境）费用</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31009</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土地补偿</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30114</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30213</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维修（护）费</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31010</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安置补助</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30199</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其他工资福利支出</w:t>
            </w:r>
          </w:p>
        </w:tc>
        <w:tc>
          <w:tcPr>
            <w:tcW w:w="31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0.08</w:t>
            </w: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30214</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租赁费</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31011</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地上附着物和青苗补偿</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对个人和家庭的补助</w:t>
            </w:r>
          </w:p>
        </w:tc>
        <w:tc>
          <w:tcPr>
            <w:tcW w:w="31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22.00</w:t>
            </w: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30215</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会议费</w:t>
            </w:r>
          </w:p>
        </w:tc>
        <w:tc>
          <w:tcPr>
            <w:tcW w:w="31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1.77</w:t>
            </w: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31012</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拆迁补偿</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30301</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离休费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30216</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培训费</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31013</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公务用车购置</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30302</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退休费</w:t>
            </w:r>
          </w:p>
        </w:tc>
        <w:tc>
          <w:tcPr>
            <w:tcW w:w="31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21.18</w:t>
            </w: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30217</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公务接待费</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31019</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其他交通工具购置</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30303</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退职（役）费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30218</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专用材料费</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31021</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文物和陈列品购置</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30304</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抚恤金</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30224</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被装购置费</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31022</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无形资产购置</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30305</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生活补助</w:t>
            </w:r>
          </w:p>
        </w:tc>
        <w:tc>
          <w:tcPr>
            <w:tcW w:w="31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0.82</w:t>
            </w: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30225</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专用燃料费</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31099</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其他资本性支出</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30306</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救济费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30226</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劳务费</w:t>
            </w:r>
          </w:p>
        </w:tc>
        <w:tc>
          <w:tcPr>
            <w:tcW w:w="31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10.83</w:t>
            </w: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其他支出</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30307</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医疗费补助</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30227</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委托业务费</w:t>
            </w:r>
          </w:p>
        </w:tc>
        <w:tc>
          <w:tcPr>
            <w:tcW w:w="31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0.85</w:t>
            </w: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39906</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赠与</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30308</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助学金</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30228</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工会经费</w:t>
            </w:r>
          </w:p>
        </w:tc>
        <w:tc>
          <w:tcPr>
            <w:tcW w:w="31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1.65</w:t>
            </w: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39907</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国家赔偿费用支出</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30309</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奖励金</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30229</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福利费</w:t>
            </w:r>
          </w:p>
        </w:tc>
        <w:tc>
          <w:tcPr>
            <w:tcW w:w="31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2.80</w:t>
            </w: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39908</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对民间非营利组织和群众性自治组织补贴</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30310</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个人农业生产补贴</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30231</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公务用车运行维护费</w:t>
            </w:r>
          </w:p>
        </w:tc>
        <w:tc>
          <w:tcPr>
            <w:tcW w:w="31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4.51</w:t>
            </w:r>
          </w:p>
        </w:tc>
        <w:tc>
          <w:tcPr>
            <w:tcW w:w="39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39999</w:t>
            </w:r>
          </w:p>
        </w:tc>
        <w:tc>
          <w:tcPr>
            <w:tcW w:w="1031"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其他支出</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30311</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代缴社会保险费</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30239</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其他交通费用</w:t>
            </w:r>
          </w:p>
        </w:tc>
        <w:tc>
          <w:tcPr>
            <w:tcW w:w="31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18.40</w:t>
            </w:r>
          </w:p>
        </w:tc>
        <w:tc>
          <w:tcPr>
            <w:tcW w:w="396"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031"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30399</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其他对个人和家庭的补助</w:t>
            </w: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30240</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税金及附加费用</w:t>
            </w:r>
          </w:p>
        </w:tc>
        <w:tc>
          <w:tcPr>
            <w:tcW w:w="31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031"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33"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99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1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12"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30299</w:t>
            </w:r>
          </w:p>
        </w:tc>
        <w:tc>
          <w:tcPr>
            <w:tcW w:w="846"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其他商品和服务支出</w:t>
            </w:r>
          </w:p>
        </w:tc>
        <w:tc>
          <w:tcPr>
            <w:tcW w:w="317"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1.02</w:t>
            </w:r>
          </w:p>
        </w:tc>
        <w:tc>
          <w:tcPr>
            <w:tcW w:w="396"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1031"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32" w:type="pct"/>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人员经费合计</w:t>
            </w:r>
          </w:p>
        </w:tc>
        <w:tc>
          <w:tcPr>
            <w:tcW w:w="31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370.06</w:t>
            </w:r>
          </w:p>
        </w:tc>
        <w:tc>
          <w:tcPr>
            <w:tcW w:w="3005" w:type="pct"/>
            <w:gridSpan w:val="5"/>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公用经费合计</w:t>
            </w:r>
          </w:p>
        </w:tc>
        <w:tc>
          <w:tcPr>
            <w:tcW w:w="34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63.92</w:t>
            </w:r>
          </w:p>
        </w:tc>
      </w:tr>
      <w:tr>
        <w:tblPrEx>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本年度一般公共预算财政拨款基本支出明细情况。本表金额转换为万元时，因四舍五入可能存在尾差。</w:t>
            </w:r>
          </w:p>
        </w:tc>
      </w:tr>
    </w:tbl>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5000" w:type="pct"/>
        <w:tblInd w:w="0" w:type="dxa"/>
        <w:tblLayout w:type="autofit"/>
        <w:tblCellMar>
          <w:top w:w="0" w:type="dxa"/>
          <w:left w:w="108" w:type="dxa"/>
          <w:bottom w:w="0" w:type="dxa"/>
          <w:right w:w="108" w:type="dxa"/>
        </w:tblCellMar>
      </w:tblPr>
      <w:tblGrid>
        <w:gridCol w:w="1103"/>
        <w:gridCol w:w="1226"/>
        <w:gridCol w:w="1114"/>
        <w:gridCol w:w="1178"/>
        <w:gridCol w:w="1184"/>
        <w:gridCol w:w="1290"/>
        <w:gridCol w:w="1103"/>
        <w:gridCol w:w="1133"/>
        <w:gridCol w:w="1072"/>
        <w:gridCol w:w="1203"/>
        <w:gridCol w:w="1189"/>
        <w:gridCol w:w="1198"/>
      </w:tblGrid>
      <w:tr>
        <w:tblPrEx>
          <w:tblCellMar>
            <w:top w:w="0" w:type="dxa"/>
            <w:left w:w="108" w:type="dxa"/>
            <w:bottom w:w="0" w:type="dxa"/>
            <w:right w:w="108" w:type="dxa"/>
          </w:tblCellMar>
        </w:tblPrEx>
        <w:trPr>
          <w:trHeight w:val="550" w:hRule="atLeast"/>
        </w:trPr>
        <w:tc>
          <w:tcPr>
            <w:tcW w:w="5000" w:type="pct"/>
            <w:gridSpan w:val="12"/>
            <w:tcBorders>
              <w:top w:val="nil"/>
              <w:left w:val="nil"/>
              <w:bottom w:val="nil"/>
              <w:right w:val="nil"/>
            </w:tcBorders>
            <w:noWrap/>
            <w:vAlign w:val="bottom"/>
          </w:tcPr>
          <w:p>
            <w:pPr>
              <w:widowControl/>
              <w:jc w:val="center"/>
              <w:textAlignment w:val="bottom"/>
              <w:rPr>
                <w:rFonts w:hint="eastAsia" w:ascii="宋体" w:hAnsi="宋体" w:cs="宋体"/>
                <w:color w:val="000000"/>
                <w:sz w:val="44"/>
                <w:szCs w:val="44"/>
              </w:rPr>
            </w:pPr>
            <w:r>
              <w:rPr>
                <w:rFonts w:hint="eastAsia" w:ascii="宋体" w:hAnsi="宋体" w:cs="宋体"/>
                <w:color w:val="000000"/>
                <w:kern w:val="0"/>
                <w:sz w:val="30"/>
                <w:szCs w:val="30"/>
                <w:lang w:bidi="ar"/>
              </w:rPr>
              <w:t>一般公共预算财政拨款“三公”经费支出决算表</w:t>
            </w:r>
          </w:p>
        </w:tc>
      </w:tr>
      <w:tr>
        <w:tblPrEx>
          <w:tblCellMar>
            <w:top w:w="0" w:type="dxa"/>
            <w:left w:w="108" w:type="dxa"/>
            <w:bottom w:w="0" w:type="dxa"/>
            <w:right w:w="108" w:type="dxa"/>
          </w:tblCellMar>
        </w:tblPrEx>
        <w:trPr>
          <w:trHeight w:val="260" w:hRule="atLeast"/>
        </w:trPr>
        <w:tc>
          <w:tcPr>
            <w:tcW w:w="1651" w:type="pct"/>
            <w:gridSpan w:val="4"/>
            <w:tcBorders>
              <w:top w:val="nil"/>
              <w:left w:val="nil"/>
              <w:bottom w:val="nil"/>
              <w:right w:val="nil"/>
            </w:tcBorders>
            <w:noWrap/>
            <w:vAlign w:val="bottom"/>
          </w:tcPr>
          <w:p>
            <w:pPr>
              <w:jc w:val="center"/>
              <w:rPr>
                <w:rFonts w:hint="eastAsia" w:ascii="Arial" w:hAnsi="Arial" w:cs="Arial"/>
                <w:color w:val="000000"/>
                <w:sz w:val="20"/>
                <w:szCs w:val="20"/>
              </w:rPr>
            </w:pPr>
          </w:p>
        </w:tc>
        <w:tc>
          <w:tcPr>
            <w:tcW w:w="423" w:type="pct"/>
            <w:tcBorders>
              <w:top w:val="nil"/>
              <w:left w:val="nil"/>
              <w:bottom w:val="nil"/>
              <w:right w:val="nil"/>
            </w:tcBorders>
            <w:noWrap/>
            <w:vAlign w:val="bottom"/>
          </w:tcPr>
          <w:p>
            <w:pPr>
              <w:rPr>
                <w:rFonts w:ascii="Arial" w:hAnsi="Arial" w:cs="Arial"/>
                <w:color w:val="000000"/>
                <w:sz w:val="20"/>
                <w:szCs w:val="20"/>
              </w:rPr>
            </w:pPr>
          </w:p>
        </w:tc>
        <w:tc>
          <w:tcPr>
            <w:tcW w:w="459" w:type="pct"/>
            <w:tcBorders>
              <w:top w:val="nil"/>
              <w:left w:val="nil"/>
              <w:bottom w:val="nil"/>
              <w:right w:val="nil"/>
            </w:tcBorders>
            <w:noWrap/>
            <w:vAlign w:val="bottom"/>
          </w:tcPr>
          <w:p>
            <w:pPr>
              <w:rPr>
                <w:rFonts w:ascii="Arial" w:hAnsi="Arial" w:cs="Arial"/>
                <w:color w:val="000000"/>
                <w:sz w:val="20"/>
                <w:szCs w:val="20"/>
              </w:rPr>
            </w:pPr>
          </w:p>
        </w:tc>
        <w:tc>
          <w:tcPr>
            <w:tcW w:w="394" w:type="pct"/>
            <w:tcBorders>
              <w:top w:val="nil"/>
              <w:left w:val="nil"/>
              <w:bottom w:val="nil"/>
              <w:right w:val="nil"/>
            </w:tcBorders>
            <w:noWrap/>
            <w:vAlign w:val="bottom"/>
          </w:tcPr>
          <w:p>
            <w:pPr>
              <w:rPr>
                <w:rFonts w:ascii="Arial" w:hAnsi="Arial" w:cs="Arial"/>
                <w:color w:val="000000"/>
                <w:sz w:val="20"/>
                <w:szCs w:val="20"/>
              </w:rPr>
            </w:pPr>
          </w:p>
        </w:tc>
        <w:tc>
          <w:tcPr>
            <w:tcW w:w="405" w:type="pct"/>
            <w:tcBorders>
              <w:top w:val="nil"/>
              <w:left w:val="nil"/>
              <w:bottom w:val="nil"/>
              <w:right w:val="nil"/>
            </w:tcBorders>
            <w:noWrap/>
            <w:vAlign w:val="bottom"/>
          </w:tcPr>
          <w:p>
            <w:pPr>
              <w:rPr>
                <w:rFonts w:ascii="Arial" w:hAnsi="Arial" w:cs="Arial"/>
                <w:color w:val="000000"/>
                <w:sz w:val="20"/>
                <w:szCs w:val="20"/>
              </w:rPr>
            </w:pPr>
          </w:p>
        </w:tc>
        <w:tc>
          <w:tcPr>
            <w:tcW w:w="383" w:type="pct"/>
            <w:tcBorders>
              <w:top w:val="nil"/>
              <w:left w:val="nil"/>
              <w:bottom w:val="nil"/>
              <w:right w:val="nil"/>
            </w:tcBorders>
            <w:noWrap/>
            <w:vAlign w:val="bottom"/>
          </w:tcPr>
          <w:p>
            <w:pPr>
              <w:rPr>
                <w:rFonts w:ascii="Arial" w:hAnsi="Arial" w:cs="Arial"/>
                <w:color w:val="000000"/>
                <w:sz w:val="20"/>
                <w:szCs w:val="20"/>
              </w:rPr>
            </w:pPr>
          </w:p>
        </w:tc>
        <w:tc>
          <w:tcPr>
            <w:tcW w:w="430" w:type="pct"/>
            <w:tcBorders>
              <w:top w:val="nil"/>
              <w:left w:val="nil"/>
              <w:bottom w:val="nil"/>
              <w:right w:val="nil"/>
            </w:tcBorders>
            <w:noWrap/>
            <w:vAlign w:val="bottom"/>
          </w:tcPr>
          <w:p>
            <w:pPr>
              <w:rPr>
                <w:rFonts w:ascii="Arial" w:hAnsi="Arial" w:cs="Arial"/>
                <w:color w:val="000000"/>
                <w:sz w:val="20"/>
                <w:szCs w:val="20"/>
              </w:rPr>
            </w:pPr>
          </w:p>
        </w:tc>
        <w:tc>
          <w:tcPr>
            <w:tcW w:w="849"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公开07表</w:t>
            </w:r>
          </w:p>
        </w:tc>
      </w:tr>
      <w:tr>
        <w:tblPrEx>
          <w:tblCellMar>
            <w:top w:w="0" w:type="dxa"/>
            <w:left w:w="108" w:type="dxa"/>
            <w:bottom w:w="0" w:type="dxa"/>
            <w:right w:w="108" w:type="dxa"/>
          </w:tblCellMar>
        </w:tblPrEx>
        <w:trPr>
          <w:trHeight w:val="260" w:hRule="atLeast"/>
        </w:trPr>
        <w:tc>
          <w:tcPr>
            <w:tcW w:w="1651" w:type="pct"/>
            <w:gridSpan w:val="4"/>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：许昌市生态环境综合行政执法支队</w:t>
            </w:r>
          </w:p>
        </w:tc>
        <w:tc>
          <w:tcPr>
            <w:tcW w:w="423" w:type="pct"/>
            <w:tcBorders>
              <w:top w:val="nil"/>
              <w:left w:val="nil"/>
              <w:bottom w:val="nil"/>
              <w:right w:val="nil"/>
            </w:tcBorders>
            <w:noWrap/>
            <w:vAlign w:val="bottom"/>
          </w:tcPr>
          <w:p>
            <w:pPr>
              <w:rPr>
                <w:rFonts w:ascii="Arial" w:hAnsi="Arial" w:cs="Arial"/>
                <w:color w:val="000000"/>
                <w:sz w:val="20"/>
                <w:szCs w:val="20"/>
              </w:rPr>
            </w:pPr>
          </w:p>
        </w:tc>
        <w:tc>
          <w:tcPr>
            <w:tcW w:w="459" w:type="pct"/>
            <w:tcBorders>
              <w:top w:val="nil"/>
              <w:left w:val="nil"/>
              <w:bottom w:val="nil"/>
              <w:right w:val="nil"/>
            </w:tcBorders>
            <w:noWrap/>
            <w:vAlign w:val="bottom"/>
          </w:tcPr>
          <w:p>
            <w:pPr>
              <w:rPr>
                <w:rFonts w:ascii="Arial" w:hAnsi="Arial" w:cs="Arial"/>
                <w:color w:val="000000"/>
                <w:sz w:val="20"/>
                <w:szCs w:val="20"/>
              </w:rPr>
            </w:pPr>
          </w:p>
        </w:tc>
        <w:tc>
          <w:tcPr>
            <w:tcW w:w="394" w:type="pct"/>
            <w:tcBorders>
              <w:top w:val="nil"/>
              <w:left w:val="nil"/>
              <w:bottom w:val="nil"/>
              <w:right w:val="nil"/>
            </w:tcBorders>
            <w:noWrap/>
            <w:vAlign w:val="bottom"/>
          </w:tcPr>
          <w:p>
            <w:pPr>
              <w:rPr>
                <w:rFonts w:ascii="Arial" w:hAnsi="Arial" w:cs="Arial"/>
                <w:color w:val="000000"/>
                <w:sz w:val="20"/>
                <w:szCs w:val="20"/>
              </w:rPr>
            </w:pPr>
          </w:p>
        </w:tc>
        <w:tc>
          <w:tcPr>
            <w:tcW w:w="405" w:type="pct"/>
            <w:tcBorders>
              <w:top w:val="nil"/>
              <w:left w:val="nil"/>
              <w:bottom w:val="nil"/>
              <w:right w:val="nil"/>
            </w:tcBorders>
            <w:noWrap/>
            <w:vAlign w:val="bottom"/>
          </w:tcPr>
          <w:p>
            <w:pPr>
              <w:rPr>
                <w:rFonts w:ascii="Arial" w:hAnsi="Arial" w:cs="Arial"/>
                <w:color w:val="000000"/>
                <w:sz w:val="20"/>
                <w:szCs w:val="20"/>
              </w:rPr>
            </w:pPr>
          </w:p>
        </w:tc>
        <w:tc>
          <w:tcPr>
            <w:tcW w:w="383" w:type="pct"/>
            <w:tcBorders>
              <w:top w:val="nil"/>
              <w:left w:val="nil"/>
              <w:bottom w:val="nil"/>
              <w:right w:val="nil"/>
            </w:tcBorders>
            <w:noWrap/>
            <w:vAlign w:val="bottom"/>
          </w:tcPr>
          <w:p>
            <w:pPr>
              <w:rPr>
                <w:rFonts w:ascii="Arial" w:hAnsi="Arial" w:cs="Arial"/>
                <w:color w:val="000000"/>
                <w:sz w:val="20"/>
                <w:szCs w:val="20"/>
              </w:rPr>
            </w:pPr>
          </w:p>
        </w:tc>
        <w:tc>
          <w:tcPr>
            <w:tcW w:w="430" w:type="pct"/>
            <w:tcBorders>
              <w:top w:val="nil"/>
              <w:left w:val="nil"/>
              <w:bottom w:val="nil"/>
              <w:right w:val="nil"/>
            </w:tcBorders>
            <w:noWrap/>
            <w:vAlign w:val="bottom"/>
          </w:tcPr>
          <w:p>
            <w:pPr>
              <w:rPr>
                <w:rFonts w:ascii="Arial" w:hAnsi="Arial" w:cs="Arial"/>
                <w:color w:val="000000"/>
                <w:sz w:val="20"/>
                <w:szCs w:val="20"/>
              </w:rPr>
            </w:pPr>
          </w:p>
        </w:tc>
        <w:tc>
          <w:tcPr>
            <w:tcW w:w="849"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2535" w:type="pct"/>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预算数</w:t>
            </w:r>
          </w:p>
        </w:tc>
        <w:tc>
          <w:tcPr>
            <w:tcW w:w="2464" w:type="pct"/>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08" w:hRule="atLeast"/>
        </w:trPr>
        <w:tc>
          <w:tcPr>
            <w:tcW w:w="394" w:type="pct"/>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438"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因公出国（境）费</w:t>
            </w:r>
          </w:p>
        </w:tc>
        <w:tc>
          <w:tcPr>
            <w:tcW w:w="1242" w:type="pct"/>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公务用车购置及运行费</w:t>
            </w:r>
          </w:p>
        </w:tc>
        <w:tc>
          <w:tcPr>
            <w:tcW w:w="459"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公务接待费</w:t>
            </w:r>
          </w:p>
        </w:tc>
        <w:tc>
          <w:tcPr>
            <w:tcW w:w="394"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405"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因公出国（境）费</w:t>
            </w:r>
          </w:p>
        </w:tc>
        <w:tc>
          <w:tcPr>
            <w:tcW w:w="1238" w:type="pct"/>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公务用车购置及运行费</w:t>
            </w:r>
          </w:p>
        </w:tc>
        <w:tc>
          <w:tcPr>
            <w:tcW w:w="425"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公务接待费</w:t>
            </w:r>
          </w:p>
        </w:tc>
      </w:tr>
      <w:tr>
        <w:tblPrEx>
          <w:tblCellMar>
            <w:top w:w="0" w:type="dxa"/>
            <w:left w:w="108" w:type="dxa"/>
            <w:bottom w:w="0" w:type="dxa"/>
            <w:right w:w="108" w:type="dxa"/>
          </w:tblCellMar>
        </w:tblPrEx>
        <w:trPr>
          <w:trHeight w:val="615" w:hRule="atLeast"/>
        </w:trPr>
        <w:tc>
          <w:tcPr>
            <w:tcW w:w="394"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3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98"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420"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公务用车购置费</w:t>
            </w:r>
          </w:p>
        </w:tc>
        <w:tc>
          <w:tcPr>
            <w:tcW w:w="423"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公务用车运行费</w:t>
            </w:r>
          </w:p>
        </w:tc>
        <w:tc>
          <w:tcPr>
            <w:tcW w:w="45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9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0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83"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430"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公务用车购置费</w:t>
            </w:r>
          </w:p>
        </w:tc>
        <w:tc>
          <w:tcPr>
            <w:tcW w:w="424"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公务用车运行费</w:t>
            </w:r>
          </w:p>
        </w:tc>
        <w:tc>
          <w:tcPr>
            <w:tcW w:w="42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94" w:type="pc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438"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398"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420"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423"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59"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394"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405"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383"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430"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424"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425"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r>
      <w:tr>
        <w:tblPrEx>
          <w:tblCellMar>
            <w:top w:w="0" w:type="dxa"/>
            <w:left w:w="108" w:type="dxa"/>
            <w:bottom w:w="0" w:type="dxa"/>
            <w:right w:w="108" w:type="dxa"/>
          </w:tblCellMar>
        </w:tblPrEx>
        <w:trPr>
          <w:trHeight w:val="308" w:hRule="atLeast"/>
        </w:trPr>
        <w:tc>
          <w:tcPr>
            <w:tcW w:w="394" w:type="pct"/>
            <w:tcBorders>
              <w:top w:val="nil"/>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16.70</w:t>
            </w:r>
          </w:p>
        </w:tc>
        <w:tc>
          <w:tcPr>
            <w:tcW w:w="43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98"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16.00</w:t>
            </w:r>
          </w:p>
        </w:tc>
        <w:tc>
          <w:tcPr>
            <w:tcW w:w="42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2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16.00</w:t>
            </w:r>
          </w:p>
        </w:tc>
        <w:tc>
          <w:tcPr>
            <w:tcW w:w="459"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0.70</w:t>
            </w:r>
          </w:p>
        </w:tc>
        <w:tc>
          <w:tcPr>
            <w:tcW w:w="39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4.51</w:t>
            </w:r>
          </w:p>
        </w:tc>
        <w:tc>
          <w:tcPr>
            <w:tcW w:w="40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383"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4.51</w:t>
            </w:r>
          </w:p>
        </w:tc>
        <w:tc>
          <w:tcPr>
            <w:tcW w:w="43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424" w:type="pct"/>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4.51</w:t>
            </w:r>
          </w:p>
        </w:tc>
        <w:tc>
          <w:tcPr>
            <w:tcW w:w="42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5000" w:type="pct"/>
        <w:tblInd w:w="0" w:type="dxa"/>
        <w:tblLayout w:type="autofit"/>
        <w:tblCellMar>
          <w:top w:w="0" w:type="dxa"/>
          <w:left w:w="108" w:type="dxa"/>
          <w:bottom w:w="0" w:type="dxa"/>
          <w:right w:w="108" w:type="dxa"/>
        </w:tblCellMar>
      </w:tblPr>
      <w:tblGrid>
        <w:gridCol w:w="1633"/>
        <w:gridCol w:w="1862"/>
        <w:gridCol w:w="1979"/>
        <w:gridCol w:w="1692"/>
        <w:gridCol w:w="1673"/>
        <w:gridCol w:w="1735"/>
        <w:gridCol w:w="1610"/>
        <w:gridCol w:w="1990"/>
      </w:tblGrid>
      <w:tr>
        <w:tblPrEx>
          <w:tblCellMar>
            <w:top w:w="0" w:type="dxa"/>
            <w:left w:w="108" w:type="dxa"/>
            <w:bottom w:w="0" w:type="dxa"/>
            <w:right w:w="108" w:type="dxa"/>
          </w:tblCellMar>
        </w:tblPrEx>
        <w:trPr>
          <w:trHeight w:val="635" w:hRule="atLeast"/>
        </w:trPr>
        <w:tc>
          <w:tcPr>
            <w:tcW w:w="5000" w:type="pct"/>
            <w:gridSpan w:val="8"/>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政府性基金预算财政拨款收入支出决算表</w:t>
            </w:r>
          </w:p>
        </w:tc>
      </w:tr>
      <w:tr>
        <w:tblPrEx>
          <w:tblCellMar>
            <w:top w:w="0" w:type="dxa"/>
            <w:left w:w="108" w:type="dxa"/>
            <w:bottom w:w="0" w:type="dxa"/>
            <w:right w:w="108" w:type="dxa"/>
          </w:tblCellMar>
        </w:tblPrEx>
        <w:trPr>
          <w:trHeight w:val="317" w:hRule="atLeast"/>
        </w:trPr>
        <w:tc>
          <w:tcPr>
            <w:tcW w:w="1233" w:type="pct"/>
            <w:gridSpan w:val="2"/>
            <w:tcBorders>
              <w:top w:val="nil"/>
              <w:left w:val="nil"/>
              <w:bottom w:val="nil"/>
              <w:right w:val="nil"/>
            </w:tcBorders>
            <w:noWrap/>
            <w:vAlign w:val="bottom"/>
          </w:tcPr>
          <w:p>
            <w:pPr>
              <w:jc w:val="center"/>
              <w:rPr>
                <w:rFonts w:hint="eastAsia" w:ascii="Arial" w:hAnsi="Arial" w:cs="Arial"/>
                <w:color w:val="000000"/>
                <w:sz w:val="20"/>
                <w:szCs w:val="20"/>
              </w:rPr>
            </w:pPr>
          </w:p>
        </w:tc>
        <w:tc>
          <w:tcPr>
            <w:tcW w:w="698" w:type="pct"/>
            <w:tcBorders>
              <w:top w:val="nil"/>
              <w:left w:val="nil"/>
              <w:bottom w:val="nil"/>
              <w:right w:val="nil"/>
            </w:tcBorders>
            <w:noWrap/>
            <w:vAlign w:val="bottom"/>
          </w:tcPr>
          <w:p>
            <w:pPr>
              <w:rPr>
                <w:rFonts w:ascii="Arial" w:hAnsi="Arial" w:cs="Arial"/>
                <w:color w:val="000000"/>
                <w:sz w:val="20"/>
                <w:szCs w:val="20"/>
              </w:rPr>
            </w:pPr>
          </w:p>
        </w:tc>
        <w:tc>
          <w:tcPr>
            <w:tcW w:w="597" w:type="pct"/>
            <w:tcBorders>
              <w:top w:val="nil"/>
              <w:left w:val="nil"/>
              <w:bottom w:val="nil"/>
              <w:right w:val="nil"/>
            </w:tcBorders>
            <w:noWrap/>
            <w:vAlign w:val="bottom"/>
          </w:tcPr>
          <w:p>
            <w:pPr>
              <w:rPr>
                <w:rFonts w:ascii="Arial" w:hAnsi="Arial" w:cs="Arial"/>
                <w:color w:val="000000"/>
                <w:sz w:val="20"/>
                <w:szCs w:val="20"/>
              </w:rPr>
            </w:pPr>
          </w:p>
        </w:tc>
        <w:tc>
          <w:tcPr>
            <w:tcW w:w="590" w:type="pct"/>
            <w:tcBorders>
              <w:top w:val="nil"/>
              <w:left w:val="nil"/>
              <w:bottom w:val="nil"/>
              <w:right w:val="nil"/>
            </w:tcBorders>
            <w:noWrap/>
            <w:vAlign w:val="bottom"/>
          </w:tcPr>
          <w:p>
            <w:pPr>
              <w:rPr>
                <w:rFonts w:ascii="Arial" w:hAnsi="Arial" w:cs="Arial"/>
                <w:color w:val="000000"/>
                <w:sz w:val="20"/>
                <w:szCs w:val="20"/>
              </w:rPr>
            </w:pPr>
          </w:p>
        </w:tc>
        <w:tc>
          <w:tcPr>
            <w:tcW w:w="612" w:type="pct"/>
            <w:tcBorders>
              <w:top w:val="nil"/>
              <w:left w:val="nil"/>
              <w:bottom w:val="nil"/>
              <w:right w:val="nil"/>
            </w:tcBorders>
            <w:noWrap/>
            <w:vAlign w:val="bottom"/>
          </w:tcPr>
          <w:p>
            <w:pPr>
              <w:rPr>
                <w:rFonts w:ascii="Arial" w:hAnsi="Arial" w:cs="Arial"/>
                <w:color w:val="000000"/>
                <w:sz w:val="20"/>
                <w:szCs w:val="20"/>
              </w:rPr>
            </w:pPr>
          </w:p>
        </w:tc>
        <w:tc>
          <w:tcPr>
            <w:tcW w:w="1268"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公开08表</w:t>
            </w:r>
          </w:p>
        </w:tc>
      </w:tr>
      <w:tr>
        <w:tblPrEx>
          <w:tblCellMar>
            <w:top w:w="0" w:type="dxa"/>
            <w:left w:w="108" w:type="dxa"/>
            <w:bottom w:w="0" w:type="dxa"/>
            <w:right w:w="108" w:type="dxa"/>
          </w:tblCellMar>
        </w:tblPrEx>
        <w:trPr>
          <w:trHeight w:val="317" w:hRule="atLeast"/>
        </w:trPr>
        <w:tc>
          <w:tcPr>
            <w:tcW w:w="1233" w:type="pct"/>
            <w:gridSpan w:val="2"/>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：许昌市生态环境综合行政执法支队</w:t>
            </w:r>
          </w:p>
        </w:tc>
        <w:tc>
          <w:tcPr>
            <w:tcW w:w="698" w:type="pct"/>
            <w:tcBorders>
              <w:top w:val="nil"/>
              <w:left w:val="nil"/>
              <w:bottom w:val="nil"/>
              <w:right w:val="nil"/>
            </w:tcBorders>
            <w:noWrap/>
            <w:vAlign w:val="bottom"/>
          </w:tcPr>
          <w:p>
            <w:pPr>
              <w:rPr>
                <w:rFonts w:ascii="Arial" w:hAnsi="Arial" w:cs="Arial"/>
                <w:color w:val="000000"/>
                <w:sz w:val="20"/>
                <w:szCs w:val="20"/>
              </w:rPr>
            </w:pPr>
          </w:p>
        </w:tc>
        <w:tc>
          <w:tcPr>
            <w:tcW w:w="597" w:type="pct"/>
            <w:tcBorders>
              <w:top w:val="nil"/>
              <w:left w:val="nil"/>
              <w:bottom w:val="nil"/>
              <w:right w:val="nil"/>
            </w:tcBorders>
            <w:noWrap/>
            <w:vAlign w:val="bottom"/>
          </w:tcPr>
          <w:p>
            <w:pPr>
              <w:rPr>
                <w:rFonts w:ascii="Arial" w:hAnsi="Arial" w:cs="Arial"/>
                <w:color w:val="000000"/>
                <w:sz w:val="20"/>
                <w:szCs w:val="20"/>
              </w:rPr>
            </w:pPr>
          </w:p>
        </w:tc>
        <w:tc>
          <w:tcPr>
            <w:tcW w:w="590" w:type="pct"/>
            <w:tcBorders>
              <w:top w:val="nil"/>
              <w:left w:val="nil"/>
              <w:bottom w:val="nil"/>
              <w:right w:val="nil"/>
            </w:tcBorders>
            <w:noWrap/>
            <w:vAlign w:val="bottom"/>
          </w:tcPr>
          <w:p>
            <w:pPr>
              <w:rPr>
                <w:rFonts w:ascii="Arial" w:hAnsi="Arial" w:cs="Arial"/>
                <w:color w:val="000000"/>
                <w:sz w:val="20"/>
                <w:szCs w:val="20"/>
              </w:rPr>
            </w:pPr>
          </w:p>
        </w:tc>
        <w:tc>
          <w:tcPr>
            <w:tcW w:w="612" w:type="pct"/>
            <w:tcBorders>
              <w:top w:val="nil"/>
              <w:left w:val="nil"/>
              <w:bottom w:val="nil"/>
              <w:right w:val="nil"/>
            </w:tcBorders>
            <w:noWrap/>
            <w:vAlign w:val="bottom"/>
          </w:tcPr>
          <w:p>
            <w:pPr>
              <w:rPr>
                <w:rFonts w:ascii="Arial" w:hAnsi="Arial" w:cs="Arial"/>
                <w:color w:val="000000"/>
                <w:sz w:val="20"/>
                <w:szCs w:val="20"/>
              </w:rPr>
            </w:pPr>
          </w:p>
        </w:tc>
        <w:tc>
          <w:tcPr>
            <w:tcW w:w="1268"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28" w:hRule="atLeast"/>
        </w:trPr>
        <w:tc>
          <w:tcPr>
            <w:tcW w:w="123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698"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597"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w:t>
            </w:r>
          </w:p>
        </w:tc>
        <w:tc>
          <w:tcPr>
            <w:tcW w:w="1770" w:type="pct"/>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c>
          <w:tcPr>
            <w:tcW w:w="700"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r>
      <w:tr>
        <w:tblPrEx>
          <w:tblCellMar>
            <w:top w:w="0" w:type="dxa"/>
            <w:left w:w="108" w:type="dxa"/>
            <w:bottom w:w="0" w:type="dxa"/>
            <w:right w:w="108" w:type="dxa"/>
          </w:tblCellMar>
        </w:tblPrEx>
        <w:trPr>
          <w:trHeight w:val="328" w:hRule="atLeast"/>
        </w:trPr>
        <w:tc>
          <w:tcPr>
            <w:tcW w:w="576" w:type="pct"/>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657" w:type="pct"/>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69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59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590"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612"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567"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70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28" w:hRule="atLeast"/>
        </w:trPr>
        <w:tc>
          <w:tcPr>
            <w:tcW w:w="576"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657"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69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59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59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61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56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70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28" w:hRule="atLeast"/>
        </w:trPr>
        <w:tc>
          <w:tcPr>
            <w:tcW w:w="576"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657"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rPr>
            </w:pPr>
          </w:p>
        </w:tc>
        <w:tc>
          <w:tcPr>
            <w:tcW w:w="69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59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59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61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56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70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28" w:hRule="atLeast"/>
        </w:trPr>
        <w:tc>
          <w:tcPr>
            <w:tcW w:w="1233" w:type="pct"/>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698"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597"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59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61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567"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00"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28" w:hRule="atLeast"/>
        </w:trPr>
        <w:tc>
          <w:tcPr>
            <w:tcW w:w="1233" w:type="pct"/>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698"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c>
          <w:tcPr>
            <w:tcW w:w="590"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c>
          <w:tcPr>
            <w:tcW w:w="612"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c>
          <w:tcPr>
            <w:tcW w:w="700"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rPr>
            </w:pPr>
          </w:p>
        </w:tc>
      </w:tr>
      <w:tr>
        <w:tblPrEx>
          <w:tblCellMar>
            <w:top w:w="0" w:type="dxa"/>
            <w:left w:w="108" w:type="dxa"/>
            <w:bottom w:w="0" w:type="dxa"/>
            <w:right w:w="108" w:type="dxa"/>
          </w:tblCellMar>
        </w:tblPrEx>
        <w:trPr>
          <w:trHeight w:val="328" w:hRule="atLeast"/>
        </w:trPr>
        <w:tc>
          <w:tcPr>
            <w:tcW w:w="57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657"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69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9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61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70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28" w:hRule="atLeast"/>
        </w:trPr>
        <w:tc>
          <w:tcPr>
            <w:tcW w:w="57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657"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69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9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61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70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28" w:hRule="atLeast"/>
        </w:trPr>
        <w:tc>
          <w:tcPr>
            <w:tcW w:w="57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657"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69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9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61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70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28" w:hRule="atLeast"/>
        </w:trPr>
        <w:tc>
          <w:tcPr>
            <w:tcW w:w="57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657"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69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9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61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70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28" w:hRule="atLeast"/>
        </w:trPr>
        <w:tc>
          <w:tcPr>
            <w:tcW w:w="57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657"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69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9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61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70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28" w:hRule="atLeast"/>
        </w:trPr>
        <w:tc>
          <w:tcPr>
            <w:tcW w:w="57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657"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69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9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9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61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70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751" w:hRule="atLeast"/>
        </w:trPr>
        <w:tc>
          <w:tcPr>
            <w:tcW w:w="5000" w:type="pct"/>
            <w:gridSpan w:val="8"/>
            <w:tcBorders>
              <w:top w:val="nil"/>
              <w:left w:val="nil"/>
              <w:bottom w:val="nil"/>
              <w:right w:val="nil"/>
            </w:tcBorders>
            <w:noWrap/>
            <w:vAlign w:val="center"/>
          </w:tcPr>
          <w:p>
            <w:pPr>
              <w:widowControl/>
              <w:jc w:val="left"/>
              <w:textAlignment w:val="center"/>
              <w:rPr>
                <w:rFonts w:hint="eastAsia" w:ascii="仿宋" w:hAnsi="仿宋" w:eastAsia="仿宋" w:cs="仿宋"/>
                <w:color w:val="000000"/>
                <w:sz w:val="32"/>
                <w:szCs w:val="32"/>
              </w:rPr>
            </w:pPr>
            <w:r>
              <w:rPr>
                <w:rFonts w:hint="eastAsia" w:ascii="宋体" w:hAnsi="宋体" w:eastAsia="宋体" w:cs="宋体"/>
                <w:color w:val="000000"/>
                <w:kern w:val="0"/>
                <w:sz w:val="22"/>
                <w:szCs w:val="22"/>
                <w:lang w:bidi="ar"/>
              </w:rPr>
              <w:t>注：本表反映</w:t>
            </w:r>
            <w:r>
              <w:rPr>
                <w:rFonts w:hint="eastAsia" w:ascii="宋体" w:hAnsi="宋体" w:cs="宋体"/>
                <w:color w:val="000000"/>
                <w:kern w:val="0"/>
                <w:sz w:val="22"/>
                <w:szCs w:val="22"/>
                <w:lang w:eastAsia="zh-CN" w:bidi="ar"/>
              </w:rPr>
              <w:t>单位</w:t>
            </w:r>
            <w:r>
              <w:rPr>
                <w:rFonts w:hint="eastAsia" w:ascii="宋体" w:hAnsi="宋体" w:eastAsia="宋体" w:cs="宋体"/>
                <w:color w:val="000000"/>
                <w:kern w:val="0"/>
                <w:sz w:val="22"/>
                <w:szCs w:val="22"/>
                <w:lang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仿宋" w:hAnsi="仿宋" w:eastAsia="仿宋" w:cs="仿宋"/>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 w:hAnsi="仿宋" w:eastAsia="仿宋" w:cs="仿宋"/>
          <w:sz w:val="32"/>
          <w:szCs w:val="32"/>
        </w:rPr>
        <w:t>说明：我</w:t>
      </w:r>
      <w:r>
        <w:rPr>
          <w:rFonts w:hint="eastAsia" w:ascii="仿宋" w:hAnsi="仿宋" w:eastAsia="仿宋" w:cs="仿宋"/>
          <w:sz w:val="32"/>
          <w:szCs w:val="32"/>
          <w:lang w:eastAsia="zh-CN"/>
        </w:rPr>
        <w:t>单位</w:t>
      </w:r>
      <w:r>
        <w:rPr>
          <w:rFonts w:hint="eastAsia" w:ascii="仿宋" w:hAnsi="仿宋" w:eastAsia="仿宋" w:cs="仿宋"/>
          <w:sz w:val="32"/>
          <w:szCs w:val="32"/>
        </w:rPr>
        <w:t>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FF0000"/>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年度收、支总计均为676.73万元。与上年度相比，收、支总计各减少64.68万元，下降8.72%。主要原因是</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rPr>
        <w:t>项目经费</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410.04万元，其中：财政拨款收入410.04万元，占100%；上级补助收入0.00万元，占0.00%；事业收入0.00万元，占0.00%；经营收入0.00万元，占0.00%；附属单位上缴收入0.00万元，占0.00%；其他收入0.00万元，占0.00%。</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年度支出合计676.73万元，其中：基本支出433.99万元，占64.13%；项目支出242.74万元，占35.87%；上缴上级支出0.00万元，占0.00%；经营支出0.00万元，占0.00%；对附属单位补助支出0.00万元，占0.00%。</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年度财政拨款收、支总计均为676.73万元。与上年度相比，财政拨款收、支总计各减少64.68万元，下降8.72%。主要原因是</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rPr>
        <w:t>项目经费</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年度一般公共预算财政拨款支出676.73万元，占支出合计的100%。与上年度相比，一般公共预算财政拨款支出增加268.25万元，增长65.67%。主要原因是2021年人员经费增多和项目资金增加。</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676.73万元，主要用于以下方面：一般公共服务（类）支出4.32万元，占0.64%；社会保障和就业（类）支出42.93万元，占6.34%；卫生健康（类）支出19.41万元，占2.87%；节能环保（类）支出610.07万元，占90.15%。</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年度一般公共预算财政拨款支出年初预算为415.40万元，支出决算为</w:t>
      </w:r>
      <w:r>
        <w:rPr>
          <w:rFonts w:hint="eastAsia" w:ascii="仿宋_GB2312" w:hAnsi="仿宋_GB2312" w:eastAsia="仿宋_GB2312"/>
          <w:sz w:val="32"/>
          <w:szCs w:val="24"/>
        </w:rPr>
        <w:t>676.73</w:t>
      </w:r>
      <w:r>
        <w:rPr>
          <w:rFonts w:hint="eastAsia" w:ascii="仿宋_GB2312" w:hAnsi="仿宋_GB2312" w:eastAsia="仿宋_GB2312" w:cs="仿宋_GB2312"/>
          <w:sz w:val="32"/>
          <w:szCs w:val="32"/>
        </w:rPr>
        <w:t>万元，完成年初预算的</w:t>
      </w:r>
      <w:r>
        <w:rPr>
          <w:rFonts w:hint="eastAsia" w:ascii="仿宋_GB2312" w:hAnsi="仿宋_GB2312" w:eastAsia="仿宋_GB2312"/>
          <w:sz w:val="32"/>
          <w:szCs w:val="24"/>
        </w:rPr>
        <w:t>162.91</w:t>
      </w:r>
      <w:r>
        <w:rPr>
          <w:rFonts w:hint="eastAsia" w:ascii="仿宋_GB2312" w:hAnsi="仿宋_GB2312" w:eastAsia="仿宋_GB2312" w:cs="仿宋_GB2312"/>
          <w:sz w:val="32"/>
          <w:szCs w:val="32"/>
        </w:rPr>
        <w:t>%。其中：</w:t>
      </w: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一般公共服务支出（类）人大事务（款）行政运行（项）。</w:t>
      </w:r>
      <w:r>
        <w:rPr>
          <w:rFonts w:hint="eastAsia" w:ascii="仿宋_GB2312" w:hAnsi="仿宋_GB2312" w:eastAsia="仿宋_GB2312" w:cs="仿宋_GB2312"/>
          <w:sz w:val="32"/>
          <w:szCs w:val="32"/>
        </w:rPr>
        <w:t>年初预算为5.89万元，支出决算为2.67万元，完成年初预算的45.33%。决算数与年初预算数存在差异的主要原因是</w:t>
      </w:r>
      <w:r>
        <w:rPr>
          <w:rFonts w:hint="eastAsia" w:ascii="仿宋_GB2312" w:hAnsi="仿宋_GB2312" w:eastAsia="仿宋_GB2312" w:cs="仿宋_GB2312"/>
          <w:sz w:val="32"/>
          <w:szCs w:val="32"/>
          <w:lang w:val="en-US" w:eastAsia="zh-CN"/>
        </w:rPr>
        <w:t>使用有上年度结转资金</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rPr>
      </w:pPr>
      <w:r>
        <w:rPr>
          <w:rFonts w:hint="eastAsia" w:ascii="仿宋_GB2312" w:hAnsi="仿宋_GB2312" w:eastAsia="仿宋_GB2312" w:cs="仿宋_GB2312"/>
          <w:b/>
          <w:bCs/>
          <w:sz w:val="32"/>
          <w:szCs w:val="32"/>
        </w:rPr>
        <w:t>2.一般公共服务支出（类）群众团体事务（款）工会事务（项）。</w:t>
      </w:r>
      <w:r>
        <w:rPr>
          <w:rFonts w:hint="eastAsia" w:ascii="仿宋_GB2312" w:hAnsi="仿宋_GB2312" w:eastAsia="仿宋_GB2312" w:cs="仿宋_GB2312"/>
          <w:sz w:val="32"/>
          <w:szCs w:val="32"/>
        </w:rPr>
        <w:t>年初预算为1.65万元，支出决算为1.65万元，完成年初预算的100.00%。决算数与年初预算数不存在差异。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3.社会保障和就业支出（类）行政事业单位养老支出（款）行政单位离退休（项）。</w:t>
      </w:r>
      <w:r>
        <w:rPr>
          <w:rFonts w:hint="eastAsia" w:ascii="仿宋_GB2312" w:hAnsi="仿宋_GB2312" w:eastAsia="仿宋_GB2312" w:cs="仿宋_GB2312"/>
          <w:sz w:val="32"/>
          <w:szCs w:val="32"/>
        </w:rPr>
        <w:t>年初预算为19.99万元，支出决算为21.18万元，完成年初预算的105.95%。决算数与年初预算数存在差异的主要原因是</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lang w:val="en-US" w:eastAsia="zh-CN"/>
        </w:rPr>
        <w:t>退休人员增资</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4.社会保障和就业支出（类）行政事业单位养老支出（款）机关事业单位基本养老保险缴费支出（项）。</w:t>
      </w:r>
      <w:r>
        <w:rPr>
          <w:rFonts w:hint="eastAsia" w:ascii="仿宋_GB2312" w:hAnsi="仿宋_GB2312" w:eastAsia="仿宋_GB2312" w:cs="仿宋_GB2312"/>
          <w:sz w:val="32"/>
          <w:szCs w:val="32"/>
        </w:rPr>
        <w:t>年初预算为19.56万元，支出决算为21.75万元，完成年初预算的111.20%。决算数与年初预算数存在差异的主要原因是</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新增人员，经费增加。</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5.卫生健康支出（类）行政事业单位医疗（款）行政单位医疗（项）。</w:t>
      </w:r>
      <w:r>
        <w:rPr>
          <w:rFonts w:hint="eastAsia" w:ascii="仿宋_GB2312" w:hAnsi="仿宋_GB2312" w:eastAsia="仿宋_GB2312" w:cs="仿宋_GB2312"/>
          <w:sz w:val="32"/>
          <w:szCs w:val="32"/>
        </w:rPr>
        <w:t>年初预算为10.40万元，支出决算为10.52万元，完成年初预算的101.15%。决算数与年初预算数存在差异的主要原因是</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新增人员，</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经费增加。</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6.卫生健康支出（类）行政事业单位医疗（款）公务员医疗补助（项）。</w:t>
      </w:r>
      <w:r>
        <w:rPr>
          <w:rFonts w:hint="eastAsia" w:ascii="仿宋_GB2312" w:hAnsi="仿宋_GB2312" w:eastAsia="仿宋_GB2312" w:cs="仿宋_GB2312"/>
          <w:sz w:val="32"/>
          <w:szCs w:val="32"/>
        </w:rPr>
        <w:t>年初预算为9.91万元，支出决算为8.89万元，完成年初预算的89.71%。决算数与年初预算数存在差异的主要原因是</w:t>
      </w:r>
      <w:r>
        <w:rPr>
          <w:rFonts w:hint="eastAsia" w:ascii="仿宋_GB2312" w:hAnsi="仿宋_GB2312" w:eastAsia="仿宋_GB2312" w:cs="仿宋_GB2312"/>
          <w:sz w:val="32"/>
          <w:szCs w:val="32"/>
          <w:lang w:val="en-US" w:eastAsia="zh-CN"/>
        </w:rPr>
        <w:t>使用有上年度结转资金</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7.节能环保支出（类）环境保护管理事务（款）行政运行（项）。</w:t>
      </w:r>
      <w:r>
        <w:rPr>
          <w:rFonts w:hint="eastAsia" w:ascii="仿宋_GB2312" w:hAnsi="仿宋_GB2312" w:eastAsia="仿宋_GB2312" w:cs="仿宋_GB2312"/>
          <w:sz w:val="32"/>
          <w:szCs w:val="32"/>
        </w:rPr>
        <w:t>年初预算为266.28万元，支出决算为378.57万元，完成年初预算的142.17%。决算数与年初预算数存在差异的主要原因是</w:t>
      </w:r>
      <w:r>
        <w:rPr>
          <w:rFonts w:hint="eastAsia" w:ascii="仿宋_GB2312" w:hAnsi="仿宋_GB2312" w:eastAsia="仿宋_GB2312" w:cs="仿宋_GB2312"/>
          <w:sz w:val="32"/>
          <w:szCs w:val="32"/>
          <w:lang w:eastAsia="zh-CN"/>
        </w:rPr>
        <w:t>项目经费增多</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8.节能环保支出（类）污染防治（款）大气（项）。</w:t>
      </w:r>
      <w:r>
        <w:rPr>
          <w:rFonts w:hint="eastAsia" w:ascii="仿宋_GB2312" w:hAnsi="仿宋_GB2312" w:eastAsia="仿宋_GB2312" w:cs="仿宋_GB2312"/>
          <w:sz w:val="32"/>
          <w:szCs w:val="32"/>
        </w:rPr>
        <w:t>年初预算为0.00万元，支出决算为231.51万元。决算数与年初预算数存在差异的主要原因是本年发生有大气污染防治</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年度一般公共预算财政拨款基本支出433.9</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万元。其中：人员经费</w:t>
      </w:r>
      <w:r>
        <w:rPr>
          <w:rFonts w:hint="eastAsia" w:ascii="仿宋_GB2312" w:hAnsi="仿宋_GB2312" w:eastAsia="仿宋_GB2312"/>
          <w:sz w:val="32"/>
          <w:szCs w:val="24"/>
        </w:rPr>
        <w:t>370.06</w:t>
      </w:r>
      <w:r>
        <w:rPr>
          <w:rFonts w:hint="eastAsia" w:ascii="仿宋_GB2312" w:hAnsi="仿宋_GB2312" w:eastAsia="仿宋_GB2312" w:cs="仿宋_GB2312"/>
          <w:sz w:val="32"/>
          <w:szCs w:val="32"/>
        </w:rPr>
        <w:t>万元，主要包括：基本工资、津贴补贴、</w:t>
      </w:r>
      <w:r>
        <w:rPr>
          <w:rFonts w:hint="eastAsia" w:ascii="仿宋_GB2312" w:hAnsi="仿宋_GB2312" w:eastAsia="仿宋_GB2312" w:cs="仿宋_GB2312"/>
          <w:sz w:val="32"/>
          <w:szCs w:val="32"/>
          <w:lang w:eastAsia="zh-CN"/>
        </w:rPr>
        <w:t>奖金、</w:t>
      </w:r>
      <w:r>
        <w:rPr>
          <w:rFonts w:hint="eastAsia" w:ascii="仿宋_GB2312" w:hAnsi="仿宋_GB2312" w:eastAsia="仿宋_GB2312" w:cs="仿宋_GB2312"/>
          <w:sz w:val="32"/>
          <w:szCs w:val="32"/>
        </w:rPr>
        <w:t>机关事业单位基本养老保险缴费、职工基本医疗保险缴费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公务员医疗补助缴费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社会保障缴费、住房公积金、其他工资福利支出、退休费、生活补助；公用经费63.92万元，主要包括：办公费、印刷费、邮电费、差旅费、会议费、劳务费、委托业务费、工会经费、福利费、公务用车运行维护费、其他交通费用、其他商品和服务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sz w:val="32"/>
          <w:szCs w:val="24"/>
        </w:rPr>
        <w:t>16.70</w:t>
      </w:r>
      <w:r>
        <w:rPr>
          <w:rFonts w:hint="eastAsia" w:ascii="仿宋_GB2312" w:hAnsi="仿宋_GB2312" w:eastAsia="仿宋_GB2312" w:cs="仿宋_GB2312"/>
          <w:sz w:val="32"/>
          <w:szCs w:val="32"/>
        </w:rPr>
        <w:t>万元，支出决算为</w:t>
      </w:r>
      <w:r>
        <w:rPr>
          <w:rFonts w:hint="eastAsia" w:ascii="仿宋_GB2312" w:hAnsi="仿宋_GB2312" w:eastAsia="仿宋_GB2312"/>
          <w:sz w:val="32"/>
          <w:szCs w:val="24"/>
        </w:rPr>
        <w:t>4.51</w:t>
      </w:r>
      <w:r>
        <w:rPr>
          <w:rFonts w:hint="eastAsia" w:ascii="仿宋_GB2312" w:hAnsi="仿宋_GB2312" w:eastAsia="仿宋_GB2312" w:cs="仿宋_GB2312"/>
          <w:sz w:val="32"/>
          <w:szCs w:val="32"/>
        </w:rPr>
        <w:t>万元，完成预算的</w:t>
      </w:r>
      <w:r>
        <w:rPr>
          <w:rFonts w:hint="eastAsia" w:ascii="仿宋_GB2312" w:hAnsi="仿宋_GB2312" w:eastAsia="仿宋_GB2312"/>
          <w:sz w:val="32"/>
          <w:szCs w:val="24"/>
        </w:rPr>
        <w:t>27.01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年度“三公”经费支出决算数与预算数存在差异的主要原因是单位厉行节约。</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年度“三公”经费财政拨款支出决算中，因公出国（境）费支出决算0.00万元，占0.00%；公务用车购置及运行费支出决算</w:t>
      </w:r>
      <w:r>
        <w:rPr>
          <w:rFonts w:hint="eastAsia" w:ascii="仿宋_GB2312" w:hAnsi="仿宋_GB2312" w:eastAsia="仿宋_GB2312"/>
          <w:sz w:val="32"/>
          <w:szCs w:val="24"/>
        </w:rPr>
        <w:t>4.51</w:t>
      </w:r>
      <w:r>
        <w:rPr>
          <w:rFonts w:hint="eastAsia" w:ascii="仿宋_GB2312" w:hAnsi="仿宋_GB2312" w:eastAsia="仿宋_GB2312" w:cs="仿宋_GB2312"/>
          <w:sz w:val="32"/>
          <w:szCs w:val="32"/>
        </w:rPr>
        <w:t>万元，完成预算的</w:t>
      </w:r>
      <w:r>
        <w:rPr>
          <w:rFonts w:hint="eastAsia" w:ascii="仿宋_GB2312" w:hAnsi="仿宋_GB2312" w:eastAsia="仿宋_GB2312"/>
          <w:sz w:val="32"/>
          <w:szCs w:val="24"/>
        </w:rPr>
        <w:t>28.19</w:t>
      </w:r>
      <w:r>
        <w:rPr>
          <w:rFonts w:hint="eastAsia" w:ascii="仿宋_GB2312" w:hAnsi="仿宋_GB2312" w:eastAsia="仿宋_GB2312" w:cs="仿宋_GB2312"/>
          <w:sz w:val="32"/>
          <w:szCs w:val="32"/>
        </w:rPr>
        <w:t>%，占100.00%；公务接待费支出决算0.00万元，占0.00%。具体情况如下：</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预算为0.00万元，支出决算为0.00万元。决算数与预算数不存在差异。</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因公出国（境）团组0个，</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0人</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预算为16.00万元，支出决算为4.51万元，完成预算的</w:t>
      </w:r>
      <w:r>
        <w:rPr>
          <w:rFonts w:hint="eastAsia" w:ascii="仿宋_GB2312" w:hAnsi="仿宋_GB2312" w:eastAsia="仿宋_GB2312"/>
          <w:sz w:val="32"/>
          <w:szCs w:val="24"/>
        </w:rPr>
        <w:t>28.19</w:t>
      </w:r>
      <w:r>
        <w:rPr>
          <w:rFonts w:hint="eastAsia" w:ascii="仿宋_GB2312" w:hAnsi="仿宋_GB2312" w:eastAsia="仿宋_GB2312" w:cs="仿宋_GB2312"/>
          <w:sz w:val="32"/>
          <w:szCs w:val="32"/>
        </w:rPr>
        <w:t>%。决算数与预算数存在差异的主要原因是单位厉行节约。其中：</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为0.00万元，购置车辆0台。</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sz w:val="32"/>
          <w:szCs w:val="24"/>
        </w:rPr>
        <w:t>4.51</w:t>
      </w:r>
      <w:r>
        <w:rPr>
          <w:rFonts w:hint="eastAsia" w:ascii="仿宋_GB2312" w:hAnsi="仿宋_GB2312" w:eastAsia="仿宋_GB2312" w:cs="仿宋_GB2312"/>
          <w:sz w:val="32"/>
          <w:szCs w:val="32"/>
        </w:rPr>
        <w:t>万元。主要用于燃油费、保险费、修理费。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年期末，单位开支财政拨款的公务用车保有量为4</w:t>
      </w:r>
      <w:r>
        <w:rPr>
          <w:rFonts w:hint="eastAsia" w:ascii="仿宋_GB2312" w:hAnsi="仿宋_GB2312" w:eastAsia="仿宋_GB2312" w:cs="仿宋_GB2312"/>
          <w:sz w:val="32"/>
          <w:szCs w:val="32"/>
          <w:lang w:eastAsia="zh-CN"/>
        </w:rPr>
        <w:t>辆</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w:t>
      </w:r>
      <w:r>
        <w:rPr>
          <w:rFonts w:hint="eastAsia" w:ascii="仿宋_GB2312" w:hAnsi="仿宋_GB2312" w:eastAsia="仿宋_GB2312"/>
          <w:sz w:val="32"/>
          <w:szCs w:val="24"/>
        </w:rPr>
        <w:t>0.70</w:t>
      </w:r>
      <w:r>
        <w:rPr>
          <w:rFonts w:hint="eastAsia" w:ascii="仿宋_GB2312" w:hAnsi="仿宋_GB2312" w:eastAsia="仿宋_GB2312" w:cs="仿宋_GB2312"/>
          <w:sz w:val="32"/>
          <w:szCs w:val="32"/>
        </w:rPr>
        <w:t>万元，支出决算为0.00万元，完成预算的0.00%。决算数与预算数存在差异的主要原因是单位厉行节约。其中：</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年度政府性基金预算财政拨款支出年初预算为0.00万元，支出决算为0.00万元。不存在项目年末结转和结余资金数额较大。</w:t>
      </w:r>
      <w:r>
        <w:rPr>
          <w:rFonts w:hint="eastAsia" w:ascii="仿宋_GB2312" w:hAnsi="仿宋_GB2312" w:eastAsia="仿宋_GB2312" w:cs="仿宋_GB2312"/>
          <w:sz w:val="32"/>
          <w:szCs w:val="32"/>
          <w:lang w:val="en-US" w:eastAsia="zh-CN"/>
        </w:rPr>
        <w:t>情况说明：</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2021年度没有政府性基金收入，也没有使用政府性基金安排的支出。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年度机关运行经费年初预算为77.81万元，支出决算为</w:t>
      </w:r>
      <w:r>
        <w:rPr>
          <w:rFonts w:hint="eastAsia" w:ascii="仿宋_GB2312" w:hAnsi="仿宋_GB2312" w:eastAsia="仿宋_GB2312"/>
          <w:sz w:val="32"/>
          <w:szCs w:val="24"/>
        </w:rPr>
        <w:t>63.92</w:t>
      </w:r>
      <w:r>
        <w:rPr>
          <w:rFonts w:hint="eastAsia" w:ascii="仿宋_GB2312" w:hAnsi="仿宋_GB2312" w:eastAsia="仿宋_GB2312" w:cs="仿宋_GB2312"/>
          <w:sz w:val="32"/>
          <w:szCs w:val="32"/>
        </w:rPr>
        <w:t>万元，完成年初预算的82.15%。决算数与年初预算数存在差异的主要原因是厉行节约。</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w:t>
      </w:r>
      <w:r>
        <w:rPr>
          <w:rFonts w:hint="eastAsia" w:ascii="仿宋_GB2312" w:hAnsi="仿宋_GB2312" w:eastAsia="仿宋_GB2312"/>
          <w:sz w:val="32"/>
          <w:szCs w:val="24"/>
        </w:rPr>
        <w:t>229.51</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sz w:val="32"/>
          <w:szCs w:val="24"/>
        </w:rPr>
        <w:t>229.51</w:t>
      </w:r>
      <w:r>
        <w:rPr>
          <w:rFonts w:hint="eastAsia" w:ascii="仿宋_GB2312" w:hAnsi="仿宋_GB2312" w:eastAsia="仿宋_GB2312" w:cs="仿宋_GB2312"/>
          <w:sz w:val="32"/>
          <w:szCs w:val="32"/>
        </w:rPr>
        <w:t>万元、政府采购工程支出0.00万元、政府采购服务支出0.00万元。授予中小企业合同金额</w:t>
      </w:r>
      <w:r>
        <w:rPr>
          <w:rFonts w:hint="eastAsia" w:ascii="仿宋_GB2312" w:hAnsi="仿宋_GB2312" w:eastAsia="仿宋_GB2312"/>
          <w:sz w:val="32"/>
          <w:szCs w:val="24"/>
        </w:rPr>
        <w:t>229.51</w:t>
      </w:r>
      <w:r>
        <w:rPr>
          <w:rFonts w:hint="eastAsia" w:ascii="仿宋_GB2312" w:hAnsi="仿宋_GB2312" w:eastAsia="仿宋_GB2312" w:cs="仿宋_GB2312"/>
          <w:sz w:val="32"/>
          <w:szCs w:val="32"/>
        </w:rPr>
        <w:t>万元，占政府采购支出总额的100.00%，其中：授予小微企业合同金额</w:t>
      </w:r>
      <w:r>
        <w:rPr>
          <w:rFonts w:hint="eastAsia" w:ascii="仿宋_GB2312" w:hAnsi="仿宋_GB2312" w:eastAsia="仿宋_GB2312"/>
          <w:sz w:val="32"/>
          <w:szCs w:val="24"/>
        </w:rPr>
        <w:t>229.51</w:t>
      </w:r>
      <w:r>
        <w:rPr>
          <w:rFonts w:hint="eastAsia" w:ascii="仿宋_GB2312" w:hAnsi="仿宋_GB2312" w:eastAsia="仿宋_GB2312" w:cs="仿宋_GB2312"/>
          <w:sz w:val="32"/>
          <w:szCs w:val="32"/>
        </w:rPr>
        <w:t>万元，占政府采购支出总额的100.00%。</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4辆，其中：省级领导干部用车0辆、主要领导干部用车0辆、机要通信用车0辆、应急保障车0辆、执法执勤用车4辆、特种专业技术用车0辆、离退休干部用车0辆、其他用车0辆；单位价值50万元以上通用设备0台（套），单位价值100万元以上专用设备0台（套）。</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许昌市人民政府关于全面实施预算绩效管理的实施意见》（许发〔2021〕13号）文件要求，对本单位整体支出和项目支出开展全过程预算绩效管理。2021年我单位纳入预算绩效管理的支出总额为</w:t>
      </w:r>
      <w:r>
        <w:rPr>
          <w:rFonts w:hint="eastAsia" w:ascii="仿宋_GB2312" w:hAnsi="仿宋_GB2312" w:eastAsia="仿宋_GB2312" w:cs="仿宋_GB2312"/>
          <w:sz w:val="32"/>
          <w:szCs w:val="32"/>
          <w:lang w:val="en-US" w:eastAsia="zh-CN"/>
        </w:rPr>
        <w:t>433.99</w:t>
      </w:r>
      <w:r>
        <w:rPr>
          <w:rFonts w:hint="eastAsia" w:ascii="仿宋_GB2312" w:hAnsi="仿宋_GB2312" w:eastAsia="仿宋_GB2312" w:cs="仿宋_GB2312"/>
          <w:sz w:val="32"/>
          <w:szCs w:val="32"/>
        </w:rPr>
        <w:t>万元，其中：基本支出433.99万元；支出项目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个，支出金额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万元。开展项目绩效自评项目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个，自评金额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万元；纳入重点绩效评价0个，评价金额0.00万元。</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rPr>
        <w:t>按照《许昌市财政局关于开展2021年度市级预算绩效自评工作的通知》（许财效〔202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〕1号）等文件精神，我单位对本单位整体绩效目标和项目支出绩效目标进行了自评。一是单位整体绩效自评情况，我单位2021年</w:t>
      </w:r>
      <w:r>
        <w:rPr>
          <w:rFonts w:hint="eastAsia" w:ascii="仿宋_GB2312" w:hAnsi="仿宋_GB2312" w:eastAsia="仿宋_GB2312" w:cs="仿宋_GB2312"/>
          <w:color w:val="auto"/>
          <w:sz w:val="32"/>
          <w:szCs w:val="32"/>
          <w:highlight w:val="none"/>
          <w:lang w:val="en-US" w:eastAsia="zh-CN"/>
        </w:rPr>
        <w:t>顺利完成年度目标，</w:t>
      </w:r>
      <w:r>
        <w:rPr>
          <w:rFonts w:hint="eastAsia" w:ascii="仿宋_GB2312" w:hAnsi="仿宋_GB2312" w:eastAsia="仿宋_GB2312" w:cs="仿宋_GB2312"/>
          <w:sz w:val="32"/>
          <w:szCs w:val="32"/>
          <w:highlight w:val="none"/>
        </w:rPr>
        <w:t>单位整体绩效自评得分91分。二是项目绩效自评情况。</w:t>
      </w:r>
      <w:r>
        <w:rPr>
          <w:rFonts w:hint="eastAsia" w:ascii="仿宋_GB2312" w:hAnsi="仿宋_GB2312" w:eastAsia="仿宋_GB2312" w:cs="仿宋_GB2312"/>
          <w:color w:val="auto"/>
          <w:sz w:val="32"/>
          <w:szCs w:val="32"/>
          <w:highlight w:val="none"/>
          <w:lang w:val="en-US" w:eastAsia="zh-CN"/>
        </w:rPr>
        <w:t>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宋体" w:eastAsia="黑体" w:cs="宋体"/>
          <w:kern w:val="0"/>
          <w:sz w:val="28"/>
          <w:szCs w:val="28"/>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宋体" w:eastAsia="黑体" w:cs="宋体"/>
          <w:kern w:val="0"/>
          <w:sz w:val="28"/>
          <w:szCs w:val="28"/>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w:t>
      </w:r>
      <w:bookmarkStart w:id="0" w:name="_GoBack"/>
      <w:bookmarkEnd w:id="0"/>
      <w:r>
        <w:rPr>
          <w:rFonts w:hint="eastAsia" w:ascii="仿宋_GB2312" w:hAnsi="仿宋_GB2312" w:eastAsia="仿宋_GB2312" w:cs="仿宋_GB2312"/>
          <w:sz w:val="32"/>
          <w:szCs w:val="32"/>
        </w:rPr>
        <w:t>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w:t>
      </w:r>
      <w:r>
        <w:rPr>
          <w:rFonts w:hint="eastAsia" w:ascii="仿宋_GB2312" w:hAnsi="仿宋_GB2312" w:eastAsia="仿宋_GB2312" w:cs="仿宋_GB2312"/>
          <w:sz w:val="32"/>
          <w:szCs w:val="32"/>
          <w:lang w:eastAsia="zh-CN"/>
        </w:rPr>
        <w:t>反映</w:t>
      </w:r>
      <w:r>
        <w:rPr>
          <w:rFonts w:hint="eastAsia" w:ascii="仿宋_GB2312" w:hAnsi="仿宋_GB2312" w:eastAsia="仿宋_GB2312" w:cs="仿宋_GB2312"/>
          <w:sz w:val="32"/>
          <w:szCs w:val="32"/>
        </w:rPr>
        <w:t>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pStyle w:val="4"/>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3"/>
    <w:multiLevelType w:val="singleLevel"/>
    <w:tmpl w:val="00000003"/>
    <w:lvl w:ilvl="0" w:tentative="0">
      <w:start w:val="1"/>
      <w:numFmt w:val="decimal"/>
      <w:suff w:val="nothing"/>
      <w:lvlText w:val="%1．"/>
      <w:lvlJc w:val="left"/>
      <w:rPr>
        <w:rFonts w:hint="default"/>
        <w:b/>
        <w:bCs/>
        <w:color w:val="auto"/>
      </w:rPr>
    </w:lvl>
  </w:abstractNum>
  <w:abstractNum w:abstractNumId="2">
    <w:nsid w:val="00000009"/>
    <w:multiLevelType w:val="singleLevel"/>
    <w:tmpl w:val="00000009"/>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NmRkODg2YTUzODU2OTRlNGNlYzU1ODY2ZWZlMWUifQ=="/>
  </w:docVars>
  <w:rsids>
    <w:rsidRoot w:val="00172A27"/>
    <w:rsid w:val="001A2968"/>
    <w:rsid w:val="00443541"/>
    <w:rsid w:val="00696235"/>
    <w:rsid w:val="00BA7A5D"/>
    <w:rsid w:val="00C806C0"/>
    <w:rsid w:val="036B0F8C"/>
    <w:rsid w:val="03760A36"/>
    <w:rsid w:val="05F81055"/>
    <w:rsid w:val="070333EA"/>
    <w:rsid w:val="071311C5"/>
    <w:rsid w:val="08867A88"/>
    <w:rsid w:val="09C3197A"/>
    <w:rsid w:val="0B461CFC"/>
    <w:rsid w:val="0E5D3F5B"/>
    <w:rsid w:val="0F835525"/>
    <w:rsid w:val="10DF1E29"/>
    <w:rsid w:val="1211457D"/>
    <w:rsid w:val="13833472"/>
    <w:rsid w:val="13954F69"/>
    <w:rsid w:val="141F1E26"/>
    <w:rsid w:val="16337B04"/>
    <w:rsid w:val="18293A90"/>
    <w:rsid w:val="1AD9671D"/>
    <w:rsid w:val="1D503FC7"/>
    <w:rsid w:val="1D916C98"/>
    <w:rsid w:val="1DDC7057"/>
    <w:rsid w:val="1ED61CF8"/>
    <w:rsid w:val="1F5144D6"/>
    <w:rsid w:val="22540FEE"/>
    <w:rsid w:val="234822FE"/>
    <w:rsid w:val="23E6478B"/>
    <w:rsid w:val="286D75CC"/>
    <w:rsid w:val="2CEC013E"/>
    <w:rsid w:val="2D51332B"/>
    <w:rsid w:val="2F524629"/>
    <w:rsid w:val="3040181F"/>
    <w:rsid w:val="33C37CFF"/>
    <w:rsid w:val="34BA1A48"/>
    <w:rsid w:val="35BB4484"/>
    <w:rsid w:val="36AC6DC2"/>
    <w:rsid w:val="36FE43BE"/>
    <w:rsid w:val="39777F17"/>
    <w:rsid w:val="39F77552"/>
    <w:rsid w:val="3BC858E8"/>
    <w:rsid w:val="3D9C7346"/>
    <w:rsid w:val="3E8D325B"/>
    <w:rsid w:val="41662610"/>
    <w:rsid w:val="464F5A3F"/>
    <w:rsid w:val="4913307D"/>
    <w:rsid w:val="49F91924"/>
    <w:rsid w:val="4C8F3363"/>
    <w:rsid w:val="4CD16125"/>
    <w:rsid w:val="4CE00F38"/>
    <w:rsid w:val="4FB47872"/>
    <w:rsid w:val="50147008"/>
    <w:rsid w:val="517A638F"/>
    <w:rsid w:val="52170A6F"/>
    <w:rsid w:val="522168D4"/>
    <w:rsid w:val="52B04393"/>
    <w:rsid w:val="55961833"/>
    <w:rsid w:val="59590116"/>
    <w:rsid w:val="59CD3ACA"/>
    <w:rsid w:val="5A2D46A9"/>
    <w:rsid w:val="5B152C85"/>
    <w:rsid w:val="5F0B6879"/>
    <w:rsid w:val="5FF8679F"/>
    <w:rsid w:val="62147944"/>
    <w:rsid w:val="632E12BD"/>
    <w:rsid w:val="64063A19"/>
    <w:rsid w:val="64E04B50"/>
    <w:rsid w:val="66BD0858"/>
    <w:rsid w:val="66E93F06"/>
    <w:rsid w:val="67876CB8"/>
    <w:rsid w:val="6A684547"/>
    <w:rsid w:val="6C025952"/>
    <w:rsid w:val="6C2C7E2E"/>
    <w:rsid w:val="6DCF229C"/>
    <w:rsid w:val="6F870831"/>
    <w:rsid w:val="6FEA4288"/>
    <w:rsid w:val="73245D03"/>
    <w:rsid w:val="73991D75"/>
    <w:rsid w:val="747405C4"/>
    <w:rsid w:val="75FA2D4B"/>
    <w:rsid w:val="78B006D9"/>
    <w:rsid w:val="7F475A2F"/>
    <w:rsid w:val="7FBE6128"/>
    <w:rsid w:val="7FF84F08"/>
    <w:rsid w:val="F75F0DAA"/>
    <w:rsid w:val="FAFA1E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kern w:val="0"/>
      <w:sz w:val="18"/>
      <w:szCs w:val="18"/>
    </w:rPr>
  </w:style>
  <w:style w:type="paragraph" w:styleId="3">
    <w:name w:val="Body Text"/>
    <w:basedOn w:val="1"/>
    <w:next w:val="4"/>
    <w:qFormat/>
    <w:uiPriority w:val="0"/>
    <w:rPr>
      <w:szCs w:val="32"/>
    </w:rPr>
  </w:style>
  <w:style w:type="paragraph" w:styleId="4">
    <w:name w:val="Body Text 2"/>
    <w:basedOn w:val="1"/>
    <w:qFormat/>
    <w:uiPriority w:val="0"/>
    <w:pPr>
      <w:widowControl/>
      <w:numPr>
        <w:ilvl w:val="0"/>
        <w:numId w:val="1"/>
      </w:numPr>
      <w:tabs>
        <w:tab w:val="clear" w:pos="1440"/>
      </w:tabs>
      <w:spacing w:before="156" w:beforeLines="50" w:line="336" w:lineRule="auto"/>
      <w:ind w:left="0" w:firstLine="0"/>
    </w:pPr>
    <w:rPr>
      <w:rFonts w:eastAsia="黑体"/>
      <w:szCs w:val="20"/>
      <w:lang w:val="en-GB"/>
    </w:rPr>
  </w:style>
  <w:style w:type="paragraph" w:styleId="5">
    <w:name w:val="Balloon Text"/>
    <w:basedOn w:val="1"/>
    <w:link w:val="12"/>
    <w:qFormat/>
    <w:uiPriority w:val="0"/>
    <w:rPr>
      <w:kern w:val="2"/>
      <w:sz w:val="18"/>
      <w:szCs w:val="18"/>
    </w:rPr>
  </w:style>
  <w:style w:type="paragraph" w:styleId="6">
    <w:name w:val="footer"/>
    <w:basedOn w:val="1"/>
    <w:link w:val="13"/>
    <w:qFormat/>
    <w:uiPriority w:val="0"/>
    <w:pPr>
      <w:tabs>
        <w:tab w:val="center" w:pos="4153"/>
        <w:tab w:val="right" w:pos="8306"/>
      </w:tabs>
      <w:snapToGrid w:val="0"/>
      <w:jc w:val="left"/>
    </w:pPr>
    <w:rPr>
      <w:kern w:val="2"/>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kern w:val="2"/>
      <w:sz w:val="18"/>
      <w:szCs w:val="18"/>
    </w:r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character" w:customStyle="1" w:styleId="12">
    <w:name w:val="批注框文本 字符"/>
    <w:link w:val="5"/>
    <w:qFormat/>
    <w:uiPriority w:val="0"/>
    <w:rPr>
      <w:kern w:val="2"/>
      <w:sz w:val="18"/>
      <w:szCs w:val="18"/>
    </w:rPr>
  </w:style>
  <w:style w:type="character" w:customStyle="1" w:styleId="13">
    <w:name w:val="页脚 字符"/>
    <w:link w:val="6"/>
    <w:qFormat/>
    <w:uiPriority w:val="0"/>
    <w:rPr>
      <w:kern w:val="2"/>
      <w:sz w:val="18"/>
      <w:szCs w:val="18"/>
    </w:rPr>
  </w:style>
  <w:style w:type="character" w:customStyle="1" w:styleId="14">
    <w:name w:val="页眉 字符"/>
    <w:link w:val="7"/>
    <w:qFormat/>
    <w:uiPriority w:val="0"/>
    <w:rPr>
      <w:kern w:val="2"/>
      <w:sz w:val="18"/>
      <w:szCs w:val="18"/>
    </w:rPr>
  </w:style>
  <w:style w:type="character" w:customStyle="1" w:styleId="15">
    <w:name w:val="font4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01"/>
    <w:qFormat/>
    <w:uiPriority w:val="0"/>
    <w:rPr>
      <w:rFonts w:hint="eastAsia" w:ascii="宋体" w:hAnsi="宋体" w:eastAsia="宋体" w:cs="宋体"/>
      <w:color w:val="000000"/>
      <w:sz w:val="22"/>
      <w:szCs w:val="22"/>
      <w:u w:val="none"/>
    </w:rPr>
  </w:style>
  <w:style w:type="character" w:customStyle="1" w:styleId="18">
    <w:name w:val="font21"/>
    <w:qFormat/>
    <w:uiPriority w:val="0"/>
    <w:rPr>
      <w:rFonts w:hint="eastAsia" w:ascii="宋体" w:hAnsi="宋体" w:eastAsia="宋体" w:cs="宋体"/>
      <w:color w:val="000000"/>
      <w:sz w:val="22"/>
      <w:szCs w:val="22"/>
      <w:u w:val="none"/>
    </w:rPr>
  </w:style>
  <w:style w:type="character" w:customStyle="1" w:styleId="19">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8282</Words>
  <Characters>10281</Characters>
  <Lines>89</Lines>
  <Paragraphs>25</Paragraphs>
  <TotalTime>3</TotalTime>
  <ScaleCrop>false</ScaleCrop>
  <LinksUpToDate>false</LinksUpToDate>
  <CharactersWithSpaces>10510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李小洁</cp:lastModifiedBy>
  <cp:lastPrinted>2018-07-25T02:50:00Z</cp:lastPrinted>
  <dcterms:modified xsi:type="dcterms:W3CDTF">2023-05-15T09:01:21Z</dcterms:modified>
  <dc:title>2021年度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1DA43624570B4A918C8215E4B6B2ED24</vt:lpwstr>
  </property>
</Properties>
</file>