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color w:val="auto"/>
          <w:kern w:val="0"/>
          <w:sz w:val="28"/>
          <w:szCs w:val="28"/>
          <w:highlight w:val="none"/>
        </w:rPr>
      </w:pPr>
      <w:bookmarkStart w:id="0" w:name="_GoBack"/>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20</w:t>
      </w:r>
      <w:r>
        <w:rPr>
          <w:rFonts w:ascii="黑体" w:hAnsi="黑体" w:eastAsia="黑体" w:cs="黑体"/>
          <w:color w:val="auto"/>
          <w:sz w:val="52"/>
          <w:szCs w:val="52"/>
          <w:highlight w:val="none"/>
        </w:rPr>
        <w:t>21</w:t>
      </w:r>
      <w:r>
        <w:rPr>
          <w:rFonts w:hint="eastAsia" w:ascii="黑体" w:hAnsi="黑体" w:eastAsia="黑体" w:cs="黑体"/>
          <w:color w:val="auto"/>
          <w:sz w:val="52"/>
          <w:szCs w:val="52"/>
          <w:highlight w:val="none"/>
        </w:rPr>
        <w:t>年度</w:t>
      </w:r>
    </w:p>
    <w:p>
      <w:pPr>
        <w:jc w:val="center"/>
        <w:rPr>
          <w:rFonts w:ascii="黑体" w:hAnsi="黑体" w:eastAsia="黑体" w:cs="黑体"/>
          <w:color w:val="auto"/>
          <w:sz w:val="52"/>
          <w:szCs w:val="52"/>
          <w:highlight w:val="none"/>
        </w:rPr>
      </w:pPr>
      <w:r>
        <w:rPr>
          <w:rFonts w:hint="eastAsia" w:ascii="黑体" w:hAnsi="黑体" w:eastAsia="黑体" w:cs="黑体"/>
          <w:color w:val="auto"/>
          <w:sz w:val="52"/>
          <w:szCs w:val="52"/>
          <w:highlight w:val="none"/>
        </w:rPr>
        <w:t>许昌市</w:t>
      </w:r>
      <w:r>
        <w:rPr>
          <w:rFonts w:hint="eastAsia" w:ascii="黑体" w:hAnsi="黑体" w:eastAsia="黑体" w:cs="黑体"/>
          <w:color w:val="auto"/>
          <w:sz w:val="52"/>
          <w:szCs w:val="52"/>
          <w:highlight w:val="none"/>
          <w:lang w:eastAsia="zh-CN"/>
        </w:rPr>
        <w:t>物业</w:t>
      </w:r>
      <w:r>
        <w:rPr>
          <w:rFonts w:hint="eastAsia" w:ascii="黑体" w:hAnsi="黑体" w:eastAsia="黑体" w:cs="黑体"/>
          <w:color w:val="auto"/>
          <w:sz w:val="52"/>
          <w:szCs w:val="52"/>
          <w:highlight w:val="none"/>
        </w:rPr>
        <w:t>管理中心</w:t>
      </w:r>
      <w:r>
        <w:rPr>
          <w:rFonts w:hint="eastAsia" w:ascii="黑体" w:hAnsi="黑体" w:eastAsia="黑体" w:cs="黑体"/>
          <w:color w:val="auto"/>
          <w:sz w:val="52"/>
          <w:szCs w:val="52"/>
          <w:highlight w:val="none"/>
          <w:lang w:eastAsia="zh-CN"/>
        </w:rPr>
        <w:t>单位</w:t>
      </w:r>
      <w:r>
        <w:rPr>
          <w:rFonts w:hint="eastAsia" w:ascii="黑体" w:hAnsi="黑体" w:eastAsia="黑体" w:cs="黑体"/>
          <w:color w:val="auto"/>
          <w:sz w:val="52"/>
          <w:szCs w:val="52"/>
          <w:highlight w:val="none"/>
        </w:rPr>
        <w:t>决算</w:t>
      </w: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52"/>
          <w:szCs w:val="52"/>
          <w:highlight w:val="none"/>
        </w:rPr>
      </w:pPr>
    </w:p>
    <w:p>
      <w:pPr>
        <w:jc w:val="center"/>
        <w:rPr>
          <w:rFonts w:ascii="黑体" w:hAnsi="黑体" w:eastAsia="黑体" w:cs="黑体"/>
          <w:color w:val="auto"/>
          <w:sz w:val="32"/>
          <w:szCs w:val="32"/>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r>
        <w:rPr>
          <w:rFonts w:hint="eastAsia" w:ascii="黑体" w:hAnsi="黑体" w:eastAsia="黑体" w:cs="黑体"/>
          <w:color w:val="auto"/>
          <w:sz w:val="32"/>
          <w:szCs w:val="32"/>
          <w:highlight w:val="none"/>
        </w:rPr>
        <w:t>二〇二二年九月</w:t>
      </w:r>
    </w:p>
    <w:p>
      <w:pPr>
        <w:jc w:val="center"/>
        <w:rPr>
          <w:rFonts w:ascii="黑体" w:hAnsi="黑体" w:eastAsia="黑体" w:cs="黑体"/>
          <w:color w:val="auto"/>
          <w:sz w:val="36"/>
          <w:szCs w:val="36"/>
          <w:highlight w:val="none"/>
        </w:rPr>
      </w:pPr>
      <w:r>
        <w:rPr>
          <w:rFonts w:hint="eastAsia" w:ascii="黑体" w:hAnsi="黑体" w:eastAsia="黑体" w:cs="黑体"/>
          <w:color w:val="auto"/>
          <w:sz w:val="36"/>
          <w:szCs w:val="36"/>
          <w:highlight w:val="none"/>
        </w:rPr>
        <w:t>目　　录</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第一部分　许昌市</w:t>
      </w:r>
      <w:r>
        <w:rPr>
          <w:rFonts w:hint="eastAsia" w:ascii="黑体" w:hAnsi="黑体" w:eastAsia="黑体" w:cs="黑体"/>
          <w:color w:val="auto"/>
          <w:sz w:val="32"/>
          <w:szCs w:val="32"/>
          <w:highlight w:val="none"/>
          <w:lang w:eastAsia="zh-CN"/>
        </w:rPr>
        <w:t>物业</w:t>
      </w:r>
      <w:r>
        <w:rPr>
          <w:rFonts w:hint="eastAsia" w:ascii="黑体" w:hAnsi="黑体" w:eastAsia="黑体" w:cs="黑体"/>
          <w:color w:val="auto"/>
          <w:sz w:val="32"/>
          <w:szCs w:val="32"/>
          <w:highlight w:val="none"/>
        </w:rPr>
        <w:t>管理中心概况</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lang w:eastAsia="zh-CN"/>
        </w:rPr>
        <w:t>单位</w:t>
      </w:r>
      <w:r>
        <w:rPr>
          <w:rFonts w:hint="eastAsia" w:ascii="宋体" w:hAnsi="宋体" w:cs="宋体"/>
          <w:color w:val="auto"/>
          <w:sz w:val="32"/>
          <w:szCs w:val="32"/>
          <w:highlight w:val="none"/>
        </w:rPr>
        <w:t>职责</w:t>
      </w:r>
    </w:p>
    <w:p>
      <w:pPr>
        <w:numPr>
          <w:ilvl w:val="0"/>
          <w:numId w:val="1"/>
        </w:num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机构设置</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第二部分  2021年度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一、收入支出决算总表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二、收入决算表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三、支出决算表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四、财政拨款收入支出决算总表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五、一般公共预算财政拨款支出决算表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六、一般公共预算财政拨款基本支出决算明细表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七、一般公共预算财政拨款“三公”经费支出决算表</w:t>
      </w:r>
    </w:p>
    <w:p>
      <w:pPr>
        <w:ind w:firstLine="640" w:firstLineChars="200"/>
        <w:jc w:val="left"/>
        <w:rPr>
          <w:rFonts w:ascii="宋体" w:hAnsi="宋体" w:cs="黑体"/>
          <w:color w:val="auto"/>
          <w:sz w:val="32"/>
          <w:szCs w:val="32"/>
          <w:highlight w:val="none"/>
        </w:rPr>
      </w:pPr>
      <w:r>
        <w:rPr>
          <w:rFonts w:hint="eastAsia" w:ascii="宋体" w:hAnsi="宋体" w:cs="黑体"/>
          <w:color w:val="auto"/>
          <w:sz w:val="32"/>
          <w:szCs w:val="32"/>
          <w:highlight w:val="none"/>
        </w:rPr>
        <w:t>八、政府性基金预算财政拨款收入支出决算表</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第三部分　</w:t>
      </w:r>
      <w:r>
        <w:rPr>
          <w:rFonts w:ascii="黑体" w:hAnsi="黑体" w:eastAsia="黑体" w:cs="黑体"/>
          <w:color w:val="auto"/>
          <w:sz w:val="32"/>
          <w:szCs w:val="32"/>
          <w:highlight w:val="none"/>
        </w:rPr>
        <w:t>2021</w:t>
      </w:r>
      <w:r>
        <w:rPr>
          <w:rFonts w:hint="eastAsia" w:ascii="黑体" w:hAnsi="黑体" w:eastAsia="黑体" w:cs="黑体"/>
          <w:color w:val="auto"/>
          <w:sz w:val="32"/>
          <w:szCs w:val="32"/>
          <w:highlight w:val="none"/>
        </w:rPr>
        <w:t>年度</w:t>
      </w:r>
      <w:r>
        <w:rPr>
          <w:rFonts w:hint="eastAsia" w:ascii="黑体" w:hAnsi="黑体" w:eastAsia="黑体" w:cs="黑体"/>
          <w:color w:val="auto"/>
          <w:sz w:val="32"/>
          <w:szCs w:val="32"/>
          <w:highlight w:val="none"/>
          <w:lang w:eastAsia="zh-CN"/>
        </w:rPr>
        <w:t>单位</w:t>
      </w:r>
      <w:r>
        <w:rPr>
          <w:rFonts w:hint="eastAsia" w:ascii="黑体" w:hAnsi="黑体" w:eastAsia="黑体" w:cs="黑体"/>
          <w:color w:val="auto"/>
          <w:sz w:val="32"/>
          <w:szCs w:val="32"/>
          <w:highlight w:val="none"/>
        </w:rPr>
        <w:t>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一、收入支出决算总体情况说明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二、收入决算情况说明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三、支出决算情况说明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四、财政拨款收入支出决算总体情况说明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五、一般公共预算财政拨款支出决算情况说明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六、一般公共预算财政拨款基本支出决算情况说明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七、一般公共预算财政拨款“三公”经费支出决算情况说明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八、政府性基金预算财政拨款支出决算情况说明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九、机关运行经费支出情况说明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十、政府采购支出情况说明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十一、国有资产占用情况说明</w:t>
      </w:r>
    </w:p>
    <w:p>
      <w:pPr>
        <w:ind w:firstLine="640" w:firstLineChars="200"/>
        <w:jc w:val="left"/>
        <w:rPr>
          <w:rFonts w:ascii="宋体" w:hAnsi="宋体" w:cs="宋体"/>
          <w:color w:val="auto"/>
          <w:sz w:val="32"/>
          <w:szCs w:val="32"/>
          <w:highlight w:val="none"/>
        </w:rPr>
      </w:pPr>
      <w:r>
        <w:rPr>
          <w:rFonts w:hint="eastAsia" w:ascii="宋体" w:hAnsi="宋体" w:cs="宋体"/>
          <w:color w:val="auto"/>
          <w:sz w:val="32"/>
          <w:szCs w:val="32"/>
          <w:highlight w:val="none"/>
        </w:rPr>
        <w:t>十二、预算绩效情况说明</w:t>
      </w:r>
    </w:p>
    <w:p>
      <w:pPr>
        <w:jc w:val="left"/>
        <w:rPr>
          <w:rFonts w:ascii="黑体" w:hAnsi="黑体" w:eastAsia="黑体" w:cs="黑体"/>
          <w:color w:val="auto"/>
          <w:sz w:val="32"/>
          <w:szCs w:val="32"/>
          <w:highlight w:val="none"/>
        </w:rPr>
      </w:pPr>
      <w:r>
        <w:rPr>
          <w:rFonts w:hint="eastAsia" w:ascii="黑体" w:hAnsi="黑体" w:eastAsia="黑体" w:cs="黑体"/>
          <w:color w:val="auto"/>
          <w:sz w:val="32"/>
          <w:szCs w:val="32"/>
          <w:highlight w:val="none"/>
        </w:rPr>
        <w:t>第四部分　　名词解释</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center"/>
        <w:outlineLvl w:val="0"/>
        <w:rPr>
          <w:rFonts w:ascii="黑体" w:hAnsi="黑体" w:eastAsia="黑体" w:cs="黑体"/>
          <w:color w:val="auto"/>
          <w:sz w:val="48"/>
          <w:szCs w:val="48"/>
          <w:highlight w:val="none"/>
        </w:rPr>
      </w:pPr>
    </w:p>
    <w:p>
      <w:pPr>
        <w:widowControl/>
        <w:jc w:val="both"/>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hint="eastAsia" w:ascii="黑体" w:hAnsi="黑体" w:eastAsia="黑体" w:cs="黑体"/>
          <w:color w:val="auto"/>
          <w:sz w:val="48"/>
          <w:szCs w:val="48"/>
          <w:highlight w:val="none"/>
        </w:rPr>
      </w:pPr>
    </w:p>
    <w:p>
      <w:pPr>
        <w:widowControl/>
        <w:jc w:val="center"/>
        <w:outlineLvl w:val="0"/>
        <w:rPr>
          <w:rFonts w:ascii="黑体" w:hAnsi="宋体" w:eastAsia="黑体" w:cs="宋体"/>
          <w:color w:val="auto"/>
          <w:kern w:val="0"/>
          <w:sz w:val="48"/>
          <w:szCs w:val="48"/>
          <w:highlight w:val="none"/>
        </w:rPr>
      </w:pPr>
      <w:r>
        <w:rPr>
          <w:rFonts w:hint="eastAsia" w:ascii="黑体" w:hAnsi="黑体" w:eastAsia="黑体" w:cs="黑体"/>
          <w:color w:val="auto"/>
          <w:sz w:val="48"/>
          <w:szCs w:val="48"/>
          <w:highlight w:val="none"/>
        </w:rPr>
        <w:t>第一部分  许昌市</w:t>
      </w:r>
      <w:r>
        <w:rPr>
          <w:rFonts w:hint="eastAsia" w:ascii="黑体" w:hAnsi="黑体" w:eastAsia="黑体" w:cs="黑体"/>
          <w:color w:val="auto"/>
          <w:sz w:val="48"/>
          <w:szCs w:val="48"/>
          <w:highlight w:val="none"/>
          <w:lang w:eastAsia="zh-CN"/>
        </w:rPr>
        <w:t>物业</w:t>
      </w:r>
      <w:r>
        <w:rPr>
          <w:rFonts w:hint="eastAsia" w:ascii="黑体" w:hAnsi="黑体" w:eastAsia="黑体" w:cs="黑体"/>
          <w:color w:val="auto"/>
          <w:sz w:val="48"/>
          <w:szCs w:val="48"/>
          <w:highlight w:val="none"/>
        </w:rPr>
        <w:t>管理中心概况</w:t>
      </w: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jc w:val="left"/>
        <w:outlineLvl w:val="1"/>
        <w:rPr>
          <w:rFonts w:ascii="黑体" w:hAnsi="黑体" w:eastAsia="黑体" w:cs="黑体"/>
          <w:color w:val="auto"/>
          <w:kern w:val="0"/>
          <w:sz w:val="32"/>
          <w:szCs w:val="32"/>
          <w:highlight w:val="none"/>
        </w:rPr>
      </w:pP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一、</w:t>
      </w:r>
      <w:r>
        <w:rPr>
          <w:rFonts w:hint="eastAsia" w:ascii="黑体" w:hAnsi="黑体" w:eastAsia="黑体" w:cs="黑体"/>
          <w:color w:val="auto"/>
          <w:kern w:val="0"/>
          <w:sz w:val="32"/>
          <w:szCs w:val="32"/>
          <w:highlight w:val="none"/>
          <w:lang w:eastAsia="zh-CN"/>
        </w:rPr>
        <w:t>单位</w:t>
      </w:r>
      <w:r>
        <w:rPr>
          <w:rFonts w:hint="eastAsia" w:ascii="黑体" w:hAnsi="黑体" w:eastAsia="黑体" w:cs="黑体"/>
          <w:bCs/>
          <w:color w:val="auto"/>
          <w:sz w:val="32"/>
          <w:szCs w:val="32"/>
          <w:highlight w:val="none"/>
        </w:rPr>
        <w:t>职责</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（一）负责物业服务小区精细化管理考核工作，建立完善全市物业服务企业信用档案管理系统；</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（二）全市物业管理从业人员培训工作；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（三）示范住宅小区的初审及初验工作；</w:t>
      </w:r>
    </w:p>
    <w:p>
      <w:pPr>
        <w:keepNext w:val="0"/>
        <w:keepLines w:val="0"/>
        <w:pageBreakBefore w:val="0"/>
        <w:widowControl w:val="0"/>
        <w:kinsoku/>
        <w:wordWrap/>
        <w:overflowPunct/>
        <w:topLinePunct w:val="0"/>
        <w:autoSpaceDE/>
        <w:autoSpaceDN/>
        <w:bidi w:val="0"/>
        <w:adjustRightInd/>
        <w:snapToGrid/>
        <w:spacing w:line="560" w:lineRule="exact"/>
        <w:ind w:firstLine="480" w:firstLineChars="150"/>
        <w:textAlignment w:val="auto"/>
        <w:rPr>
          <w:rFonts w:hint="eastAsia" w:ascii="仿宋_GB2312" w:hAnsi="宋体" w:eastAsia="仿宋_GB2312" w:cs="宋体"/>
          <w:color w:val="auto"/>
          <w:kern w:val="0"/>
          <w:sz w:val="32"/>
          <w:szCs w:val="32"/>
          <w:highlight w:val="none"/>
        </w:rPr>
      </w:pPr>
      <w:r>
        <w:rPr>
          <w:rFonts w:hint="eastAsia" w:ascii="仿宋_GB2312" w:hAnsi="宋体" w:eastAsia="仿宋_GB2312" w:cs="宋体"/>
          <w:color w:val="auto"/>
          <w:kern w:val="0"/>
          <w:sz w:val="32"/>
          <w:szCs w:val="32"/>
          <w:highlight w:val="none"/>
        </w:rPr>
        <w:t>（四）市区居民住宅小区住宅专项维修资金的交存、管理和使用工作。</w:t>
      </w:r>
    </w:p>
    <w:p>
      <w:pPr>
        <w:widowControl/>
        <w:ind w:firstLine="640" w:firstLineChars="200"/>
        <w:jc w:val="left"/>
        <w:outlineLvl w:val="1"/>
        <w:rPr>
          <w:rFonts w:ascii="黑体" w:hAnsi="黑体" w:eastAsia="黑体" w:cs="黑体"/>
          <w:color w:val="auto"/>
          <w:kern w:val="0"/>
          <w:sz w:val="32"/>
          <w:szCs w:val="32"/>
          <w:highlight w:val="none"/>
        </w:rPr>
      </w:pPr>
      <w:r>
        <w:rPr>
          <w:rFonts w:hint="eastAsia" w:ascii="黑体" w:hAnsi="黑体" w:eastAsia="黑体" w:cs="黑体"/>
          <w:color w:val="auto"/>
          <w:kern w:val="0"/>
          <w:sz w:val="32"/>
          <w:szCs w:val="32"/>
          <w:highlight w:val="none"/>
        </w:rPr>
        <w:t>二、机构设置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许昌市物业管理中心内设机构4个，包括：综合办公室、维修资金管理科、维修工程管理科、企业管理科。</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从决算单位构成看，许昌市物业管理中心</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决算包括：本级决算</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lang w:val="en-US" w:eastAsia="zh-CN"/>
        </w:rPr>
        <w:t>1个</w:t>
      </w:r>
      <w:r>
        <w:rPr>
          <w:rFonts w:hint="eastAsia" w:ascii="仿宋_GB2312" w:hAnsi="仿宋_GB2312" w:eastAsia="仿宋_GB2312" w:cs="仿宋_GB2312"/>
          <w:color w:val="auto"/>
          <w:kern w:val="0"/>
          <w:sz w:val="32"/>
          <w:szCs w:val="32"/>
          <w:highlight w:val="none"/>
          <w:lang w:eastAsia="zh-CN"/>
        </w:rPr>
        <w:t>）</w:t>
      </w:r>
      <w:r>
        <w:rPr>
          <w:rFonts w:hint="eastAsia" w:ascii="仿宋_GB2312" w:hAnsi="仿宋_GB2312" w:eastAsia="仿宋_GB2312" w:cs="仿宋_GB2312"/>
          <w:color w:val="auto"/>
          <w:kern w:val="0"/>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rPr>
        <w:t>纳入本</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202</w:t>
      </w:r>
      <w:r>
        <w:rPr>
          <w:rFonts w:ascii="仿宋_GB2312" w:hAnsi="仿宋_GB2312" w:eastAsia="仿宋_GB2312" w:cs="仿宋_GB2312"/>
          <w:color w:val="auto"/>
          <w:kern w:val="0"/>
          <w:sz w:val="32"/>
          <w:szCs w:val="32"/>
          <w:highlight w:val="none"/>
        </w:rPr>
        <w:t>1</w:t>
      </w:r>
      <w:r>
        <w:rPr>
          <w:rFonts w:hint="eastAsia" w:ascii="仿宋_GB2312" w:hAnsi="仿宋_GB2312" w:eastAsia="仿宋_GB2312" w:cs="仿宋_GB2312"/>
          <w:color w:val="auto"/>
          <w:kern w:val="0"/>
          <w:sz w:val="32"/>
          <w:szCs w:val="32"/>
          <w:highlight w:val="none"/>
        </w:rPr>
        <w:t>年度</w:t>
      </w:r>
      <w:r>
        <w:rPr>
          <w:rFonts w:hint="eastAsia" w:ascii="仿宋_GB2312" w:hAnsi="仿宋_GB2312" w:eastAsia="仿宋_GB2312" w:cs="仿宋_GB2312"/>
          <w:color w:val="auto"/>
          <w:kern w:val="0"/>
          <w:sz w:val="32"/>
          <w:szCs w:val="32"/>
          <w:highlight w:val="none"/>
          <w:lang w:eastAsia="zh-CN"/>
        </w:rPr>
        <w:t>单位</w:t>
      </w:r>
      <w:r>
        <w:rPr>
          <w:rFonts w:hint="eastAsia" w:ascii="仿宋_GB2312" w:hAnsi="仿宋_GB2312" w:eastAsia="仿宋_GB2312" w:cs="仿宋_GB2312"/>
          <w:color w:val="auto"/>
          <w:kern w:val="0"/>
          <w:sz w:val="32"/>
          <w:szCs w:val="32"/>
          <w:highlight w:val="none"/>
        </w:rPr>
        <w:t>决算编制范围的单位共1个，具体是：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color w:val="auto"/>
          <w:kern w:val="0"/>
          <w:sz w:val="32"/>
          <w:szCs w:val="32"/>
          <w:highlight w:val="none"/>
        </w:rPr>
      </w:pPr>
      <w:r>
        <w:rPr>
          <w:rFonts w:hint="eastAsia" w:ascii="仿宋_GB2312" w:hAnsi="仿宋_GB2312" w:eastAsia="仿宋_GB2312" w:cs="仿宋_GB2312"/>
          <w:color w:val="auto"/>
          <w:kern w:val="0"/>
          <w:sz w:val="32"/>
          <w:szCs w:val="32"/>
          <w:highlight w:val="none"/>
          <w:lang w:val="en-US" w:eastAsia="zh-CN"/>
        </w:rPr>
        <w:t>1.</w:t>
      </w:r>
      <w:r>
        <w:rPr>
          <w:rFonts w:hint="eastAsia" w:ascii="仿宋_GB2312" w:hAnsi="仿宋_GB2312" w:eastAsia="仿宋_GB2312" w:cs="仿宋_GB2312"/>
          <w:color w:val="auto"/>
          <w:kern w:val="0"/>
          <w:sz w:val="32"/>
          <w:szCs w:val="32"/>
          <w:highlight w:val="none"/>
        </w:rPr>
        <w:t>许昌市物业管理中心</w:t>
      </w:r>
    </w:p>
    <w:p>
      <w:pPr>
        <w:spacing w:line="540" w:lineRule="exact"/>
        <w:ind w:firstLine="640" w:firstLineChars="200"/>
        <w:rPr>
          <w:rFonts w:ascii="仿宋_GB2312" w:hAnsi="仿宋_GB2312" w:eastAsia="仿宋_GB2312" w:cs="仿宋_GB2312"/>
          <w:color w:val="auto"/>
          <w:sz w:val="32"/>
          <w:szCs w:val="32"/>
          <w:highlight w:val="none"/>
        </w:rPr>
      </w:pPr>
    </w:p>
    <w:p>
      <w:pPr>
        <w:widowControl/>
        <w:ind w:firstLine="640" w:firstLineChars="200"/>
        <w:jc w:val="left"/>
        <w:rPr>
          <w:rFonts w:ascii="仿宋_GB2312" w:hAnsi="仿宋_GB2312" w:eastAsia="仿宋_GB2312" w:cs="仿宋_GB2312"/>
          <w:color w:val="auto"/>
          <w:kern w:val="0"/>
          <w:sz w:val="32"/>
          <w:szCs w:val="32"/>
          <w:highlight w:val="none"/>
        </w:rPr>
      </w:pPr>
    </w:p>
    <w:p>
      <w:pPr>
        <w:widowControl/>
        <w:jc w:val="left"/>
        <w:rPr>
          <w:rFonts w:ascii="黑体" w:hAnsi="宋体" w:eastAsia="黑体" w:cs="宋体"/>
          <w:color w:val="auto"/>
          <w:kern w:val="0"/>
          <w:sz w:val="28"/>
          <w:szCs w:val="28"/>
          <w:highlight w:val="none"/>
        </w:rPr>
        <w:sectPr>
          <w:footerReference r:id="rId3" w:type="default"/>
          <w:footerReference r:id="rId4" w:type="even"/>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第二部分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决算表</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tbl>
      <w:tblPr>
        <w:tblStyle w:val="5"/>
        <w:tblW w:w="14000" w:type="dxa"/>
        <w:tblInd w:w="91" w:type="dxa"/>
        <w:tblLayout w:type="fixed"/>
        <w:tblCellMar>
          <w:top w:w="0" w:type="dxa"/>
          <w:left w:w="108" w:type="dxa"/>
          <w:bottom w:w="0" w:type="dxa"/>
          <w:right w:w="108" w:type="dxa"/>
        </w:tblCellMar>
      </w:tblPr>
      <w:tblGrid>
        <w:gridCol w:w="4265"/>
        <w:gridCol w:w="761"/>
        <w:gridCol w:w="1736"/>
        <w:gridCol w:w="4508"/>
        <w:gridCol w:w="1100"/>
        <w:gridCol w:w="1630"/>
      </w:tblGrid>
      <w:tr>
        <w:tblPrEx>
          <w:tblCellMar>
            <w:top w:w="0" w:type="dxa"/>
            <w:left w:w="108" w:type="dxa"/>
            <w:bottom w:w="0" w:type="dxa"/>
            <w:right w:w="108" w:type="dxa"/>
          </w:tblCellMar>
        </w:tblPrEx>
        <w:trPr>
          <w:trHeight w:val="619" w:hRule="atLeast"/>
        </w:trPr>
        <w:tc>
          <w:tcPr>
            <w:tcW w:w="14000" w:type="dxa"/>
            <w:gridSpan w:val="6"/>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收入支出决算总表</w:t>
            </w:r>
          </w:p>
        </w:tc>
      </w:tr>
      <w:tr>
        <w:tblPrEx>
          <w:tblCellMar>
            <w:top w:w="0" w:type="dxa"/>
            <w:left w:w="108" w:type="dxa"/>
            <w:bottom w:w="0" w:type="dxa"/>
            <w:right w:w="108" w:type="dxa"/>
          </w:tblCellMar>
        </w:tblPrEx>
        <w:trPr>
          <w:trHeight w:val="283" w:hRule="atLeast"/>
        </w:trPr>
        <w:tc>
          <w:tcPr>
            <w:tcW w:w="4265" w:type="dxa"/>
            <w:tcBorders>
              <w:top w:val="nil"/>
              <w:left w:val="nil"/>
              <w:bottom w:val="nil"/>
              <w:right w:val="nil"/>
            </w:tcBorders>
            <w:noWrap/>
            <w:vAlign w:val="bottom"/>
          </w:tcPr>
          <w:p>
            <w:pPr>
              <w:rPr>
                <w:rFonts w:ascii="Arial" w:hAnsi="Arial" w:cs="Arial"/>
                <w:color w:val="auto"/>
                <w:sz w:val="20"/>
                <w:szCs w:val="20"/>
                <w:highlight w:val="none"/>
              </w:rPr>
            </w:pPr>
          </w:p>
        </w:tc>
        <w:tc>
          <w:tcPr>
            <w:tcW w:w="761" w:type="dxa"/>
            <w:tcBorders>
              <w:top w:val="nil"/>
              <w:left w:val="nil"/>
              <w:bottom w:val="nil"/>
              <w:right w:val="nil"/>
            </w:tcBorders>
            <w:noWrap/>
            <w:vAlign w:val="bottom"/>
          </w:tcPr>
          <w:p>
            <w:pPr>
              <w:rPr>
                <w:rFonts w:ascii="Arial" w:hAnsi="Arial" w:cs="Arial"/>
                <w:color w:val="auto"/>
                <w:sz w:val="20"/>
                <w:szCs w:val="20"/>
                <w:highlight w:val="none"/>
              </w:rPr>
            </w:pPr>
          </w:p>
        </w:tc>
        <w:tc>
          <w:tcPr>
            <w:tcW w:w="1736" w:type="dxa"/>
            <w:tcBorders>
              <w:top w:val="nil"/>
              <w:left w:val="nil"/>
              <w:bottom w:val="nil"/>
              <w:right w:val="nil"/>
            </w:tcBorders>
            <w:noWrap/>
            <w:vAlign w:val="bottom"/>
          </w:tcPr>
          <w:p>
            <w:pPr>
              <w:rPr>
                <w:rFonts w:ascii="Arial" w:hAnsi="Arial" w:cs="Arial"/>
                <w:color w:val="auto"/>
                <w:sz w:val="20"/>
                <w:szCs w:val="20"/>
                <w:highlight w:val="none"/>
              </w:rPr>
            </w:pPr>
          </w:p>
        </w:tc>
        <w:tc>
          <w:tcPr>
            <w:tcW w:w="4508" w:type="dxa"/>
            <w:tcBorders>
              <w:top w:val="nil"/>
              <w:left w:val="nil"/>
              <w:bottom w:val="nil"/>
              <w:right w:val="nil"/>
            </w:tcBorders>
            <w:noWrap/>
            <w:vAlign w:val="bottom"/>
          </w:tcPr>
          <w:p>
            <w:pPr>
              <w:rPr>
                <w:rFonts w:ascii="Arial" w:hAnsi="Arial" w:cs="Arial"/>
                <w:color w:val="auto"/>
                <w:sz w:val="20"/>
                <w:szCs w:val="20"/>
                <w:highlight w:val="none"/>
              </w:rPr>
            </w:pPr>
          </w:p>
        </w:tc>
        <w:tc>
          <w:tcPr>
            <w:tcW w:w="2730"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公开01表</w:t>
            </w:r>
          </w:p>
        </w:tc>
      </w:tr>
      <w:tr>
        <w:tblPrEx>
          <w:tblCellMar>
            <w:top w:w="0" w:type="dxa"/>
            <w:left w:w="108" w:type="dxa"/>
            <w:bottom w:w="0" w:type="dxa"/>
            <w:right w:w="108" w:type="dxa"/>
          </w:tblCellMar>
        </w:tblPrEx>
        <w:trPr>
          <w:trHeight w:val="283" w:hRule="atLeast"/>
        </w:trPr>
        <w:tc>
          <w:tcPr>
            <w:tcW w:w="4265" w:type="dxa"/>
            <w:tcBorders>
              <w:top w:val="nil"/>
              <w:left w:val="nil"/>
              <w:bottom w:val="nil"/>
              <w:right w:val="nil"/>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761" w:type="dxa"/>
            <w:tcBorders>
              <w:top w:val="nil"/>
              <w:left w:val="nil"/>
              <w:bottom w:val="nil"/>
              <w:right w:val="nil"/>
            </w:tcBorders>
            <w:noWrap/>
            <w:vAlign w:val="bottom"/>
          </w:tcPr>
          <w:p>
            <w:pPr>
              <w:rPr>
                <w:rFonts w:ascii="Arial" w:hAnsi="Arial" w:cs="Arial"/>
                <w:color w:val="auto"/>
                <w:sz w:val="20"/>
                <w:szCs w:val="20"/>
                <w:highlight w:val="none"/>
              </w:rPr>
            </w:pPr>
          </w:p>
        </w:tc>
        <w:tc>
          <w:tcPr>
            <w:tcW w:w="1736" w:type="dxa"/>
            <w:tcBorders>
              <w:top w:val="nil"/>
              <w:left w:val="nil"/>
              <w:bottom w:val="nil"/>
              <w:right w:val="nil"/>
            </w:tcBorders>
            <w:noWrap/>
            <w:vAlign w:val="bottom"/>
          </w:tcPr>
          <w:p>
            <w:pPr>
              <w:rPr>
                <w:rFonts w:ascii="Arial" w:hAnsi="Arial" w:cs="Arial"/>
                <w:color w:val="auto"/>
                <w:sz w:val="20"/>
                <w:szCs w:val="20"/>
                <w:highlight w:val="none"/>
              </w:rPr>
            </w:pPr>
          </w:p>
        </w:tc>
        <w:tc>
          <w:tcPr>
            <w:tcW w:w="4508" w:type="dxa"/>
            <w:tcBorders>
              <w:top w:val="nil"/>
              <w:left w:val="nil"/>
              <w:bottom w:val="nil"/>
              <w:right w:val="nil"/>
            </w:tcBorders>
            <w:noWrap/>
            <w:vAlign w:val="bottom"/>
          </w:tcPr>
          <w:p>
            <w:pPr>
              <w:rPr>
                <w:rFonts w:ascii="Arial" w:hAnsi="Arial" w:cs="Arial"/>
                <w:color w:val="auto"/>
                <w:sz w:val="20"/>
                <w:szCs w:val="20"/>
                <w:highlight w:val="none"/>
              </w:rPr>
            </w:pPr>
          </w:p>
        </w:tc>
        <w:tc>
          <w:tcPr>
            <w:tcW w:w="2730"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425" w:hRule="atLeast"/>
        </w:trPr>
        <w:tc>
          <w:tcPr>
            <w:tcW w:w="6762" w:type="dxa"/>
            <w:gridSpan w:val="3"/>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收入</w:t>
            </w:r>
          </w:p>
        </w:tc>
        <w:tc>
          <w:tcPr>
            <w:tcW w:w="7238"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支出</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项目</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行次</w:t>
            </w:r>
          </w:p>
        </w:tc>
        <w:tc>
          <w:tcPr>
            <w:tcW w:w="173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金额</w:t>
            </w:r>
          </w:p>
        </w:tc>
        <w:tc>
          <w:tcPr>
            <w:tcW w:w="450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项目</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行次</w:t>
            </w:r>
          </w:p>
        </w:tc>
        <w:tc>
          <w:tcPr>
            <w:tcW w:w="163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金额</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栏次</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1736"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w:t>
            </w:r>
          </w:p>
        </w:tc>
        <w:tc>
          <w:tcPr>
            <w:tcW w:w="450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栏次</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163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一、一般公共预算财政拨款收入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124.55</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一、一般公共服务支出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32</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0.52</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二、政府性基金预算财政拨款收入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二、外交支出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33</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三、国有资本经营预算财政拨款收入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三、国防支出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34</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四、上级补助收入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四、公共安全支出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35</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五、事业收入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五、教育支出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36</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六、经营收入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6</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六、科学技术支出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37</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七、附属单位上缴收入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7</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七、文化旅游体育与传媒支出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38</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八、其他收入</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8</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八、社会保障和就业支出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39</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7.21</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9</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九、卫生健康支出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40</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3.34</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10</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十、节能环保支出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41</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11</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十一、城乡社区支出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42</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117.13</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12</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十二、农林水支出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43</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13</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十三、交通运输支出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44</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14</w:t>
            </w:r>
          </w:p>
        </w:tc>
        <w:tc>
          <w:tcPr>
            <w:tcW w:w="1736"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十四、资源勘探工业信息等支出</w:t>
            </w:r>
          </w:p>
        </w:tc>
        <w:tc>
          <w:tcPr>
            <w:tcW w:w="110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45</w:t>
            </w:r>
          </w:p>
        </w:tc>
        <w:tc>
          <w:tcPr>
            <w:tcW w:w="1630"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15</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十五、商业服务业等支出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46</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16</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十六、金融支出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47</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17</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十七、援助其他地区支出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48</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18</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十八、自然资源海洋气象等支出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49</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19</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十九、住房保障支出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50</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20</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二十、粮油物资储备支出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51</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21</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二十一、国有资本经营预算支出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52</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22</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二十二、灾害防治及应急管理支出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53</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23</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二十三、其他支出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54</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highlight w:val="none"/>
              </w:rPr>
            </w:pPr>
            <w:r>
              <w:rPr>
                <w:rFonts w:hint="eastAsia" w:cs="宋体" w:asciiTheme="majorEastAsia" w:hAnsiTheme="majorEastAsia" w:eastAsiaTheme="majorEastAsia"/>
                <w:b/>
                <w:bCs/>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24</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二十四、债务还本支出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55</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25</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二十五、债务付息支出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56</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26</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二十六、抗疫特别国债安排的支出</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57</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highlight w:val="none"/>
              </w:rPr>
            </w:pPr>
            <w:r>
              <w:rPr>
                <w:rFonts w:hint="eastAsia" w:cs="宋体" w:asciiTheme="majorEastAsia" w:hAnsiTheme="majorEastAsia" w:eastAsiaTheme="majorEastAsia"/>
                <w:b/>
                <w:bCs/>
                <w:color w:val="auto"/>
                <w:kern w:val="0"/>
                <w:sz w:val="22"/>
                <w:highlight w:val="none"/>
              </w:rPr>
              <w:t>本年收入合计</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27</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124.55</w:t>
            </w:r>
          </w:p>
        </w:tc>
        <w:tc>
          <w:tcPr>
            <w:tcW w:w="450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highlight w:val="none"/>
              </w:rPr>
            </w:pPr>
            <w:r>
              <w:rPr>
                <w:rFonts w:hint="eastAsia" w:cs="宋体" w:asciiTheme="majorEastAsia" w:hAnsiTheme="majorEastAsia" w:eastAsiaTheme="majorEastAsia"/>
                <w:b/>
                <w:bCs/>
                <w:color w:val="auto"/>
                <w:kern w:val="0"/>
                <w:sz w:val="22"/>
                <w:highlight w:val="none"/>
              </w:rPr>
              <w:t>本年支出合计</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58</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128.20</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使用非财政拨款结余</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28</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结余分配</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59</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年初结转和结余</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29</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3.65</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年末结转和结余</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60</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76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30</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4508"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61</w:t>
            </w:r>
          </w:p>
        </w:tc>
        <w:tc>
          <w:tcPr>
            <w:tcW w:w="1630" w:type="dxa"/>
            <w:tcBorders>
              <w:top w:val="nil"/>
              <w:left w:val="nil"/>
              <w:bottom w:val="single" w:color="000000" w:sz="4" w:space="0"/>
              <w:right w:val="single" w:color="000000" w:sz="4" w:space="0"/>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　</w:t>
            </w:r>
          </w:p>
        </w:tc>
      </w:tr>
      <w:tr>
        <w:tblPrEx>
          <w:tblCellMar>
            <w:top w:w="0" w:type="dxa"/>
            <w:left w:w="108" w:type="dxa"/>
            <w:bottom w:w="0" w:type="dxa"/>
            <w:right w:w="108" w:type="dxa"/>
          </w:tblCellMar>
        </w:tblPrEx>
        <w:trPr>
          <w:trHeight w:val="425" w:hRule="atLeast"/>
        </w:trPr>
        <w:tc>
          <w:tcPr>
            <w:tcW w:w="4265"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highlight w:val="none"/>
              </w:rPr>
            </w:pPr>
            <w:r>
              <w:rPr>
                <w:rFonts w:hint="eastAsia" w:cs="宋体" w:asciiTheme="majorEastAsia" w:hAnsiTheme="majorEastAsia" w:eastAsiaTheme="majorEastAsia"/>
                <w:b/>
                <w:bCs/>
                <w:color w:val="auto"/>
                <w:kern w:val="0"/>
                <w:sz w:val="22"/>
                <w:highlight w:val="none"/>
              </w:rPr>
              <w:t>总计</w:t>
            </w:r>
          </w:p>
        </w:tc>
        <w:tc>
          <w:tcPr>
            <w:tcW w:w="761" w:type="dxa"/>
            <w:tcBorders>
              <w:top w:val="nil"/>
              <w:left w:val="nil"/>
              <w:bottom w:val="single" w:color="000000" w:sz="8"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31</w:t>
            </w:r>
          </w:p>
        </w:tc>
        <w:tc>
          <w:tcPr>
            <w:tcW w:w="1736"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128.20</w:t>
            </w:r>
          </w:p>
        </w:tc>
        <w:tc>
          <w:tcPr>
            <w:tcW w:w="4508"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b/>
                <w:bCs/>
                <w:color w:val="auto"/>
                <w:sz w:val="22"/>
                <w:highlight w:val="none"/>
              </w:rPr>
            </w:pPr>
            <w:r>
              <w:rPr>
                <w:rFonts w:hint="eastAsia" w:cs="宋体" w:asciiTheme="majorEastAsia" w:hAnsiTheme="majorEastAsia" w:eastAsiaTheme="majorEastAsia"/>
                <w:b/>
                <w:bCs/>
                <w:color w:val="auto"/>
                <w:kern w:val="0"/>
                <w:sz w:val="22"/>
                <w:highlight w:val="none"/>
              </w:rPr>
              <w:t>总计</w:t>
            </w:r>
          </w:p>
        </w:tc>
        <w:tc>
          <w:tcPr>
            <w:tcW w:w="11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62</w:t>
            </w:r>
          </w:p>
        </w:tc>
        <w:tc>
          <w:tcPr>
            <w:tcW w:w="1630"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ajorEastAsia" w:hAnsiTheme="majorEastAsia" w:eastAsiaTheme="majorEastAsia"/>
                <w:color w:val="auto"/>
                <w:sz w:val="22"/>
                <w:highlight w:val="none"/>
                <w:lang w:val="en-US" w:eastAsia="zh-CN"/>
              </w:rPr>
            </w:pPr>
            <w:r>
              <w:rPr>
                <w:rFonts w:hint="eastAsia" w:cs="宋体" w:asciiTheme="majorEastAsia" w:hAnsiTheme="majorEastAsia" w:eastAsiaTheme="majorEastAsia"/>
                <w:color w:val="auto"/>
                <w:kern w:val="0"/>
                <w:sz w:val="22"/>
                <w:highlight w:val="none"/>
                <w:lang w:val="en-US" w:eastAsia="zh-CN"/>
              </w:rPr>
              <w:t>128.20</w:t>
            </w:r>
          </w:p>
        </w:tc>
      </w:tr>
      <w:tr>
        <w:tblPrEx>
          <w:tblCellMar>
            <w:top w:w="0" w:type="dxa"/>
            <w:left w:w="108" w:type="dxa"/>
            <w:bottom w:w="0" w:type="dxa"/>
            <w:right w:w="108" w:type="dxa"/>
          </w:tblCellMar>
        </w:tblPrEx>
        <w:trPr>
          <w:trHeight w:val="425" w:hRule="atLeast"/>
        </w:trPr>
        <w:tc>
          <w:tcPr>
            <w:tcW w:w="14000" w:type="dxa"/>
            <w:gridSpan w:val="6"/>
            <w:tcBorders>
              <w:top w:val="nil"/>
              <w:left w:val="nil"/>
              <w:bottom w:val="nil"/>
              <w:right w:val="nil"/>
            </w:tcBorders>
            <w:noWrap/>
            <w:vAlign w:val="center"/>
          </w:tcPr>
          <w:p>
            <w:pPr>
              <w:widowControl/>
              <w:jc w:val="left"/>
              <w:textAlignment w:val="center"/>
              <w:rPr>
                <w:rFonts w:cs="宋体" w:asciiTheme="majorEastAsia" w:hAnsiTheme="majorEastAsia" w:eastAsiaTheme="majorEastAsia"/>
                <w:color w:val="auto"/>
                <w:sz w:val="22"/>
                <w:highlight w:val="none"/>
              </w:rPr>
            </w:pPr>
            <w:r>
              <w:rPr>
                <w:rFonts w:hint="eastAsia" w:cs="宋体" w:asciiTheme="majorEastAsia" w:hAnsiTheme="majorEastAsia" w:eastAsiaTheme="majorEastAsia"/>
                <w:color w:val="auto"/>
                <w:kern w:val="0"/>
                <w:sz w:val="22"/>
                <w:highlight w:val="none"/>
              </w:rPr>
              <w:t>注：本表反映</w:t>
            </w:r>
            <w:r>
              <w:rPr>
                <w:rFonts w:hint="eastAsia" w:cs="宋体" w:asciiTheme="majorEastAsia" w:hAnsiTheme="majorEastAsia" w:eastAsiaTheme="majorEastAsia"/>
                <w:color w:val="auto"/>
                <w:kern w:val="0"/>
                <w:sz w:val="22"/>
                <w:highlight w:val="none"/>
                <w:lang w:eastAsia="zh-CN"/>
              </w:rPr>
              <w:t>单位</w:t>
            </w:r>
            <w:r>
              <w:rPr>
                <w:rFonts w:hint="eastAsia" w:cs="宋体" w:asciiTheme="majorEastAsia" w:hAnsiTheme="majorEastAsia" w:eastAsiaTheme="majorEastAsia"/>
                <w:color w:val="auto"/>
                <w:kern w:val="0"/>
                <w:sz w:val="22"/>
                <w:highlight w:val="none"/>
              </w:rPr>
              <w:t>本年度的总收支和年末结转结余情况。本表金额转换为万元时，因四舍五入可能存在尾差。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5"/>
        <w:tblW w:w="13969" w:type="dxa"/>
        <w:tblInd w:w="91" w:type="dxa"/>
        <w:tblLayout w:type="fixed"/>
        <w:tblCellMar>
          <w:top w:w="0" w:type="dxa"/>
          <w:left w:w="108" w:type="dxa"/>
          <w:bottom w:w="0" w:type="dxa"/>
          <w:right w:w="108" w:type="dxa"/>
        </w:tblCellMar>
      </w:tblPr>
      <w:tblGrid>
        <w:gridCol w:w="1264"/>
        <w:gridCol w:w="4022"/>
        <w:gridCol w:w="1155"/>
        <w:gridCol w:w="1153"/>
        <w:gridCol w:w="1560"/>
        <w:gridCol w:w="1140"/>
        <w:gridCol w:w="1170"/>
        <w:gridCol w:w="1305"/>
        <w:gridCol w:w="1200"/>
      </w:tblGrid>
      <w:tr>
        <w:tblPrEx>
          <w:tblCellMar>
            <w:top w:w="0" w:type="dxa"/>
            <w:left w:w="108" w:type="dxa"/>
            <w:bottom w:w="0" w:type="dxa"/>
            <w:right w:w="108" w:type="dxa"/>
          </w:tblCellMar>
        </w:tblPrEx>
        <w:trPr>
          <w:trHeight w:val="390" w:hRule="atLeast"/>
        </w:trPr>
        <w:tc>
          <w:tcPr>
            <w:tcW w:w="13969" w:type="dxa"/>
            <w:gridSpan w:val="9"/>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收入决算表</w:t>
            </w:r>
          </w:p>
        </w:tc>
      </w:tr>
      <w:tr>
        <w:tblPrEx>
          <w:tblCellMar>
            <w:top w:w="0" w:type="dxa"/>
            <w:left w:w="108" w:type="dxa"/>
            <w:bottom w:w="0" w:type="dxa"/>
            <w:right w:w="108" w:type="dxa"/>
          </w:tblCellMar>
        </w:tblPrEx>
        <w:trPr>
          <w:trHeight w:val="255" w:hRule="atLeast"/>
        </w:trPr>
        <w:tc>
          <w:tcPr>
            <w:tcW w:w="5286"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1155" w:type="dxa"/>
            <w:tcBorders>
              <w:top w:val="nil"/>
              <w:left w:val="nil"/>
              <w:bottom w:val="nil"/>
              <w:right w:val="nil"/>
            </w:tcBorders>
            <w:noWrap/>
            <w:vAlign w:val="bottom"/>
          </w:tcPr>
          <w:p>
            <w:pPr>
              <w:rPr>
                <w:rFonts w:ascii="Arial" w:hAnsi="Arial" w:cs="Arial"/>
                <w:color w:val="auto"/>
                <w:sz w:val="18"/>
                <w:szCs w:val="18"/>
                <w:highlight w:val="none"/>
              </w:rPr>
            </w:pPr>
          </w:p>
        </w:tc>
        <w:tc>
          <w:tcPr>
            <w:tcW w:w="1153" w:type="dxa"/>
            <w:tcBorders>
              <w:top w:val="nil"/>
              <w:left w:val="nil"/>
              <w:bottom w:val="nil"/>
              <w:right w:val="nil"/>
            </w:tcBorders>
            <w:noWrap/>
            <w:vAlign w:val="bottom"/>
          </w:tcPr>
          <w:p>
            <w:pPr>
              <w:rPr>
                <w:rFonts w:ascii="Arial" w:hAnsi="Arial" w:cs="Arial"/>
                <w:color w:val="auto"/>
                <w:sz w:val="18"/>
                <w:szCs w:val="18"/>
                <w:highlight w:val="none"/>
              </w:rPr>
            </w:pPr>
          </w:p>
        </w:tc>
        <w:tc>
          <w:tcPr>
            <w:tcW w:w="1560" w:type="dxa"/>
            <w:tcBorders>
              <w:top w:val="nil"/>
              <w:left w:val="nil"/>
              <w:bottom w:val="nil"/>
              <w:right w:val="nil"/>
            </w:tcBorders>
            <w:noWrap/>
            <w:vAlign w:val="bottom"/>
          </w:tcPr>
          <w:p>
            <w:pPr>
              <w:rPr>
                <w:rFonts w:ascii="Arial" w:hAnsi="Arial" w:cs="Arial"/>
                <w:color w:val="auto"/>
                <w:sz w:val="18"/>
                <w:szCs w:val="18"/>
                <w:highlight w:val="none"/>
              </w:rPr>
            </w:pPr>
          </w:p>
        </w:tc>
        <w:tc>
          <w:tcPr>
            <w:tcW w:w="1140" w:type="dxa"/>
            <w:tcBorders>
              <w:top w:val="nil"/>
              <w:left w:val="nil"/>
              <w:bottom w:val="nil"/>
              <w:right w:val="nil"/>
            </w:tcBorders>
            <w:noWrap/>
            <w:vAlign w:val="bottom"/>
          </w:tcPr>
          <w:p>
            <w:pPr>
              <w:rPr>
                <w:rFonts w:ascii="Arial" w:hAnsi="Arial" w:cs="Arial"/>
                <w:color w:val="auto"/>
                <w:sz w:val="18"/>
                <w:szCs w:val="18"/>
                <w:highlight w:val="none"/>
              </w:rPr>
            </w:pPr>
          </w:p>
        </w:tc>
        <w:tc>
          <w:tcPr>
            <w:tcW w:w="1170" w:type="dxa"/>
            <w:tcBorders>
              <w:top w:val="nil"/>
              <w:left w:val="nil"/>
              <w:bottom w:val="nil"/>
              <w:right w:val="nil"/>
            </w:tcBorders>
            <w:noWrap/>
            <w:vAlign w:val="bottom"/>
          </w:tcPr>
          <w:p>
            <w:pPr>
              <w:rPr>
                <w:rFonts w:ascii="Arial" w:hAnsi="Arial" w:cs="Arial"/>
                <w:color w:val="auto"/>
                <w:sz w:val="18"/>
                <w:szCs w:val="18"/>
                <w:highlight w:val="none"/>
              </w:rPr>
            </w:pPr>
          </w:p>
        </w:tc>
        <w:tc>
          <w:tcPr>
            <w:tcW w:w="2505"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公开02表</w:t>
            </w:r>
          </w:p>
        </w:tc>
      </w:tr>
      <w:tr>
        <w:tblPrEx>
          <w:tblCellMar>
            <w:top w:w="0" w:type="dxa"/>
            <w:left w:w="108" w:type="dxa"/>
            <w:bottom w:w="0" w:type="dxa"/>
            <w:right w:w="108" w:type="dxa"/>
          </w:tblCellMar>
        </w:tblPrEx>
        <w:trPr>
          <w:trHeight w:val="255" w:hRule="atLeast"/>
        </w:trPr>
        <w:tc>
          <w:tcPr>
            <w:tcW w:w="5286"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1155" w:type="dxa"/>
            <w:tcBorders>
              <w:top w:val="nil"/>
              <w:left w:val="nil"/>
              <w:bottom w:val="nil"/>
              <w:right w:val="nil"/>
            </w:tcBorders>
            <w:noWrap/>
            <w:vAlign w:val="bottom"/>
          </w:tcPr>
          <w:p>
            <w:pPr>
              <w:rPr>
                <w:rFonts w:ascii="Arial" w:hAnsi="Arial" w:cs="Arial"/>
                <w:color w:val="auto"/>
                <w:sz w:val="18"/>
                <w:szCs w:val="18"/>
                <w:highlight w:val="none"/>
              </w:rPr>
            </w:pPr>
          </w:p>
        </w:tc>
        <w:tc>
          <w:tcPr>
            <w:tcW w:w="1153" w:type="dxa"/>
            <w:tcBorders>
              <w:top w:val="nil"/>
              <w:left w:val="nil"/>
              <w:bottom w:val="nil"/>
              <w:right w:val="nil"/>
            </w:tcBorders>
            <w:noWrap/>
            <w:vAlign w:val="bottom"/>
          </w:tcPr>
          <w:p>
            <w:pPr>
              <w:rPr>
                <w:rFonts w:ascii="Arial" w:hAnsi="Arial" w:cs="Arial"/>
                <w:color w:val="auto"/>
                <w:sz w:val="18"/>
                <w:szCs w:val="18"/>
                <w:highlight w:val="none"/>
              </w:rPr>
            </w:pPr>
          </w:p>
        </w:tc>
        <w:tc>
          <w:tcPr>
            <w:tcW w:w="1560" w:type="dxa"/>
            <w:tcBorders>
              <w:top w:val="nil"/>
              <w:left w:val="nil"/>
              <w:bottom w:val="nil"/>
              <w:right w:val="nil"/>
            </w:tcBorders>
            <w:noWrap/>
            <w:vAlign w:val="bottom"/>
          </w:tcPr>
          <w:p>
            <w:pPr>
              <w:rPr>
                <w:rFonts w:ascii="Arial" w:hAnsi="Arial" w:cs="Arial"/>
                <w:color w:val="auto"/>
                <w:sz w:val="18"/>
                <w:szCs w:val="18"/>
                <w:highlight w:val="none"/>
              </w:rPr>
            </w:pPr>
          </w:p>
        </w:tc>
        <w:tc>
          <w:tcPr>
            <w:tcW w:w="1140" w:type="dxa"/>
            <w:tcBorders>
              <w:top w:val="nil"/>
              <w:left w:val="nil"/>
              <w:bottom w:val="nil"/>
              <w:right w:val="nil"/>
            </w:tcBorders>
            <w:noWrap/>
            <w:vAlign w:val="bottom"/>
          </w:tcPr>
          <w:p>
            <w:pPr>
              <w:rPr>
                <w:rFonts w:ascii="Arial" w:hAnsi="Arial" w:cs="Arial"/>
                <w:color w:val="auto"/>
                <w:sz w:val="18"/>
                <w:szCs w:val="18"/>
                <w:highlight w:val="none"/>
              </w:rPr>
            </w:pPr>
          </w:p>
        </w:tc>
        <w:tc>
          <w:tcPr>
            <w:tcW w:w="1170" w:type="dxa"/>
            <w:tcBorders>
              <w:top w:val="nil"/>
              <w:left w:val="nil"/>
              <w:bottom w:val="nil"/>
              <w:right w:val="nil"/>
            </w:tcBorders>
            <w:noWrap/>
            <w:vAlign w:val="bottom"/>
          </w:tcPr>
          <w:p>
            <w:pPr>
              <w:rPr>
                <w:rFonts w:ascii="Arial" w:hAnsi="Arial" w:cs="Arial"/>
                <w:color w:val="auto"/>
                <w:sz w:val="18"/>
                <w:szCs w:val="18"/>
                <w:highlight w:val="none"/>
              </w:rPr>
            </w:pPr>
          </w:p>
        </w:tc>
        <w:tc>
          <w:tcPr>
            <w:tcW w:w="2505"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419" w:hRule="atLeast"/>
        </w:trPr>
        <w:tc>
          <w:tcPr>
            <w:tcW w:w="5286"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项目</w:t>
            </w:r>
          </w:p>
        </w:tc>
        <w:tc>
          <w:tcPr>
            <w:tcW w:w="115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kern w:val="0"/>
                <w:sz w:val="22"/>
                <w:highlight w:val="none"/>
              </w:rPr>
            </w:pPr>
            <w:r>
              <w:rPr>
                <w:rFonts w:hint="eastAsia" w:cs="宋体" w:asciiTheme="minorEastAsia" w:hAnsiTheme="minorEastAsia" w:eastAsiaTheme="minorEastAsia"/>
                <w:color w:val="auto"/>
                <w:kern w:val="0"/>
                <w:sz w:val="22"/>
                <w:highlight w:val="none"/>
              </w:rPr>
              <w:t>本年收入</w:t>
            </w:r>
          </w:p>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合计</w:t>
            </w:r>
          </w:p>
        </w:tc>
        <w:tc>
          <w:tcPr>
            <w:tcW w:w="1153"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kern w:val="0"/>
                <w:sz w:val="22"/>
                <w:highlight w:val="none"/>
              </w:rPr>
            </w:pPr>
            <w:r>
              <w:rPr>
                <w:rFonts w:hint="eastAsia" w:cs="宋体" w:asciiTheme="minorEastAsia" w:hAnsiTheme="minorEastAsia" w:eastAsiaTheme="minorEastAsia"/>
                <w:color w:val="auto"/>
                <w:kern w:val="0"/>
                <w:sz w:val="22"/>
                <w:highlight w:val="none"/>
              </w:rPr>
              <w:t>财政拨款</w:t>
            </w:r>
          </w:p>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收入</w:t>
            </w:r>
          </w:p>
        </w:tc>
        <w:tc>
          <w:tcPr>
            <w:tcW w:w="156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上级补助收入</w:t>
            </w:r>
          </w:p>
        </w:tc>
        <w:tc>
          <w:tcPr>
            <w:tcW w:w="114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事业收入</w:t>
            </w:r>
          </w:p>
        </w:tc>
        <w:tc>
          <w:tcPr>
            <w:tcW w:w="117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经营收入</w:t>
            </w:r>
          </w:p>
        </w:tc>
        <w:tc>
          <w:tcPr>
            <w:tcW w:w="1305"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附属单位上缴收入</w:t>
            </w:r>
          </w:p>
        </w:tc>
        <w:tc>
          <w:tcPr>
            <w:tcW w:w="120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其他收入</w:t>
            </w:r>
          </w:p>
        </w:tc>
      </w:tr>
      <w:tr>
        <w:tblPrEx>
          <w:tblCellMar>
            <w:top w:w="0" w:type="dxa"/>
            <w:left w:w="108" w:type="dxa"/>
            <w:bottom w:w="0" w:type="dxa"/>
            <w:right w:w="108" w:type="dxa"/>
          </w:tblCellMar>
        </w:tblPrEx>
        <w:trPr>
          <w:trHeight w:val="312" w:hRule="atLeast"/>
        </w:trPr>
        <w:tc>
          <w:tcPr>
            <w:tcW w:w="1264"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功能分类科目编码</w:t>
            </w:r>
          </w:p>
        </w:tc>
        <w:tc>
          <w:tcPr>
            <w:tcW w:w="4022" w:type="dxa"/>
            <w:vMerge w:val="restart"/>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科目名称</w:t>
            </w:r>
          </w:p>
        </w:tc>
        <w:tc>
          <w:tcPr>
            <w:tcW w:w="115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53"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56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4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7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30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20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r>
      <w:tr>
        <w:tblPrEx>
          <w:tblCellMar>
            <w:top w:w="0" w:type="dxa"/>
            <w:left w:w="108" w:type="dxa"/>
            <w:bottom w:w="0" w:type="dxa"/>
            <w:right w:w="108" w:type="dxa"/>
          </w:tblCellMar>
        </w:tblPrEx>
        <w:trPr>
          <w:trHeight w:val="312" w:hRule="atLeast"/>
        </w:trPr>
        <w:tc>
          <w:tcPr>
            <w:tcW w:w="1264" w:type="dxa"/>
            <w:vMerge w:val="continue"/>
            <w:tcBorders>
              <w:top w:val="nil"/>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4022" w:type="dxa"/>
            <w:vMerge w:val="continue"/>
            <w:tcBorders>
              <w:top w:val="nil"/>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5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53"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56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4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7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30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20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r>
      <w:tr>
        <w:tblPrEx>
          <w:tblCellMar>
            <w:top w:w="0" w:type="dxa"/>
            <w:left w:w="108" w:type="dxa"/>
            <w:bottom w:w="0" w:type="dxa"/>
            <w:right w:w="108" w:type="dxa"/>
          </w:tblCellMar>
        </w:tblPrEx>
        <w:trPr>
          <w:trHeight w:val="312" w:hRule="atLeast"/>
        </w:trPr>
        <w:tc>
          <w:tcPr>
            <w:tcW w:w="1264" w:type="dxa"/>
            <w:vMerge w:val="continue"/>
            <w:tcBorders>
              <w:top w:val="nil"/>
              <w:left w:val="single" w:color="000000" w:sz="4" w:space="0"/>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4022" w:type="dxa"/>
            <w:vMerge w:val="continue"/>
            <w:tcBorders>
              <w:top w:val="nil"/>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5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53"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56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4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17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305"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c>
          <w:tcPr>
            <w:tcW w:w="1200" w:type="dxa"/>
            <w:vMerge w:val="continue"/>
            <w:tcBorders>
              <w:top w:val="single" w:color="000000" w:sz="4" w:space="0"/>
              <w:left w:val="nil"/>
              <w:bottom w:val="single" w:color="000000" w:sz="4" w:space="0"/>
              <w:right w:val="single" w:color="000000" w:sz="4" w:space="0"/>
            </w:tcBorders>
            <w:noWrap/>
            <w:vAlign w:val="center"/>
          </w:tcPr>
          <w:p>
            <w:pPr>
              <w:jc w:val="center"/>
              <w:rPr>
                <w:rFonts w:cs="宋体" w:asciiTheme="minorEastAsia" w:hAnsiTheme="minorEastAsia" w:eastAsiaTheme="minorEastAsia"/>
                <w:color w:val="auto"/>
                <w:sz w:val="22"/>
                <w:highlight w:val="none"/>
              </w:rPr>
            </w:pPr>
          </w:p>
        </w:tc>
      </w:tr>
      <w:tr>
        <w:tblPrEx>
          <w:tblCellMar>
            <w:top w:w="0" w:type="dxa"/>
            <w:left w:w="108" w:type="dxa"/>
            <w:bottom w:w="0" w:type="dxa"/>
            <w:right w:w="108" w:type="dxa"/>
          </w:tblCellMar>
        </w:tblPrEx>
        <w:trPr>
          <w:trHeight w:val="386" w:hRule="atLeast"/>
        </w:trPr>
        <w:tc>
          <w:tcPr>
            <w:tcW w:w="5286"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栏次</w:t>
            </w:r>
          </w:p>
        </w:tc>
        <w:tc>
          <w:tcPr>
            <w:tcW w:w="115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1</w:t>
            </w:r>
          </w:p>
        </w:tc>
        <w:tc>
          <w:tcPr>
            <w:tcW w:w="1153"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w:t>
            </w:r>
          </w:p>
        </w:tc>
        <w:tc>
          <w:tcPr>
            <w:tcW w:w="156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3</w:t>
            </w:r>
          </w:p>
        </w:tc>
        <w:tc>
          <w:tcPr>
            <w:tcW w:w="114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4</w:t>
            </w:r>
          </w:p>
        </w:tc>
        <w:tc>
          <w:tcPr>
            <w:tcW w:w="117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5</w:t>
            </w:r>
          </w:p>
        </w:tc>
        <w:tc>
          <w:tcPr>
            <w:tcW w:w="1305"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6</w:t>
            </w:r>
          </w:p>
        </w:tc>
        <w:tc>
          <w:tcPr>
            <w:tcW w:w="1200"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7</w:t>
            </w:r>
          </w:p>
        </w:tc>
      </w:tr>
      <w:tr>
        <w:tblPrEx>
          <w:tblCellMar>
            <w:top w:w="0" w:type="dxa"/>
            <w:left w:w="108" w:type="dxa"/>
            <w:bottom w:w="0" w:type="dxa"/>
            <w:right w:w="108" w:type="dxa"/>
          </w:tblCellMar>
        </w:tblPrEx>
        <w:trPr>
          <w:trHeight w:val="386" w:hRule="atLeast"/>
        </w:trPr>
        <w:tc>
          <w:tcPr>
            <w:tcW w:w="5286"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合计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b/>
                <w:bCs/>
                <w:color w:val="auto"/>
                <w:sz w:val="22"/>
                <w:highlight w:val="none"/>
                <w:lang w:val="en-US" w:eastAsia="zh-CN"/>
              </w:rPr>
            </w:pPr>
            <w:r>
              <w:rPr>
                <w:rFonts w:hint="eastAsia" w:cs="宋体" w:asciiTheme="minorEastAsia" w:hAnsiTheme="minorEastAsia" w:eastAsiaTheme="minorEastAsia"/>
                <w:b/>
                <w:bCs/>
                <w:color w:val="auto"/>
                <w:kern w:val="0"/>
                <w:sz w:val="22"/>
                <w:highlight w:val="none"/>
                <w:lang w:val="en-US" w:eastAsia="zh-CN"/>
              </w:rPr>
              <w:t>124.55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b/>
                <w:bCs/>
                <w:color w:val="auto"/>
                <w:sz w:val="22"/>
                <w:highlight w:val="none"/>
                <w:lang w:val="en-US" w:eastAsia="zh-CN"/>
              </w:rPr>
            </w:pPr>
            <w:r>
              <w:rPr>
                <w:rFonts w:hint="eastAsia" w:cs="宋体" w:asciiTheme="minorEastAsia" w:hAnsiTheme="minorEastAsia" w:eastAsiaTheme="minorEastAsia"/>
                <w:b/>
                <w:bCs/>
                <w:color w:val="auto"/>
                <w:kern w:val="0"/>
                <w:sz w:val="22"/>
                <w:highlight w:val="none"/>
                <w:lang w:val="en-US" w:eastAsia="zh-CN"/>
              </w:rPr>
              <w:t>124.55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highlight w:val="none"/>
              </w:rPr>
            </w:pPr>
            <w:r>
              <w:rPr>
                <w:rFonts w:hint="eastAsia" w:cs="宋体" w:asciiTheme="minorEastAsia" w:hAnsiTheme="minorEastAsia" w:eastAsiaTheme="minorEastAsia"/>
                <w:b/>
                <w:bCs/>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highlight w:val="none"/>
              </w:rPr>
            </w:pPr>
            <w:r>
              <w:rPr>
                <w:rFonts w:hint="eastAsia" w:cs="宋体" w:asciiTheme="minorEastAsia" w:hAnsiTheme="minorEastAsia" w:eastAsiaTheme="minorEastAsia"/>
                <w:b/>
                <w:bCs/>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highlight w:val="none"/>
              </w:rPr>
            </w:pPr>
            <w:r>
              <w:rPr>
                <w:rFonts w:hint="eastAsia" w:cs="宋体" w:asciiTheme="minorEastAsia" w:hAnsiTheme="minorEastAsia" w:eastAsiaTheme="minorEastAsia"/>
                <w:b/>
                <w:bCs/>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highlight w:val="none"/>
              </w:rPr>
            </w:pPr>
            <w:r>
              <w:rPr>
                <w:rFonts w:hint="eastAsia" w:cs="宋体" w:asciiTheme="minorEastAsia" w:hAnsiTheme="minorEastAsia" w:eastAsiaTheme="minorEastAsia"/>
                <w:b/>
                <w:bCs/>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b/>
                <w:bCs/>
                <w:color w:val="auto"/>
                <w:sz w:val="22"/>
                <w:highlight w:val="none"/>
              </w:rPr>
            </w:pPr>
            <w:r>
              <w:rPr>
                <w:rFonts w:hint="eastAsia" w:cs="宋体" w:asciiTheme="minorEastAsia" w:hAnsiTheme="minorEastAsia" w:eastAsiaTheme="minorEastAsia"/>
                <w:b/>
                <w:bCs/>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201</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一般公共服务支出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0.52</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0.52</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20129</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群众团体事务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0.52</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0.52</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2012906</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xml:space="preserve">  工会事务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0.52</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0.52</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sz w:val="22"/>
                <w:highlight w:val="none"/>
                <w:lang w:val="en-US" w:eastAsia="zh-CN"/>
              </w:rPr>
              <w:t>208</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社会保障和就业支出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6.75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6.75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20805</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行政事业单位养老支出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6.75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6.75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2080505</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6.75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6.75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210</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卫生健康支出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3.13</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3.13</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21011</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行政事业单位医疗</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3.13</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3.13</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2101102</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 xml:space="preserve">  事业单位医疗</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3.13</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eastAsia="宋体" w:cs="宋体"/>
                <w:color w:val="auto"/>
                <w:kern w:val="2"/>
                <w:sz w:val="22"/>
                <w:szCs w:val="22"/>
                <w:highlight w:val="none"/>
                <w:lang w:val="en-US" w:eastAsia="zh-CN" w:bidi="ar-SA"/>
              </w:rPr>
            </w:pPr>
            <w:r>
              <w:rPr>
                <w:rFonts w:hint="eastAsia" w:ascii="宋体" w:hAnsi="宋体" w:cs="宋体"/>
                <w:color w:val="auto"/>
                <w:kern w:val="0"/>
                <w:sz w:val="22"/>
                <w:highlight w:val="none"/>
                <w:lang w:bidi="ar"/>
              </w:rPr>
              <w:t>3.13</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hint="eastAsia" w:cs="宋体" w:asciiTheme="minorEastAsia" w:hAnsiTheme="minorEastAsia" w:eastAsiaTheme="minorEastAsia"/>
                <w:color w:val="auto"/>
                <w:kern w:val="0"/>
                <w:sz w:val="22"/>
                <w:highlight w:val="none"/>
              </w:rPr>
            </w:pP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212</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城乡社区支出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color w:val="auto"/>
                <w:sz w:val="22"/>
                <w:highlight w:val="none"/>
                <w:lang w:val="en-US" w:eastAsia="zh-CN"/>
              </w:rPr>
            </w:pPr>
            <w:r>
              <w:rPr>
                <w:rFonts w:hint="eastAsia" w:cs="宋体" w:asciiTheme="minorEastAsia" w:hAnsiTheme="minorEastAsia" w:eastAsiaTheme="minorEastAsia"/>
                <w:color w:val="auto"/>
                <w:kern w:val="0"/>
                <w:sz w:val="22"/>
                <w:highlight w:val="none"/>
                <w:lang w:val="en-US" w:eastAsia="zh-CN"/>
              </w:rPr>
              <w:t>114.15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lang w:val="en-US" w:eastAsia="zh-CN"/>
              </w:rPr>
              <w:t>114.15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21201</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城乡社区管理事务</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lang w:val="en-US" w:eastAsia="zh-CN"/>
              </w:rPr>
              <w:t>114.15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lang w:val="en-US" w:eastAsia="zh-CN"/>
              </w:rPr>
              <w:t>114.15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264"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2120199</w:t>
            </w:r>
          </w:p>
        </w:tc>
        <w:tc>
          <w:tcPr>
            <w:tcW w:w="4022"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xml:space="preserve">  其他城乡社区管理事务支出</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lang w:val="en-US" w:eastAsia="zh-CN"/>
              </w:rPr>
              <w:t>114.15</w:t>
            </w:r>
          </w:p>
        </w:tc>
        <w:tc>
          <w:tcPr>
            <w:tcW w:w="1153"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lang w:val="en-US" w:eastAsia="zh-CN"/>
              </w:rPr>
              <w:t>114.15</w:t>
            </w:r>
          </w:p>
        </w:tc>
        <w:tc>
          <w:tcPr>
            <w:tcW w:w="156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4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17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c>
          <w:tcPr>
            <w:tcW w:w="1200"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　</w:t>
            </w:r>
          </w:p>
        </w:tc>
      </w:tr>
      <w:tr>
        <w:tblPrEx>
          <w:tblCellMar>
            <w:top w:w="0" w:type="dxa"/>
            <w:left w:w="108" w:type="dxa"/>
            <w:bottom w:w="0" w:type="dxa"/>
            <w:right w:w="108" w:type="dxa"/>
          </w:tblCellMar>
        </w:tblPrEx>
        <w:trPr>
          <w:trHeight w:val="386" w:hRule="atLeast"/>
        </w:trPr>
        <w:tc>
          <w:tcPr>
            <w:tcW w:w="13969" w:type="dxa"/>
            <w:gridSpan w:val="9"/>
            <w:tcBorders>
              <w:top w:val="nil"/>
              <w:left w:val="nil"/>
              <w:bottom w:val="nil"/>
              <w:right w:val="nil"/>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注：本表反映</w:t>
            </w:r>
            <w:r>
              <w:rPr>
                <w:rFonts w:hint="eastAsia" w:cs="宋体" w:asciiTheme="minorEastAsia" w:hAnsiTheme="minorEastAsia" w:eastAsiaTheme="minorEastAsia"/>
                <w:color w:val="auto"/>
                <w:kern w:val="0"/>
                <w:sz w:val="22"/>
                <w:highlight w:val="none"/>
                <w:lang w:eastAsia="zh-CN"/>
              </w:rPr>
              <w:t>单位</w:t>
            </w:r>
            <w:r>
              <w:rPr>
                <w:rFonts w:hint="eastAsia" w:cs="宋体" w:asciiTheme="minorEastAsia" w:hAnsiTheme="minorEastAsia" w:eastAsiaTheme="minorEastAsia"/>
                <w:color w:val="auto"/>
                <w:kern w:val="0"/>
                <w:sz w:val="22"/>
                <w:highlight w:val="none"/>
              </w:rPr>
              <w:t>本年度取得的各项收入情况。本表金额转换为万元时，因四舍五入可能存在尾差。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5"/>
        <w:tblW w:w="13984" w:type="dxa"/>
        <w:tblInd w:w="91" w:type="dxa"/>
        <w:tblLayout w:type="fixed"/>
        <w:tblCellMar>
          <w:top w:w="0" w:type="dxa"/>
          <w:left w:w="108" w:type="dxa"/>
          <w:bottom w:w="0" w:type="dxa"/>
          <w:right w:w="108" w:type="dxa"/>
        </w:tblCellMar>
      </w:tblPr>
      <w:tblGrid>
        <w:gridCol w:w="1149"/>
        <w:gridCol w:w="4150"/>
        <w:gridCol w:w="1629"/>
        <w:gridCol w:w="1321"/>
        <w:gridCol w:w="1191"/>
        <w:gridCol w:w="1244"/>
        <w:gridCol w:w="1050"/>
        <w:gridCol w:w="2250"/>
      </w:tblGrid>
      <w:tr>
        <w:tblPrEx>
          <w:tblCellMar>
            <w:top w:w="0" w:type="dxa"/>
            <w:left w:w="108" w:type="dxa"/>
            <w:bottom w:w="0" w:type="dxa"/>
            <w:right w:w="108" w:type="dxa"/>
          </w:tblCellMar>
        </w:tblPrEx>
        <w:trPr>
          <w:trHeight w:val="390" w:hRule="atLeast"/>
        </w:trPr>
        <w:tc>
          <w:tcPr>
            <w:tcW w:w="13984" w:type="dxa"/>
            <w:gridSpan w:val="8"/>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支出决算表</w:t>
            </w:r>
          </w:p>
        </w:tc>
      </w:tr>
      <w:tr>
        <w:tblPrEx>
          <w:tblCellMar>
            <w:top w:w="0" w:type="dxa"/>
            <w:left w:w="108" w:type="dxa"/>
            <w:bottom w:w="0" w:type="dxa"/>
            <w:right w:w="108" w:type="dxa"/>
          </w:tblCellMar>
        </w:tblPrEx>
        <w:trPr>
          <w:trHeight w:val="255" w:hRule="atLeast"/>
        </w:trPr>
        <w:tc>
          <w:tcPr>
            <w:tcW w:w="5299"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1629" w:type="dxa"/>
            <w:tcBorders>
              <w:top w:val="nil"/>
              <w:left w:val="nil"/>
              <w:bottom w:val="nil"/>
              <w:right w:val="nil"/>
            </w:tcBorders>
            <w:noWrap/>
            <w:vAlign w:val="bottom"/>
          </w:tcPr>
          <w:p>
            <w:pPr>
              <w:rPr>
                <w:rFonts w:ascii="Arial" w:hAnsi="Arial" w:cs="Arial"/>
                <w:color w:val="auto"/>
                <w:sz w:val="18"/>
                <w:szCs w:val="18"/>
                <w:highlight w:val="none"/>
              </w:rPr>
            </w:pPr>
          </w:p>
        </w:tc>
        <w:tc>
          <w:tcPr>
            <w:tcW w:w="1321" w:type="dxa"/>
            <w:tcBorders>
              <w:top w:val="nil"/>
              <w:left w:val="nil"/>
              <w:bottom w:val="nil"/>
              <w:right w:val="nil"/>
            </w:tcBorders>
            <w:noWrap/>
            <w:vAlign w:val="bottom"/>
          </w:tcPr>
          <w:p>
            <w:pPr>
              <w:rPr>
                <w:rFonts w:ascii="Arial" w:hAnsi="Arial" w:cs="Arial"/>
                <w:color w:val="auto"/>
                <w:sz w:val="18"/>
                <w:szCs w:val="18"/>
                <w:highlight w:val="none"/>
              </w:rPr>
            </w:pPr>
          </w:p>
        </w:tc>
        <w:tc>
          <w:tcPr>
            <w:tcW w:w="1191" w:type="dxa"/>
            <w:tcBorders>
              <w:top w:val="nil"/>
              <w:left w:val="nil"/>
              <w:bottom w:val="nil"/>
              <w:right w:val="nil"/>
            </w:tcBorders>
            <w:noWrap/>
            <w:vAlign w:val="bottom"/>
          </w:tcPr>
          <w:p>
            <w:pPr>
              <w:rPr>
                <w:rFonts w:ascii="Arial" w:hAnsi="Arial" w:cs="Arial"/>
                <w:color w:val="auto"/>
                <w:sz w:val="18"/>
                <w:szCs w:val="18"/>
                <w:highlight w:val="none"/>
              </w:rPr>
            </w:pPr>
          </w:p>
        </w:tc>
        <w:tc>
          <w:tcPr>
            <w:tcW w:w="1244" w:type="dxa"/>
            <w:tcBorders>
              <w:top w:val="nil"/>
              <w:left w:val="nil"/>
              <w:bottom w:val="nil"/>
              <w:right w:val="nil"/>
            </w:tcBorders>
            <w:noWrap/>
            <w:vAlign w:val="bottom"/>
          </w:tcPr>
          <w:p>
            <w:pPr>
              <w:rPr>
                <w:rFonts w:ascii="Arial" w:hAnsi="Arial" w:cs="Arial"/>
                <w:color w:val="auto"/>
                <w:sz w:val="18"/>
                <w:szCs w:val="18"/>
                <w:highlight w:val="none"/>
              </w:rPr>
            </w:pPr>
          </w:p>
        </w:tc>
        <w:tc>
          <w:tcPr>
            <w:tcW w:w="1050" w:type="dxa"/>
            <w:tcBorders>
              <w:top w:val="nil"/>
              <w:left w:val="nil"/>
              <w:bottom w:val="nil"/>
              <w:right w:val="nil"/>
            </w:tcBorders>
            <w:noWrap/>
            <w:vAlign w:val="bottom"/>
          </w:tcPr>
          <w:p>
            <w:pPr>
              <w:rPr>
                <w:rFonts w:ascii="Arial" w:hAnsi="Arial" w:cs="Arial"/>
                <w:color w:val="auto"/>
                <w:sz w:val="18"/>
                <w:szCs w:val="18"/>
                <w:highlight w:val="none"/>
              </w:rPr>
            </w:pPr>
          </w:p>
        </w:tc>
        <w:tc>
          <w:tcPr>
            <w:tcW w:w="2250" w:type="dxa"/>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公开03表</w:t>
            </w:r>
          </w:p>
        </w:tc>
      </w:tr>
      <w:tr>
        <w:tblPrEx>
          <w:tblCellMar>
            <w:top w:w="0" w:type="dxa"/>
            <w:left w:w="108" w:type="dxa"/>
            <w:bottom w:w="0" w:type="dxa"/>
            <w:right w:w="108" w:type="dxa"/>
          </w:tblCellMar>
        </w:tblPrEx>
        <w:trPr>
          <w:trHeight w:val="255" w:hRule="atLeast"/>
        </w:trPr>
        <w:tc>
          <w:tcPr>
            <w:tcW w:w="5299"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1629" w:type="dxa"/>
            <w:tcBorders>
              <w:top w:val="nil"/>
              <w:left w:val="nil"/>
              <w:bottom w:val="nil"/>
              <w:right w:val="nil"/>
            </w:tcBorders>
            <w:noWrap/>
            <w:vAlign w:val="bottom"/>
          </w:tcPr>
          <w:p>
            <w:pPr>
              <w:rPr>
                <w:rFonts w:ascii="Arial" w:hAnsi="Arial" w:cs="Arial"/>
                <w:color w:val="auto"/>
                <w:sz w:val="18"/>
                <w:szCs w:val="18"/>
                <w:highlight w:val="none"/>
              </w:rPr>
            </w:pPr>
          </w:p>
        </w:tc>
        <w:tc>
          <w:tcPr>
            <w:tcW w:w="1321" w:type="dxa"/>
            <w:tcBorders>
              <w:top w:val="nil"/>
              <w:left w:val="nil"/>
              <w:bottom w:val="nil"/>
              <w:right w:val="nil"/>
            </w:tcBorders>
            <w:noWrap/>
            <w:vAlign w:val="bottom"/>
          </w:tcPr>
          <w:p>
            <w:pPr>
              <w:rPr>
                <w:rFonts w:ascii="Arial" w:hAnsi="Arial" w:cs="Arial"/>
                <w:color w:val="auto"/>
                <w:sz w:val="18"/>
                <w:szCs w:val="18"/>
                <w:highlight w:val="none"/>
              </w:rPr>
            </w:pPr>
          </w:p>
        </w:tc>
        <w:tc>
          <w:tcPr>
            <w:tcW w:w="1191" w:type="dxa"/>
            <w:tcBorders>
              <w:top w:val="nil"/>
              <w:left w:val="nil"/>
              <w:bottom w:val="nil"/>
              <w:right w:val="nil"/>
            </w:tcBorders>
            <w:noWrap/>
            <w:vAlign w:val="bottom"/>
          </w:tcPr>
          <w:p>
            <w:pPr>
              <w:rPr>
                <w:rFonts w:ascii="Arial" w:hAnsi="Arial" w:cs="Arial"/>
                <w:color w:val="auto"/>
                <w:sz w:val="18"/>
                <w:szCs w:val="18"/>
                <w:highlight w:val="none"/>
              </w:rPr>
            </w:pPr>
          </w:p>
        </w:tc>
        <w:tc>
          <w:tcPr>
            <w:tcW w:w="1244" w:type="dxa"/>
            <w:tcBorders>
              <w:top w:val="nil"/>
              <w:left w:val="nil"/>
              <w:bottom w:val="nil"/>
              <w:right w:val="nil"/>
            </w:tcBorders>
            <w:noWrap/>
            <w:vAlign w:val="bottom"/>
          </w:tcPr>
          <w:p>
            <w:pPr>
              <w:rPr>
                <w:rFonts w:ascii="Arial" w:hAnsi="Arial" w:cs="Arial"/>
                <w:color w:val="auto"/>
                <w:sz w:val="18"/>
                <w:szCs w:val="18"/>
                <w:highlight w:val="none"/>
              </w:rPr>
            </w:pPr>
          </w:p>
        </w:tc>
        <w:tc>
          <w:tcPr>
            <w:tcW w:w="1050" w:type="dxa"/>
            <w:tcBorders>
              <w:top w:val="nil"/>
              <w:left w:val="nil"/>
              <w:bottom w:val="nil"/>
              <w:right w:val="nil"/>
            </w:tcBorders>
            <w:noWrap/>
            <w:vAlign w:val="bottom"/>
          </w:tcPr>
          <w:p>
            <w:pPr>
              <w:rPr>
                <w:rFonts w:ascii="Arial" w:hAnsi="Arial" w:cs="Arial"/>
                <w:color w:val="auto"/>
                <w:sz w:val="18"/>
                <w:szCs w:val="18"/>
                <w:highlight w:val="none"/>
              </w:rPr>
            </w:pPr>
          </w:p>
        </w:tc>
        <w:tc>
          <w:tcPr>
            <w:tcW w:w="2250" w:type="dxa"/>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369" w:hRule="atLeast"/>
        </w:trPr>
        <w:tc>
          <w:tcPr>
            <w:tcW w:w="5299"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1629"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本年支出</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32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1191"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c>
          <w:tcPr>
            <w:tcW w:w="124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上缴上级支出</w:t>
            </w:r>
          </w:p>
        </w:tc>
        <w:tc>
          <w:tcPr>
            <w:tcW w:w="105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经营</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支出</w:t>
            </w:r>
          </w:p>
        </w:tc>
        <w:tc>
          <w:tcPr>
            <w:tcW w:w="2250"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对附属单位补助支出</w:t>
            </w:r>
          </w:p>
        </w:tc>
      </w:tr>
      <w:tr>
        <w:tblPrEx>
          <w:tblCellMar>
            <w:top w:w="0" w:type="dxa"/>
            <w:left w:w="108" w:type="dxa"/>
            <w:bottom w:w="0" w:type="dxa"/>
            <w:right w:w="108" w:type="dxa"/>
          </w:tblCellMar>
        </w:tblPrEx>
        <w:trPr>
          <w:trHeight w:val="369" w:hRule="atLeast"/>
        </w:trPr>
        <w:tc>
          <w:tcPr>
            <w:tcW w:w="114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功能分类科目编码</w:t>
            </w:r>
          </w:p>
        </w:tc>
        <w:tc>
          <w:tcPr>
            <w:tcW w:w="415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162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9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24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05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25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69" w:hRule="atLeast"/>
        </w:trPr>
        <w:tc>
          <w:tcPr>
            <w:tcW w:w="1149"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41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62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9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24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05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25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1149"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415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629"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2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91"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24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05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250"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69" w:hRule="atLeast"/>
        </w:trPr>
        <w:tc>
          <w:tcPr>
            <w:tcW w:w="5299"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栏次</w:t>
            </w:r>
          </w:p>
        </w:tc>
        <w:tc>
          <w:tcPr>
            <w:tcW w:w="1629"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1</w:t>
            </w:r>
          </w:p>
        </w:tc>
        <w:tc>
          <w:tcPr>
            <w:tcW w:w="132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2</w:t>
            </w:r>
          </w:p>
        </w:tc>
        <w:tc>
          <w:tcPr>
            <w:tcW w:w="1191" w:type="dxa"/>
            <w:tcBorders>
              <w:top w:val="nil"/>
              <w:left w:val="nil"/>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3</w:t>
            </w:r>
          </w:p>
        </w:tc>
        <w:tc>
          <w:tcPr>
            <w:tcW w:w="124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0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225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r>
      <w:tr>
        <w:tblPrEx>
          <w:tblCellMar>
            <w:top w:w="0" w:type="dxa"/>
            <w:left w:w="108" w:type="dxa"/>
            <w:bottom w:w="0" w:type="dxa"/>
            <w:right w:w="108" w:type="dxa"/>
          </w:tblCellMar>
        </w:tblPrEx>
        <w:trPr>
          <w:trHeight w:val="369" w:hRule="atLeast"/>
        </w:trPr>
        <w:tc>
          <w:tcPr>
            <w:tcW w:w="5299"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cs="宋体" w:asciiTheme="minorEastAsia" w:hAnsiTheme="minorEastAsia" w:eastAsiaTheme="minorEastAsia"/>
                <w:color w:val="auto"/>
                <w:sz w:val="22"/>
                <w:highlight w:val="none"/>
              </w:rPr>
            </w:pPr>
            <w:r>
              <w:rPr>
                <w:rFonts w:hint="eastAsia" w:cs="宋体" w:asciiTheme="minorEastAsia" w:hAnsiTheme="minorEastAsia" w:eastAsiaTheme="minorEastAsia"/>
                <w:color w:val="auto"/>
                <w:kern w:val="0"/>
                <w:sz w:val="22"/>
                <w:highlight w:val="none"/>
              </w:rPr>
              <w:t>合计</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b/>
                <w:bCs/>
                <w:color w:val="auto"/>
                <w:sz w:val="22"/>
                <w:highlight w:val="none"/>
                <w:lang w:val="en-US" w:eastAsia="zh-CN"/>
              </w:rPr>
            </w:pPr>
            <w:r>
              <w:rPr>
                <w:rFonts w:hint="eastAsia" w:cs="宋体" w:asciiTheme="minorEastAsia" w:hAnsiTheme="minorEastAsia" w:eastAsiaTheme="minorEastAsia"/>
                <w:b/>
                <w:bCs/>
                <w:color w:val="auto"/>
                <w:kern w:val="0"/>
                <w:sz w:val="22"/>
                <w:highlight w:val="none"/>
                <w:lang w:val="en-US" w:eastAsia="zh-CN"/>
              </w:rPr>
              <w:t>128.20</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b/>
                <w:bCs/>
                <w:color w:val="auto"/>
                <w:sz w:val="22"/>
                <w:highlight w:val="none"/>
                <w:lang w:val="en-US" w:eastAsia="zh-CN"/>
              </w:rPr>
            </w:pPr>
            <w:r>
              <w:rPr>
                <w:rFonts w:hint="eastAsia" w:cs="宋体" w:asciiTheme="minorEastAsia" w:hAnsiTheme="minorEastAsia" w:eastAsiaTheme="minorEastAsia"/>
                <w:b/>
                <w:bCs/>
                <w:color w:val="auto"/>
                <w:kern w:val="0"/>
                <w:sz w:val="22"/>
                <w:highlight w:val="none"/>
                <w:lang w:val="en-US" w:eastAsia="zh-CN"/>
              </w:rPr>
              <w:t>113.76</w:t>
            </w:r>
          </w:p>
        </w:tc>
        <w:tc>
          <w:tcPr>
            <w:tcW w:w="1191" w:type="dxa"/>
            <w:tcBorders>
              <w:top w:val="nil"/>
              <w:left w:val="nil"/>
              <w:bottom w:val="single" w:color="000000" w:sz="4" w:space="0"/>
              <w:right w:val="single" w:color="000000" w:sz="4" w:space="0"/>
            </w:tcBorders>
            <w:noWrap/>
            <w:vAlign w:val="center"/>
          </w:tcPr>
          <w:p>
            <w:pPr>
              <w:widowControl/>
              <w:jc w:val="right"/>
              <w:textAlignment w:val="center"/>
              <w:rPr>
                <w:rFonts w:hint="default" w:cs="宋体" w:asciiTheme="minorEastAsia" w:hAnsiTheme="minorEastAsia" w:eastAsiaTheme="minorEastAsia"/>
                <w:b/>
                <w:bCs/>
                <w:color w:val="auto"/>
                <w:sz w:val="22"/>
                <w:highlight w:val="none"/>
                <w:lang w:val="en-US" w:eastAsia="zh-CN"/>
              </w:rPr>
            </w:pPr>
            <w:r>
              <w:rPr>
                <w:rFonts w:hint="eastAsia" w:cs="宋体" w:asciiTheme="minorEastAsia" w:hAnsiTheme="minorEastAsia" w:eastAsiaTheme="minorEastAsia"/>
                <w:b/>
                <w:bCs/>
                <w:color w:val="auto"/>
                <w:kern w:val="0"/>
                <w:sz w:val="22"/>
                <w:highlight w:val="none"/>
                <w:lang w:val="en-US" w:eastAsia="zh-CN"/>
              </w:rPr>
              <w:t>14.44</w:t>
            </w: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201</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一般公共服务支出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0.52</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0.52</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20129</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群众团体事务</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0.52</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0.52</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2012906</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 xml:space="preserve">  工会事务</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0.52</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0.52</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208</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社会保障和就业支出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7.21</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7.21</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20805</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行政事业单位养老支出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7.21</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7.21</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2080505</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 xml:space="preserve">  机关事业单位基本养老保险缴费支出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7.21</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7.21</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210</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卫生健康支出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3.34</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3.34</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21011</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行政事业单位医疗</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3.34</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3.34</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2101102</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 xml:space="preserve">  事业单位医疗</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3.34</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3.34</w:t>
            </w:r>
          </w:p>
        </w:tc>
        <w:tc>
          <w:tcPr>
            <w:tcW w:w="1191" w:type="dxa"/>
            <w:tcBorders>
              <w:top w:val="nil"/>
              <w:left w:val="nil"/>
              <w:bottom w:val="single" w:color="000000" w:sz="4" w:space="0"/>
              <w:right w:val="single" w:color="000000" w:sz="4" w:space="0"/>
            </w:tcBorders>
            <w:noWrap/>
            <w:vAlign w:val="center"/>
          </w:tcPr>
          <w:p>
            <w:pPr>
              <w:jc w:val="right"/>
              <w:rPr>
                <w:rFonts w:cs="宋体" w:asciiTheme="minorEastAsia" w:hAnsiTheme="minorEastAsia" w:eastAsiaTheme="minorEastAsia"/>
                <w:color w:val="auto"/>
                <w:sz w:val="22"/>
                <w:highlight w:val="none"/>
              </w:rPr>
            </w:pP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212</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城乡社区支出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117.13</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102.70</w:t>
            </w:r>
          </w:p>
        </w:tc>
        <w:tc>
          <w:tcPr>
            <w:tcW w:w="119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14.44</w:t>
            </w: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21201</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城乡社区管理事务</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117.13</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102.70</w:t>
            </w:r>
          </w:p>
        </w:tc>
        <w:tc>
          <w:tcPr>
            <w:tcW w:w="119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14.44</w:t>
            </w: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149"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2120199</w:t>
            </w:r>
          </w:p>
        </w:tc>
        <w:tc>
          <w:tcPr>
            <w:tcW w:w="4150" w:type="dxa"/>
            <w:tcBorders>
              <w:top w:val="nil"/>
              <w:left w:val="nil"/>
              <w:bottom w:val="single" w:color="000000" w:sz="4" w:space="0"/>
              <w:right w:val="single" w:color="000000" w:sz="4" w:space="0"/>
            </w:tcBorders>
            <w:noWrap/>
            <w:vAlign w:val="center"/>
          </w:tcPr>
          <w:p>
            <w:pPr>
              <w:widowControl/>
              <w:jc w:val="lef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 xml:space="preserve">  其他城乡社区管理事务支出</w:t>
            </w:r>
          </w:p>
        </w:tc>
        <w:tc>
          <w:tcPr>
            <w:tcW w:w="1629"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117.13</w:t>
            </w:r>
          </w:p>
        </w:tc>
        <w:tc>
          <w:tcPr>
            <w:tcW w:w="132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102.70</w:t>
            </w:r>
          </w:p>
        </w:tc>
        <w:tc>
          <w:tcPr>
            <w:tcW w:w="1191" w:type="dxa"/>
            <w:tcBorders>
              <w:top w:val="nil"/>
              <w:left w:val="nil"/>
              <w:bottom w:val="single" w:color="000000" w:sz="4" w:space="0"/>
              <w:right w:val="single" w:color="000000" w:sz="4" w:space="0"/>
            </w:tcBorders>
            <w:noWrap/>
            <w:vAlign w:val="center"/>
          </w:tcPr>
          <w:p>
            <w:pPr>
              <w:widowControl/>
              <w:jc w:val="right"/>
              <w:textAlignment w:val="center"/>
              <w:rPr>
                <w:rFonts w:cs="宋体" w:asciiTheme="minorEastAsia" w:hAnsiTheme="minorEastAsia" w:eastAsiaTheme="minorEastAsia"/>
                <w:color w:val="auto"/>
                <w:sz w:val="22"/>
                <w:highlight w:val="none"/>
              </w:rPr>
            </w:pPr>
            <w:r>
              <w:rPr>
                <w:rFonts w:hint="eastAsia" w:ascii="宋体" w:hAnsi="宋体" w:cs="宋体"/>
                <w:color w:val="auto"/>
                <w:kern w:val="0"/>
                <w:sz w:val="22"/>
                <w:highlight w:val="none"/>
                <w:lang w:bidi="ar"/>
              </w:rPr>
              <w:t>14.44</w:t>
            </w:r>
          </w:p>
        </w:tc>
        <w:tc>
          <w:tcPr>
            <w:tcW w:w="124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25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73" w:hRule="atLeast"/>
        </w:trPr>
        <w:tc>
          <w:tcPr>
            <w:tcW w:w="13984" w:type="dxa"/>
            <w:gridSpan w:val="8"/>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本年度各项支出情况。本表金额转换为万元时，因四舍五入可能存在尾差。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5"/>
        <w:tblW w:w="13969" w:type="dxa"/>
        <w:tblInd w:w="93" w:type="dxa"/>
        <w:tblLayout w:type="fixed"/>
        <w:tblCellMar>
          <w:top w:w="0" w:type="dxa"/>
          <w:left w:w="108" w:type="dxa"/>
          <w:bottom w:w="0" w:type="dxa"/>
          <w:right w:w="108" w:type="dxa"/>
        </w:tblCellMar>
      </w:tblPr>
      <w:tblGrid>
        <w:gridCol w:w="3028"/>
        <w:gridCol w:w="106"/>
        <w:gridCol w:w="726"/>
        <w:gridCol w:w="989"/>
        <w:gridCol w:w="3540"/>
        <w:gridCol w:w="720"/>
        <w:gridCol w:w="915"/>
        <w:gridCol w:w="1335"/>
        <w:gridCol w:w="1305"/>
        <w:gridCol w:w="1305"/>
      </w:tblGrid>
      <w:tr>
        <w:tblPrEx>
          <w:tblCellMar>
            <w:top w:w="0" w:type="dxa"/>
            <w:left w:w="108" w:type="dxa"/>
            <w:bottom w:w="0" w:type="dxa"/>
            <w:right w:w="108" w:type="dxa"/>
          </w:tblCellMar>
        </w:tblPrEx>
        <w:trPr>
          <w:trHeight w:val="390" w:hRule="atLeast"/>
        </w:trPr>
        <w:tc>
          <w:tcPr>
            <w:tcW w:w="13969" w:type="dxa"/>
            <w:gridSpan w:val="10"/>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财政拨款收入支出决算总表</w:t>
            </w:r>
          </w:p>
        </w:tc>
      </w:tr>
      <w:tr>
        <w:tblPrEx>
          <w:tblCellMar>
            <w:top w:w="0" w:type="dxa"/>
            <w:left w:w="108" w:type="dxa"/>
            <w:bottom w:w="0" w:type="dxa"/>
            <w:right w:w="108" w:type="dxa"/>
          </w:tblCellMar>
        </w:tblPrEx>
        <w:trPr>
          <w:trHeight w:val="283" w:hRule="atLeast"/>
        </w:trPr>
        <w:tc>
          <w:tcPr>
            <w:tcW w:w="3028" w:type="dxa"/>
            <w:tcBorders>
              <w:top w:val="nil"/>
              <w:left w:val="nil"/>
              <w:bottom w:val="nil"/>
              <w:right w:val="nil"/>
            </w:tcBorders>
            <w:noWrap/>
            <w:vAlign w:val="bottom"/>
          </w:tcPr>
          <w:p>
            <w:pPr>
              <w:rPr>
                <w:rFonts w:ascii="Arial" w:hAnsi="Arial" w:cs="Arial"/>
                <w:color w:val="auto"/>
                <w:sz w:val="18"/>
                <w:szCs w:val="18"/>
                <w:highlight w:val="none"/>
              </w:rPr>
            </w:pPr>
          </w:p>
        </w:tc>
        <w:tc>
          <w:tcPr>
            <w:tcW w:w="832"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989" w:type="dxa"/>
            <w:tcBorders>
              <w:top w:val="nil"/>
              <w:left w:val="nil"/>
              <w:bottom w:val="nil"/>
              <w:right w:val="nil"/>
            </w:tcBorders>
            <w:noWrap/>
            <w:vAlign w:val="bottom"/>
          </w:tcPr>
          <w:p>
            <w:pPr>
              <w:rPr>
                <w:rFonts w:ascii="Arial" w:hAnsi="Arial" w:cs="Arial"/>
                <w:color w:val="auto"/>
                <w:sz w:val="18"/>
                <w:szCs w:val="18"/>
                <w:highlight w:val="none"/>
              </w:rPr>
            </w:pPr>
          </w:p>
        </w:tc>
        <w:tc>
          <w:tcPr>
            <w:tcW w:w="3540" w:type="dxa"/>
            <w:tcBorders>
              <w:top w:val="nil"/>
              <w:left w:val="nil"/>
              <w:bottom w:val="nil"/>
              <w:right w:val="nil"/>
            </w:tcBorders>
            <w:noWrap/>
            <w:vAlign w:val="bottom"/>
          </w:tcPr>
          <w:p>
            <w:pPr>
              <w:rPr>
                <w:rFonts w:ascii="Arial" w:hAnsi="Arial" w:cs="Arial"/>
                <w:color w:val="auto"/>
                <w:sz w:val="18"/>
                <w:szCs w:val="18"/>
                <w:highlight w:val="none"/>
              </w:rPr>
            </w:pPr>
          </w:p>
        </w:tc>
        <w:tc>
          <w:tcPr>
            <w:tcW w:w="720" w:type="dxa"/>
            <w:tcBorders>
              <w:top w:val="nil"/>
              <w:left w:val="nil"/>
              <w:bottom w:val="nil"/>
              <w:right w:val="nil"/>
            </w:tcBorders>
            <w:noWrap/>
            <w:vAlign w:val="bottom"/>
          </w:tcPr>
          <w:p>
            <w:pPr>
              <w:rPr>
                <w:rFonts w:ascii="Arial" w:hAnsi="Arial" w:cs="Arial"/>
                <w:color w:val="auto"/>
                <w:sz w:val="18"/>
                <w:szCs w:val="18"/>
                <w:highlight w:val="none"/>
              </w:rPr>
            </w:pPr>
          </w:p>
        </w:tc>
        <w:tc>
          <w:tcPr>
            <w:tcW w:w="915" w:type="dxa"/>
            <w:tcBorders>
              <w:top w:val="nil"/>
              <w:left w:val="nil"/>
              <w:bottom w:val="nil"/>
              <w:right w:val="nil"/>
            </w:tcBorders>
            <w:noWrap/>
            <w:vAlign w:val="bottom"/>
          </w:tcPr>
          <w:p>
            <w:pPr>
              <w:rPr>
                <w:rFonts w:ascii="Arial" w:hAnsi="Arial" w:cs="Arial"/>
                <w:color w:val="auto"/>
                <w:sz w:val="18"/>
                <w:szCs w:val="18"/>
                <w:highlight w:val="none"/>
              </w:rPr>
            </w:pPr>
          </w:p>
        </w:tc>
        <w:tc>
          <w:tcPr>
            <w:tcW w:w="1335" w:type="dxa"/>
            <w:tcBorders>
              <w:top w:val="nil"/>
              <w:left w:val="nil"/>
              <w:bottom w:val="nil"/>
              <w:right w:val="nil"/>
            </w:tcBorders>
            <w:noWrap/>
            <w:vAlign w:val="bottom"/>
          </w:tcPr>
          <w:p>
            <w:pPr>
              <w:rPr>
                <w:rFonts w:ascii="Arial" w:hAnsi="Arial" w:cs="Arial"/>
                <w:color w:val="auto"/>
                <w:sz w:val="18"/>
                <w:szCs w:val="18"/>
                <w:highlight w:val="none"/>
              </w:rPr>
            </w:pPr>
          </w:p>
        </w:tc>
        <w:tc>
          <w:tcPr>
            <w:tcW w:w="2610"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公开04表</w:t>
            </w:r>
          </w:p>
        </w:tc>
      </w:tr>
      <w:tr>
        <w:tblPrEx>
          <w:tblCellMar>
            <w:top w:w="0" w:type="dxa"/>
            <w:left w:w="108" w:type="dxa"/>
            <w:bottom w:w="0" w:type="dxa"/>
            <w:right w:w="108" w:type="dxa"/>
          </w:tblCellMar>
        </w:tblPrEx>
        <w:trPr>
          <w:trHeight w:val="283" w:hRule="atLeast"/>
        </w:trPr>
        <w:tc>
          <w:tcPr>
            <w:tcW w:w="3028" w:type="dxa"/>
            <w:tcBorders>
              <w:top w:val="nil"/>
              <w:left w:val="nil"/>
              <w:bottom w:val="nil"/>
              <w:right w:val="nil"/>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w:t>
            </w:r>
            <w:r>
              <w:rPr>
                <w:rFonts w:hint="eastAsia" w:ascii="宋体" w:hAnsi="宋体" w:cs="宋体"/>
                <w:color w:val="auto"/>
                <w:kern w:val="0"/>
                <w:sz w:val="18"/>
                <w:szCs w:val="18"/>
                <w:highlight w:val="none"/>
                <w:lang w:eastAsia="zh-CN"/>
              </w:rPr>
              <w:t>市物业</w:t>
            </w:r>
            <w:r>
              <w:rPr>
                <w:rFonts w:hint="eastAsia" w:ascii="宋体" w:hAnsi="宋体" w:cs="宋体"/>
                <w:color w:val="auto"/>
                <w:kern w:val="0"/>
                <w:sz w:val="18"/>
                <w:szCs w:val="18"/>
                <w:highlight w:val="none"/>
              </w:rPr>
              <w:t>管理中心</w:t>
            </w:r>
          </w:p>
        </w:tc>
        <w:tc>
          <w:tcPr>
            <w:tcW w:w="832"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989" w:type="dxa"/>
            <w:tcBorders>
              <w:top w:val="nil"/>
              <w:left w:val="nil"/>
              <w:bottom w:val="nil"/>
              <w:right w:val="nil"/>
            </w:tcBorders>
            <w:noWrap/>
            <w:vAlign w:val="bottom"/>
          </w:tcPr>
          <w:p>
            <w:pPr>
              <w:rPr>
                <w:rFonts w:ascii="Arial" w:hAnsi="Arial" w:cs="Arial"/>
                <w:color w:val="auto"/>
                <w:sz w:val="18"/>
                <w:szCs w:val="18"/>
                <w:highlight w:val="none"/>
              </w:rPr>
            </w:pPr>
          </w:p>
        </w:tc>
        <w:tc>
          <w:tcPr>
            <w:tcW w:w="3540" w:type="dxa"/>
            <w:tcBorders>
              <w:top w:val="nil"/>
              <w:left w:val="nil"/>
              <w:bottom w:val="nil"/>
              <w:right w:val="nil"/>
            </w:tcBorders>
            <w:noWrap/>
            <w:vAlign w:val="bottom"/>
          </w:tcPr>
          <w:p>
            <w:pPr>
              <w:rPr>
                <w:rFonts w:ascii="Arial" w:hAnsi="Arial" w:cs="Arial"/>
                <w:color w:val="auto"/>
                <w:sz w:val="18"/>
                <w:szCs w:val="18"/>
                <w:highlight w:val="none"/>
              </w:rPr>
            </w:pPr>
          </w:p>
        </w:tc>
        <w:tc>
          <w:tcPr>
            <w:tcW w:w="720" w:type="dxa"/>
            <w:tcBorders>
              <w:top w:val="nil"/>
              <w:left w:val="nil"/>
              <w:bottom w:val="nil"/>
              <w:right w:val="nil"/>
            </w:tcBorders>
            <w:noWrap/>
            <w:vAlign w:val="bottom"/>
          </w:tcPr>
          <w:p>
            <w:pPr>
              <w:rPr>
                <w:rFonts w:ascii="Arial" w:hAnsi="Arial" w:cs="Arial"/>
                <w:color w:val="auto"/>
                <w:sz w:val="18"/>
                <w:szCs w:val="18"/>
                <w:highlight w:val="none"/>
              </w:rPr>
            </w:pPr>
          </w:p>
        </w:tc>
        <w:tc>
          <w:tcPr>
            <w:tcW w:w="915" w:type="dxa"/>
            <w:tcBorders>
              <w:top w:val="nil"/>
              <w:left w:val="nil"/>
              <w:bottom w:val="nil"/>
              <w:right w:val="nil"/>
            </w:tcBorders>
            <w:noWrap/>
            <w:vAlign w:val="bottom"/>
          </w:tcPr>
          <w:p>
            <w:pPr>
              <w:rPr>
                <w:rFonts w:ascii="Arial" w:hAnsi="Arial" w:cs="Arial"/>
                <w:color w:val="auto"/>
                <w:sz w:val="18"/>
                <w:szCs w:val="18"/>
                <w:highlight w:val="none"/>
              </w:rPr>
            </w:pPr>
          </w:p>
        </w:tc>
        <w:tc>
          <w:tcPr>
            <w:tcW w:w="1335" w:type="dxa"/>
            <w:tcBorders>
              <w:top w:val="nil"/>
              <w:left w:val="nil"/>
              <w:bottom w:val="nil"/>
              <w:right w:val="nil"/>
            </w:tcBorders>
            <w:noWrap/>
            <w:vAlign w:val="bottom"/>
          </w:tcPr>
          <w:p>
            <w:pPr>
              <w:rPr>
                <w:rFonts w:ascii="Arial" w:hAnsi="Arial" w:cs="Arial"/>
                <w:color w:val="auto"/>
                <w:sz w:val="18"/>
                <w:szCs w:val="18"/>
                <w:highlight w:val="none"/>
              </w:rPr>
            </w:pPr>
          </w:p>
        </w:tc>
        <w:tc>
          <w:tcPr>
            <w:tcW w:w="2610"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369" w:hRule="atLeast"/>
        </w:trPr>
        <w:tc>
          <w:tcPr>
            <w:tcW w:w="484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收     入</w:t>
            </w:r>
          </w:p>
        </w:tc>
        <w:tc>
          <w:tcPr>
            <w:tcW w:w="9120"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支     出</w:t>
            </w:r>
          </w:p>
        </w:tc>
      </w:tr>
      <w:tr>
        <w:tblPrEx>
          <w:tblCellMar>
            <w:top w:w="0" w:type="dxa"/>
            <w:left w:w="108" w:type="dxa"/>
            <w:bottom w:w="0" w:type="dxa"/>
            <w:right w:w="108" w:type="dxa"/>
          </w:tblCellMar>
        </w:tblPrEx>
        <w:trPr>
          <w:trHeight w:val="369" w:hRule="atLeast"/>
        </w:trPr>
        <w:tc>
          <w:tcPr>
            <w:tcW w:w="3134" w:type="dxa"/>
            <w:gridSpan w:val="2"/>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72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989"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金额</w:t>
            </w:r>
          </w:p>
        </w:tc>
        <w:tc>
          <w:tcPr>
            <w:tcW w:w="354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7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行次</w:t>
            </w:r>
          </w:p>
        </w:tc>
        <w:tc>
          <w:tcPr>
            <w:tcW w:w="91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33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一般公共预算财政拨款</w:t>
            </w:r>
          </w:p>
        </w:tc>
        <w:tc>
          <w:tcPr>
            <w:tcW w:w="130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政府性基金预算财政拨款</w:t>
            </w:r>
          </w:p>
        </w:tc>
        <w:tc>
          <w:tcPr>
            <w:tcW w:w="130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国有资本经营预算财政拨款</w:t>
            </w:r>
          </w:p>
        </w:tc>
      </w:tr>
      <w:tr>
        <w:tblPrEx>
          <w:tblCellMar>
            <w:top w:w="0" w:type="dxa"/>
            <w:left w:w="108" w:type="dxa"/>
            <w:bottom w:w="0" w:type="dxa"/>
            <w:right w:w="108" w:type="dxa"/>
          </w:tblCellMar>
        </w:tblPrEx>
        <w:trPr>
          <w:trHeight w:val="652" w:hRule="atLeast"/>
        </w:trPr>
        <w:tc>
          <w:tcPr>
            <w:tcW w:w="3134" w:type="dxa"/>
            <w:gridSpan w:val="2"/>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72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989"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354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7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91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3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0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30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989"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354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91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3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30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30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124.55</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一、一般公共服务支出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33</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0.52</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0.52</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二、政府性基金预算财政拨款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二、外交支出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34</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三、国有资本经营财政拨款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三、国防支出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35</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四、公共安全支出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36</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五、教育支出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37</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六、科学技术支出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38</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七、文化旅游体育与传媒支出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39</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八、社会保障和就业支出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40</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7.21</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7.21</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九、卫生健康支出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41</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3.34</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3.34</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十、节能环保支出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42</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十一、城乡社区支出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43</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117.13</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117.13</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十二、农林水支出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44</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13</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十三、交通运输支出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45</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14</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十四、资源勘探工业信息等支出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46</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15</w:t>
            </w:r>
          </w:p>
        </w:tc>
        <w:tc>
          <w:tcPr>
            <w:tcW w:w="989"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十五、商业服务业等支出</w:t>
            </w:r>
          </w:p>
        </w:tc>
        <w:tc>
          <w:tcPr>
            <w:tcW w:w="720" w:type="dxa"/>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47</w:t>
            </w:r>
          </w:p>
        </w:tc>
        <w:tc>
          <w:tcPr>
            <w:tcW w:w="91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single" w:color="000000" w:sz="4" w:space="0"/>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16</w:t>
            </w:r>
          </w:p>
        </w:tc>
        <w:tc>
          <w:tcPr>
            <w:tcW w:w="989"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十六、金融支出</w:t>
            </w:r>
          </w:p>
        </w:tc>
        <w:tc>
          <w:tcPr>
            <w:tcW w:w="720" w:type="dxa"/>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48</w:t>
            </w:r>
          </w:p>
        </w:tc>
        <w:tc>
          <w:tcPr>
            <w:tcW w:w="915"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17</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十七、援助其他地区支出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49</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18</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十八、自然资源海洋气象等支出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50</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19</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十九、住房保障支出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51</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20</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二十、粮油物资储备支出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52</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21</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二十一、国有资本经营预算支出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53</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22</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二十二、灾害防治及应急管理支出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54</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23</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二十三、其他支出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55</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24</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二十四、债务还本支出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56</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25</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二十五、债务付息支出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57</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26</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二十六、抗疫特别国债安排的支出</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58</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本年收入合计</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27</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124.55</w:t>
            </w:r>
          </w:p>
        </w:tc>
        <w:tc>
          <w:tcPr>
            <w:tcW w:w="354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本年支出合计</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59</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128.20</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128.20</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年初财政拨款结转和结余</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28</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3.65</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年末财政拨款结转和结余</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60</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一般公共预算财政拨款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29</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3.65</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61</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政府性基金预算财政拨款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30</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62</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国有资本经营预算财政拨款</w:t>
            </w:r>
          </w:p>
        </w:tc>
        <w:tc>
          <w:tcPr>
            <w:tcW w:w="72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31</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40"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63</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313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726" w:type="dxa"/>
            <w:tcBorders>
              <w:top w:val="nil"/>
              <w:left w:val="nil"/>
              <w:bottom w:val="single" w:color="000000" w:sz="8"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32</w:t>
            </w:r>
          </w:p>
        </w:tc>
        <w:tc>
          <w:tcPr>
            <w:tcW w:w="989"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128.20</w:t>
            </w:r>
          </w:p>
        </w:tc>
        <w:tc>
          <w:tcPr>
            <w:tcW w:w="354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总计</w:t>
            </w:r>
          </w:p>
        </w:tc>
        <w:tc>
          <w:tcPr>
            <w:tcW w:w="7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64</w:t>
            </w:r>
          </w:p>
        </w:tc>
        <w:tc>
          <w:tcPr>
            <w:tcW w:w="91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128.20</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128.20</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0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882" w:hRule="atLeast"/>
        </w:trPr>
        <w:tc>
          <w:tcPr>
            <w:tcW w:w="13969" w:type="dxa"/>
            <w:gridSpan w:val="10"/>
            <w:tcBorders>
              <w:top w:val="nil"/>
              <w:left w:val="nil"/>
              <w:bottom w:val="nil"/>
              <w:right w:val="nil"/>
            </w:tcBorders>
            <w:noWrap/>
            <w:vAlign w:val="center"/>
          </w:tcPr>
          <w:p>
            <w:pPr>
              <w:widowControl/>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本年度一般公共预算财政拨款、政府性基金预算财政拨款和国有资本经营预算财政拨款的总收支和年末结转结余情况。</w:t>
            </w:r>
          </w:p>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本表金额转换为万元时，因四舍五入可能存在尾差。</w:t>
            </w:r>
          </w:p>
        </w:tc>
      </w:tr>
    </w:tbl>
    <w:p>
      <w:pPr>
        <w:rPr>
          <w:rFonts w:ascii="宋体" w:hAnsi="宋体" w:cs="宋体"/>
          <w:color w:val="auto"/>
          <w:sz w:val="2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5"/>
        <w:tblW w:w="13954" w:type="dxa"/>
        <w:tblInd w:w="93" w:type="dxa"/>
        <w:tblLayout w:type="fixed"/>
        <w:tblCellMar>
          <w:top w:w="0" w:type="dxa"/>
          <w:left w:w="108" w:type="dxa"/>
          <w:bottom w:w="0" w:type="dxa"/>
          <w:right w:w="108" w:type="dxa"/>
        </w:tblCellMar>
      </w:tblPr>
      <w:tblGrid>
        <w:gridCol w:w="1506"/>
        <w:gridCol w:w="4618"/>
        <w:gridCol w:w="2265"/>
        <w:gridCol w:w="834"/>
        <w:gridCol w:w="1488"/>
        <w:gridCol w:w="378"/>
        <w:gridCol w:w="2865"/>
      </w:tblGrid>
      <w:tr>
        <w:tblPrEx>
          <w:tblCellMar>
            <w:top w:w="0" w:type="dxa"/>
            <w:left w:w="108" w:type="dxa"/>
            <w:bottom w:w="0" w:type="dxa"/>
            <w:right w:w="108" w:type="dxa"/>
          </w:tblCellMar>
        </w:tblPrEx>
        <w:trPr>
          <w:trHeight w:val="504" w:hRule="atLeast"/>
        </w:trPr>
        <w:tc>
          <w:tcPr>
            <w:tcW w:w="13954" w:type="dxa"/>
            <w:gridSpan w:val="7"/>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一般公共预算财政拨款支出决算表</w:t>
            </w:r>
          </w:p>
        </w:tc>
      </w:tr>
      <w:tr>
        <w:tblPrEx>
          <w:tblCellMar>
            <w:top w:w="0" w:type="dxa"/>
            <w:left w:w="108" w:type="dxa"/>
            <w:bottom w:w="0" w:type="dxa"/>
            <w:right w:w="108" w:type="dxa"/>
          </w:tblCellMar>
        </w:tblPrEx>
        <w:trPr>
          <w:trHeight w:val="255" w:hRule="atLeast"/>
        </w:trPr>
        <w:tc>
          <w:tcPr>
            <w:tcW w:w="6124"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3099"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1488" w:type="dxa"/>
            <w:tcBorders>
              <w:top w:val="nil"/>
              <w:left w:val="nil"/>
              <w:bottom w:val="nil"/>
              <w:right w:val="nil"/>
            </w:tcBorders>
            <w:noWrap/>
            <w:vAlign w:val="bottom"/>
          </w:tcPr>
          <w:p>
            <w:pPr>
              <w:rPr>
                <w:rFonts w:ascii="Arial" w:hAnsi="Arial" w:cs="Arial"/>
                <w:color w:val="auto"/>
                <w:sz w:val="18"/>
                <w:szCs w:val="18"/>
                <w:highlight w:val="none"/>
              </w:rPr>
            </w:pPr>
          </w:p>
        </w:tc>
        <w:tc>
          <w:tcPr>
            <w:tcW w:w="3243"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公开05表</w:t>
            </w:r>
          </w:p>
        </w:tc>
      </w:tr>
      <w:tr>
        <w:tblPrEx>
          <w:tblCellMar>
            <w:top w:w="0" w:type="dxa"/>
            <w:left w:w="108" w:type="dxa"/>
            <w:bottom w:w="0" w:type="dxa"/>
            <w:right w:w="108" w:type="dxa"/>
          </w:tblCellMar>
        </w:tblPrEx>
        <w:trPr>
          <w:trHeight w:val="255" w:hRule="atLeast"/>
        </w:trPr>
        <w:tc>
          <w:tcPr>
            <w:tcW w:w="6124"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3099"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1488" w:type="dxa"/>
            <w:tcBorders>
              <w:top w:val="nil"/>
              <w:left w:val="nil"/>
              <w:bottom w:val="nil"/>
              <w:right w:val="nil"/>
            </w:tcBorders>
            <w:noWrap/>
            <w:vAlign w:val="bottom"/>
          </w:tcPr>
          <w:p>
            <w:pPr>
              <w:rPr>
                <w:rFonts w:ascii="Arial" w:hAnsi="Arial" w:cs="Arial"/>
                <w:color w:val="auto"/>
                <w:sz w:val="18"/>
                <w:szCs w:val="18"/>
                <w:highlight w:val="none"/>
              </w:rPr>
            </w:pPr>
          </w:p>
        </w:tc>
        <w:tc>
          <w:tcPr>
            <w:tcW w:w="3243"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369" w:hRule="atLeast"/>
        </w:trPr>
        <w:tc>
          <w:tcPr>
            <w:tcW w:w="612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7830" w:type="dxa"/>
            <w:gridSpan w:val="5"/>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w:t>
            </w:r>
          </w:p>
        </w:tc>
      </w:tr>
      <w:tr>
        <w:tblPrEx>
          <w:tblCellMar>
            <w:top w:w="0" w:type="dxa"/>
            <w:left w:w="108" w:type="dxa"/>
            <w:bottom w:w="0" w:type="dxa"/>
            <w:right w:w="108" w:type="dxa"/>
          </w:tblCellMar>
        </w:tblPrEx>
        <w:trPr>
          <w:trHeight w:val="369" w:hRule="atLeast"/>
        </w:trPr>
        <w:tc>
          <w:tcPr>
            <w:tcW w:w="150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功能分类</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科目编码</w:t>
            </w:r>
          </w:p>
        </w:tc>
        <w:tc>
          <w:tcPr>
            <w:tcW w:w="461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22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2700" w:type="dxa"/>
            <w:gridSpan w:val="3"/>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28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r>
      <w:tr>
        <w:tblPrEx>
          <w:tblCellMar>
            <w:top w:w="0" w:type="dxa"/>
            <w:left w:w="108" w:type="dxa"/>
            <w:bottom w:w="0" w:type="dxa"/>
            <w:right w:w="108" w:type="dxa"/>
          </w:tblCellMar>
        </w:tblPrEx>
        <w:trPr>
          <w:trHeight w:val="369" w:hRule="atLeast"/>
        </w:trPr>
        <w:tc>
          <w:tcPr>
            <w:tcW w:w="150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461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26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700" w:type="dxa"/>
            <w:gridSpan w:val="3"/>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86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12" w:hRule="atLeast"/>
        </w:trPr>
        <w:tc>
          <w:tcPr>
            <w:tcW w:w="150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461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26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700" w:type="dxa"/>
            <w:gridSpan w:val="3"/>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86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369" w:hRule="atLeast"/>
        </w:trPr>
        <w:tc>
          <w:tcPr>
            <w:tcW w:w="612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22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270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28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r>
      <w:tr>
        <w:tblPrEx>
          <w:tblCellMar>
            <w:top w:w="0" w:type="dxa"/>
            <w:left w:w="108" w:type="dxa"/>
            <w:bottom w:w="0" w:type="dxa"/>
            <w:right w:w="108" w:type="dxa"/>
          </w:tblCellMar>
        </w:tblPrEx>
        <w:trPr>
          <w:trHeight w:val="369" w:hRule="atLeast"/>
        </w:trPr>
        <w:tc>
          <w:tcPr>
            <w:tcW w:w="612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b/>
                <w:bCs/>
                <w:color w:val="auto"/>
                <w:sz w:val="22"/>
                <w:highlight w:val="none"/>
                <w:lang w:val="en-US" w:eastAsia="zh-CN"/>
              </w:rPr>
            </w:pPr>
            <w:r>
              <w:rPr>
                <w:rFonts w:hint="eastAsia" w:ascii="宋体" w:hAnsi="宋体" w:cs="宋体"/>
                <w:b/>
                <w:bCs/>
                <w:color w:val="auto"/>
                <w:kern w:val="0"/>
                <w:sz w:val="22"/>
                <w:highlight w:val="none"/>
                <w:lang w:val="en-US" w:eastAsia="zh-CN"/>
              </w:rPr>
              <w:t>128.20</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cs="宋体"/>
                <w:b/>
                <w:bCs/>
                <w:color w:val="auto"/>
                <w:sz w:val="22"/>
                <w:highlight w:val="none"/>
                <w:lang w:val="en-US"/>
              </w:rPr>
            </w:pPr>
            <w:r>
              <w:rPr>
                <w:rFonts w:hint="eastAsia" w:ascii="宋体" w:hAnsi="宋体" w:cs="宋体"/>
                <w:b/>
                <w:bCs/>
                <w:color w:val="auto"/>
                <w:kern w:val="0"/>
                <w:sz w:val="22"/>
                <w:highlight w:val="none"/>
                <w:lang w:val="en-US" w:eastAsia="zh-CN"/>
              </w:rPr>
              <w:t>113.76</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b/>
                <w:bCs/>
                <w:color w:val="auto"/>
                <w:sz w:val="22"/>
                <w:highlight w:val="none"/>
                <w:lang w:val="en-US" w:eastAsia="zh-CN"/>
              </w:rPr>
            </w:pPr>
            <w:r>
              <w:rPr>
                <w:rFonts w:hint="eastAsia" w:ascii="宋体" w:hAnsi="宋体" w:cs="宋体"/>
                <w:b/>
                <w:bCs/>
                <w:color w:val="auto"/>
                <w:kern w:val="0"/>
                <w:sz w:val="22"/>
                <w:highlight w:val="none"/>
                <w:lang w:val="en-US" w:eastAsia="zh-CN"/>
              </w:rPr>
              <w:t>14.44</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一般公共服务支出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0.52</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0.52</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群众团体事务</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0.52</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0.52</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2012906</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工会事务</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0.52</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0.52</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社会保障和就业支出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7.21</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7.21</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行政事业单位养老支出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7.21</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7.21</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2080505</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7.21</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7.21</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卫生健康支出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3.34</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3.34</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行政事业单位医疗</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3.34</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3.34</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2101102</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事业单位医疗</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3.34</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3.34</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117.13</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cs="宋体"/>
                <w:color w:val="auto"/>
                <w:kern w:val="0"/>
                <w:sz w:val="22"/>
                <w:highlight w:val="none"/>
                <w:lang w:val="en-US" w:eastAsia="zh-CN"/>
              </w:rPr>
            </w:pPr>
            <w:r>
              <w:rPr>
                <w:rFonts w:hint="eastAsia" w:ascii="宋体" w:hAnsi="宋体" w:cs="宋体"/>
                <w:color w:val="auto"/>
                <w:kern w:val="0"/>
                <w:sz w:val="22"/>
                <w:highlight w:val="none"/>
                <w:lang w:val="en-US" w:eastAsia="zh-CN"/>
              </w:rPr>
              <w:t>102.70</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14.44</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城乡社区管理事务</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117.13</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102.70</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14.44</w:t>
            </w:r>
          </w:p>
        </w:tc>
      </w:tr>
      <w:tr>
        <w:tblPrEx>
          <w:tblCellMar>
            <w:top w:w="0" w:type="dxa"/>
            <w:left w:w="108" w:type="dxa"/>
            <w:bottom w:w="0" w:type="dxa"/>
            <w:right w:w="108" w:type="dxa"/>
          </w:tblCellMar>
        </w:tblPrEx>
        <w:trPr>
          <w:trHeight w:val="369" w:hRule="atLeast"/>
        </w:trPr>
        <w:tc>
          <w:tcPr>
            <w:tcW w:w="150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2120199</w:t>
            </w:r>
          </w:p>
        </w:tc>
        <w:tc>
          <w:tcPr>
            <w:tcW w:w="461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其他城乡社区管理事务支出</w:t>
            </w:r>
          </w:p>
        </w:tc>
        <w:tc>
          <w:tcPr>
            <w:tcW w:w="22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117.13</w:t>
            </w:r>
          </w:p>
        </w:tc>
        <w:tc>
          <w:tcPr>
            <w:tcW w:w="2700" w:type="dxa"/>
            <w:gridSpan w:val="3"/>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102.70</w:t>
            </w:r>
          </w:p>
        </w:tc>
        <w:tc>
          <w:tcPr>
            <w:tcW w:w="28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14.44</w:t>
            </w:r>
          </w:p>
        </w:tc>
      </w:tr>
      <w:tr>
        <w:tblPrEx>
          <w:tblCellMar>
            <w:top w:w="0" w:type="dxa"/>
            <w:left w:w="108" w:type="dxa"/>
            <w:bottom w:w="0" w:type="dxa"/>
            <w:right w:w="108" w:type="dxa"/>
          </w:tblCellMar>
        </w:tblPrEx>
        <w:trPr>
          <w:trHeight w:val="488" w:hRule="atLeast"/>
        </w:trPr>
        <w:tc>
          <w:tcPr>
            <w:tcW w:w="13954" w:type="dxa"/>
            <w:gridSpan w:val="7"/>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本年度一般公共预算财政拨款支出情况。本套报表金额单位转换时可能存在尾数误差。</w:t>
            </w:r>
          </w:p>
        </w:tc>
      </w:tr>
    </w:tbl>
    <w:p>
      <w:pPr>
        <w:rPr>
          <w:rFonts w:ascii="仿宋_GB2312" w:hAnsi="仿宋_GB2312" w:eastAsia="仿宋_GB2312" w:cs="仿宋_GB2312"/>
          <w:color w:val="auto"/>
          <w:sz w:val="32"/>
          <w:szCs w:val="3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5"/>
        <w:tblpPr w:leftFromText="180" w:rightFromText="180" w:vertAnchor="text" w:tblpX="93" w:tblpY="1"/>
        <w:tblOverlap w:val="never"/>
        <w:tblW w:w="0" w:type="auto"/>
        <w:tblInd w:w="91" w:type="dxa"/>
        <w:tblLayout w:type="fixed"/>
        <w:tblCellMar>
          <w:top w:w="0" w:type="dxa"/>
          <w:left w:w="108" w:type="dxa"/>
          <w:bottom w:w="0" w:type="dxa"/>
          <w:right w:w="108" w:type="dxa"/>
        </w:tblCellMar>
      </w:tblPr>
      <w:tblGrid>
        <w:gridCol w:w="822"/>
        <w:gridCol w:w="2751"/>
        <w:gridCol w:w="822"/>
        <w:gridCol w:w="894"/>
        <w:gridCol w:w="308"/>
        <w:gridCol w:w="510"/>
        <w:gridCol w:w="1530"/>
        <w:gridCol w:w="918"/>
        <w:gridCol w:w="6"/>
        <w:gridCol w:w="873"/>
        <w:gridCol w:w="42"/>
        <w:gridCol w:w="738"/>
        <w:gridCol w:w="2888"/>
        <w:gridCol w:w="878"/>
      </w:tblGrid>
      <w:tr>
        <w:tblPrEx>
          <w:tblCellMar>
            <w:top w:w="0" w:type="dxa"/>
            <w:left w:w="108" w:type="dxa"/>
            <w:bottom w:w="0" w:type="dxa"/>
            <w:right w:w="108" w:type="dxa"/>
          </w:tblCellMar>
        </w:tblPrEx>
        <w:trPr>
          <w:trHeight w:val="432" w:hRule="atLeast"/>
        </w:trPr>
        <w:tc>
          <w:tcPr>
            <w:tcW w:w="13980" w:type="dxa"/>
            <w:gridSpan w:val="14"/>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一般公共预算财政拨款基本支出决算明细表</w:t>
            </w:r>
          </w:p>
        </w:tc>
      </w:tr>
      <w:tr>
        <w:tblPrEx>
          <w:tblCellMar>
            <w:top w:w="0" w:type="dxa"/>
            <w:left w:w="108" w:type="dxa"/>
            <w:bottom w:w="0" w:type="dxa"/>
            <w:right w:w="108" w:type="dxa"/>
          </w:tblCellMar>
        </w:tblPrEx>
        <w:trPr>
          <w:trHeight w:val="282" w:hRule="atLeast"/>
        </w:trPr>
        <w:tc>
          <w:tcPr>
            <w:tcW w:w="3573"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1716"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308" w:type="dxa"/>
            <w:tcBorders>
              <w:top w:val="nil"/>
              <w:left w:val="nil"/>
              <w:bottom w:val="nil"/>
              <w:right w:val="nil"/>
            </w:tcBorders>
            <w:noWrap/>
            <w:vAlign w:val="bottom"/>
          </w:tcPr>
          <w:p>
            <w:pPr>
              <w:rPr>
                <w:rFonts w:ascii="Arial" w:hAnsi="Arial" w:cs="Arial"/>
                <w:color w:val="auto"/>
                <w:sz w:val="18"/>
                <w:szCs w:val="18"/>
                <w:highlight w:val="none"/>
              </w:rPr>
            </w:pPr>
          </w:p>
        </w:tc>
        <w:tc>
          <w:tcPr>
            <w:tcW w:w="2040"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924"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915"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4504" w:type="dxa"/>
            <w:gridSpan w:val="3"/>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公开06表</w:t>
            </w:r>
          </w:p>
        </w:tc>
      </w:tr>
      <w:tr>
        <w:tblPrEx>
          <w:tblCellMar>
            <w:top w:w="0" w:type="dxa"/>
            <w:left w:w="108" w:type="dxa"/>
            <w:bottom w:w="0" w:type="dxa"/>
            <w:right w:w="108" w:type="dxa"/>
          </w:tblCellMar>
        </w:tblPrEx>
        <w:trPr>
          <w:trHeight w:val="282" w:hRule="atLeast"/>
        </w:trPr>
        <w:tc>
          <w:tcPr>
            <w:tcW w:w="3573" w:type="dxa"/>
            <w:gridSpan w:val="2"/>
            <w:tcBorders>
              <w:top w:val="nil"/>
              <w:left w:val="nil"/>
              <w:bottom w:val="nil"/>
              <w:right w:val="nil"/>
            </w:tcBorders>
            <w:noWrap/>
            <w:vAlign w:val="bottom"/>
          </w:tcPr>
          <w:p>
            <w:pPr>
              <w:widowControl/>
              <w:jc w:val="lef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1716"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308" w:type="dxa"/>
            <w:tcBorders>
              <w:top w:val="nil"/>
              <w:left w:val="nil"/>
              <w:bottom w:val="nil"/>
              <w:right w:val="nil"/>
            </w:tcBorders>
            <w:noWrap/>
            <w:vAlign w:val="bottom"/>
          </w:tcPr>
          <w:p>
            <w:pPr>
              <w:rPr>
                <w:rFonts w:ascii="Arial" w:hAnsi="Arial" w:cs="Arial"/>
                <w:color w:val="auto"/>
                <w:sz w:val="18"/>
                <w:szCs w:val="18"/>
                <w:highlight w:val="none"/>
              </w:rPr>
            </w:pPr>
          </w:p>
        </w:tc>
        <w:tc>
          <w:tcPr>
            <w:tcW w:w="2040"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924"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915" w:type="dxa"/>
            <w:gridSpan w:val="2"/>
            <w:tcBorders>
              <w:top w:val="nil"/>
              <w:left w:val="nil"/>
              <w:bottom w:val="nil"/>
              <w:right w:val="nil"/>
            </w:tcBorders>
            <w:noWrap/>
            <w:vAlign w:val="bottom"/>
          </w:tcPr>
          <w:p>
            <w:pPr>
              <w:rPr>
                <w:rFonts w:ascii="Arial" w:hAnsi="Arial" w:cs="Arial"/>
                <w:color w:val="auto"/>
                <w:sz w:val="18"/>
                <w:szCs w:val="18"/>
                <w:highlight w:val="none"/>
              </w:rPr>
            </w:pPr>
          </w:p>
        </w:tc>
        <w:tc>
          <w:tcPr>
            <w:tcW w:w="4504" w:type="dxa"/>
            <w:gridSpan w:val="3"/>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433" w:hRule="atLeast"/>
        </w:trPr>
        <w:tc>
          <w:tcPr>
            <w:tcW w:w="5289" w:type="dxa"/>
            <w:gridSpan w:val="4"/>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人员经费</w:t>
            </w:r>
          </w:p>
        </w:tc>
        <w:tc>
          <w:tcPr>
            <w:tcW w:w="8691" w:type="dxa"/>
            <w:gridSpan w:val="10"/>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公用经费</w:t>
            </w:r>
          </w:p>
        </w:tc>
      </w:tr>
      <w:tr>
        <w:tblPrEx>
          <w:tblCellMar>
            <w:top w:w="0" w:type="dxa"/>
            <w:left w:w="108" w:type="dxa"/>
            <w:bottom w:w="0" w:type="dxa"/>
            <w:right w:w="108" w:type="dxa"/>
          </w:tblCellMar>
        </w:tblPrEx>
        <w:trPr>
          <w:trHeight w:val="433" w:hRule="atLeast"/>
        </w:trPr>
        <w:tc>
          <w:tcPr>
            <w:tcW w:w="822"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科目</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编码</w:t>
            </w:r>
          </w:p>
        </w:tc>
        <w:tc>
          <w:tcPr>
            <w:tcW w:w="3573"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894"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c>
          <w:tcPr>
            <w:tcW w:w="818"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科目</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编码</w:t>
            </w:r>
          </w:p>
        </w:tc>
        <w:tc>
          <w:tcPr>
            <w:tcW w:w="2448"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879"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c>
          <w:tcPr>
            <w:tcW w:w="780" w:type="dxa"/>
            <w:gridSpan w:val="2"/>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科目</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编码</w:t>
            </w:r>
          </w:p>
        </w:tc>
        <w:tc>
          <w:tcPr>
            <w:tcW w:w="288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87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r>
      <w:tr>
        <w:tblPrEx>
          <w:tblCellMar>
            <w:top w:w="0" w:type="dxa"/>
            <w:left w:w="108" w:type="dxa"/>
            <w:bottom w:w="0" w:type="dxa"/>
            <w:right w:w="108" w:type="dxa"/>
          </w:tblCellMar>
        </w:tblPrEx>
        <w:trPr>
          <w:trHeight w:val="433" w:hRule="atLeast"/>
        </w:trPr>
        <w:tc>
          <w:tcPr>
            <w:tcW w:w="822"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3573"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894"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818"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448"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879"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780" w:type="dxa"/>
            <w:gridSpan w:val="2"/>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88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87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工资福利支出</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104.05</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商品和服务支出</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9.71</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307</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债务利息及费用支出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30101</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基本工资</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26.72</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30201</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办公费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3.67</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30701</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国内债务付息</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30102</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津贴补贴</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42.84</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30202</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印刷费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3.47</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30702</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国外债务付息</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30103</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奖金</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30203</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咨询费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资本性支出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30106</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伙食补助费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30204</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手续费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31001</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房屋建筑物购建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30107</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绩效工资</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17.13</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30205</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水费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31002</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办公设备购置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30108</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机关事业单位基本养老保险缴费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7.31</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30206</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电费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31003</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专用设备购置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30109</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职业年金缴费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30207</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邮电费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0.44</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31005</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基础设施建设</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30110</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职工基本医疗保险缴费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3.34</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30208</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取暖费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31006</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大型修缮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30111</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公务员医疗补助缴费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30209</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物业管理费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31007</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信息网络及软件购置更新</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30112</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其他社会保障缴费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0.42</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30211</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差旅费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0.01</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31008</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物资储备</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30113</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住房公积金</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6.29</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30212</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因公出国（境）费用</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31009</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土地补偿</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30114</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医疗费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30213</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维修（护）费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0.28</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31010</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安置补助</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single" w:color="000000" w:sz="4" w:space="0"/>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30199</w:t>
            </w:r>
          </w:p>
        </w:tc>
        <w:tc>
          <w:tcPr>
            <w:tcW w:w="3573"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其他工资福利支出</w:t>
            </w:r>
          </w:p>
        </w:tc>
        <w:tc>
          <w:tcPr>
            <w:tcW w:w="894"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30214</w:t>
            </w:r>
          </w:p>
        </w:tc>
        <w:tc>
          <w:tcPr>
            <w:tcW w:w="2448"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租赁费</w:t>
            </w:r>
          </w:p>
        </w:tc>
        <w:tc>
          <w:tcPr>
            <w:tcW w:w="879" w:type="dxa"/>
            <w:gridSpan w:val="2"/>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31011</w:t>
            </w:r>
          </w:p>
        </w:tc>
        <w:tc>
          <w:tcPr>
            <w:tcW w:w="2888" w:type="dxa"/>
            <w:tcBorders>
              <w:top w:val="single" w:color="000000" w:sz="4" w:space="0"/>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地上附着物和青苗补偿</w:t>
            </w:r>
          </w:p>
        </w:tc>
        <w:tc>
          <w:tcPr>
            <w:tcW w:w="878" w:type="dxa"/>
            <w:tcBorders>
              <w:top w:val="single" w:color="000000" w:sz="4" w:space="0"/>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对个人和家庭的补助</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30215</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会议费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31012</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拆迁补偿</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30301</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离休费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30216</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培训费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0.32</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31013</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公务用车购置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30302</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退休费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30217</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公务接待费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31019</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其他交通工具购置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30303</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退职（役）费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30218</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专用材料费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31021</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文物和陈列品购置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30304</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抚恤金</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30224</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被装购置费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31022</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无形资产购置</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30305</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生活补助</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30225</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专用燃料费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31099</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其他资本性支出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30306</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救济费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30226</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劳务费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其他支出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30307</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医疗费补助</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30227</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委托业务费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39906</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赠与</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30308</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助学金</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30228</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工会经费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0.52</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39907</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国家赔偿费用支出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644"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30309</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奖励金</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30229</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福利费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0.66</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39908</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对民间非营利组织和群众性自治组织补贴</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30310</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个人农业生产补贴</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30231</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公务用车运行维护费</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39999</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其他支出</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30311</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代缴社会保险费</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30239</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其他交通费用</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30399</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其他对个人和家庭的补助</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30240</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税金及附加费用</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822"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3573"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1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30299</w:t>
            </w:r>
          </w:p>
        </w:tc>
        <w:tc>
          <w:tcPr>
            <w:tcW w:w="2448"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xml:space="preserve">  其他商品和服务支出</w:t>
            </w:r>
          </w:p>
        </w:tc>
        <w:tc>
          <w:tcPr>
            <w:tcW w:w="879" w:type="dxa"/>
            <w:gridSpan w:val="2"/>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lang w:val="en-US" w:eastAsia="zh-CN"/>
              </w:rPr>
              <w:t>0.35</w:t>
            </w:r>
            <w:r>
              <w:rPr>
                <w:rFonts w:hint="eastAsia" w:ascii="宋体" w:hAnsi="宋体" w:cs="宋体"/>
                <w:color w:val="auto"/>
                <w:kern w:val="0"/>
                <w:sz w:val="22"/>
                <w:highlight w:val="none"/>
              </w:rPr>
              <w:t>　</w:t>
            </w:r>
          </w:p>
        </w:tc>
        <w:tc>
          <w:tcPr>
            <w:tcW w:w="780" w:type="dxa"/>
            <w:gridSpan w:val="2"/>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88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33" w:hRule="atLeast"/>
        </w:trPr>
        <w:tc>
          <w:tcPr>
            <w:tcW w:w="4395" w:type="dxa"/>
            <w:gridSpan w:val="3"/>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人员经费合计</w:t>
            </w:r>
          </w:p>
        </w:tc>
        <w:tc>
          <w:tcPr>
            <w:tcW w:w="894"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sz w:val="22"/>
                <w:highlight w:val="none"/>
                <w:lang w:val="en-US" w:eastAsia="zh-CN"/>
              </w:rPr>
              <w:t>104.05</w:t>
            </w:r>
          </w:p>
        </w:tc>
        <w:tc>
          <w:tcPr>
            <w:tcW w:w="7813" w:type="dxa"/>
            <w:gridSpan w:val="9"/>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公用经费合计</w:t>
            </w:r>
          </w:p>
        </w:tc>
        <w:tc>
          <w:tcPr>
            <w:tcW w:w="878" w:type="dxa"/>
            <w:tcBorders>
              <w:top w:val="nil"/>
              <w:left w:val="nil"/>
              <w:bottom w:val="single" w:color="000000" w:sz="4" w:space="0"/>
              <w:right w:val="single" w:color="000000" w:sz="4" w:space="0"/>
            </w:tcBorders>
            <w:noWrap/>
            <w:vAlign w:val="center"/>
          </w:tcPr>
          <w:p>
            <w:pPr>
              <w:widowControl/>
              <w:jc w:val="right"/>
              <w:textAlignment w:val="center"/>
              <w:rPr>
                <w:rFonts w:hint="default" w:ascii="宋体" w:hAnsi="宋体" w:eastAsia="宋体" w:cs="宋体"/>
                <w:color w:val="auto"/>
                <w:sz w:val="22"/>
                <w:highlight w:val="none"/>
                <w:lang w:val="en-US" w:eastAsia="zh-CN"/>
              </w:rPr>
            </w:pPr>
            <w:r>
              <w:rPr>
                <w:rFonts w:hint="eastAsia" w:ascii="宋体" w:hAnsi="宋体" w:cs="宋体"/>
                <w:color w:val="auto"/>
                <w:kern w:val="0"/>
                <w:sz w:val="22"/>
                <w:highlight w:val="none"/>
                <w:lang w:val="en-US" w:eastAsia="zh-CN"/>
              </w:rPr>
              <w:t>9.71</w:t>
            </w:r>
          </w:p>
        </w:tc>
      </w:tr>
      <w:tr>
        <w:tblPrEx>
          <w:tblCellMar>
            <w:top w:w="0" w:type="dxa"/>
            <w:left w:w="108" w:type="dxa"/>
            <w:bottom w:w="0" w:type="dxa"/>
            <w:right w:w="108" w:type="dxa"/>
          </w:tblCellMar>
        </w:tblPrEx>
        <w:trPr>
          <w:trHeight w:val="559" w:hRule="atLeast"/>
        </w:trPr>
        <w:tc>
          <w:tcPr>
            <w:tcW w:w="13980" w:type="dxa"/>
            <w:gridSpan w:val="14"/>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本年度一般公共预算财政拨款基本支出明细情况。本表金额转换为万元时，因四舍五入可能存在尾差。</w:t>
            </w:r>
          </w:p>
        </w:tc>
      </w:tr>
    </w:tbl>
    <w:p>
      <w:pPr>
        <w:rPr>
          <w:rFonts w:ascii="仿宋_GB2312" w:hAnsi="仿宋_GB2312" w:eastAsia="仿宋_GB2312" w:cs="仿宋_GB2312"/>
          <w:color w:val="auto"/>
          <w:sz w:val="32"/>
          <w:szCs w:val="3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p>
    <w:tbl>
      <w:tblPr>
        <w:tblStyle w:val="5"/>
        <w:tblW w:w="13780" w:type="dxa"/>
        <w:tblInd w:w="91" w:type="dxa"/>
        <w:tblLayout w:type="fixed"/>
        <w:tblCellMar>
          <w:top w:w="0" w:type="dxa"/>
          <w:left w:w="108" w:type="dxa"/>
          <w:bottom w:w="0" w:type="dxa"/>
          <w:right w:w="108" w:type="dxa"/>
        </w:tblCellMar>
      </w:tblPr>
      <w:tblGrid>
        <w:gridCol w:w="699"/>
        <w:gridCol w:w="1920"/>
        <w:gridCol w:w="725"/>
        <w:gridCol w:w="1098"/>
        <w:gridCol w:w="1102"/>
        <w:gridCol w:w="1335"/>
        <w:gridCol w:w="765"/>
        <w:gridCol w:w="1440"/>
        <w:gridCol w:w="1065"/>
        <w:gridCol w:w="1110"/>
        <w:gridCol w:w="1155"/>
        <w:gridCol w:w="1366"/>
      </w:tblGrid>
      <w:tr>
        <w:tblPrEx>
          <w:tblCellMar>
            <w:top w:w="0" w:type="dxa"/>
            <w:left w:w="108" w:type="dxa"/>
            <w:bottom w:w="0" w:type="dxa"/>
            <w:right w:w="108" w:type="dxa"/>
          </w:tblCellMar>
        </w:tblPrEx>
        <w:trPr>
          <w:trHeight w:val="283" w:hRule="atLeast"/>
        </w:trPr>
        <w:tc>
          <w:tcPr>
            <w:tcW w:w="13780" w:type="dxa"/>
            <w:gridSpan w:val="12"/>
            <w:tcBorders>
              <w:top w:val="nil"/>
              <w:left w:val="nil"/>
              <w:bottom w:val="nil"/>
              <w:right w:val="nil"/>
            </w:tcBorders>
            <w:noWrap/>
            <w:vAlign w:val="bottom"/>
          </w:tcPr>
          <w:p>
            <w:pPr>
              <w:widowControl/>
              <w:jc w:val="center"/>
              <w:textAlignment w:val="bottom"/>
              <w:rPr>
                <w:rFonts w:ascii="宋体" w:hAnsi="宋体" w:cs="宋体"/>
                <w:color w:val="auto"/>
                <w:sz w:val="44"/>
                <w:szCs w:val="44"/>
                <w:highlight w:val="none"/>
              </w:rPr>
            </w:pPr>
            <w:r>
              <w:rPr>
                <w:rFonts w:hint="eastAsia" w:ascii="宋体" w:hAnsi="宋体" w:cs="宋体"/>
                <w:color w:val="auto"/>
                <w:kern w:val="0"/>
                <w:sz w:val="30"/>
                <w:szCs w:val="30"/>
                <w:highlight w:val="none"/>
              </w:rPr>
              <w:t>一般公共预算财政拨款“三公”经费支出决算表</w:t>
            </w:r>
          </w:p>
        </w:tc>
      </w:tr>
      <w:tr>
        <w:tblPrEx>
          <w:tblCellMar>
            <w:top w:w="0" w:type="dxa"/>
            <w:left w:w="108" w:type="dxa"/>
            <w:bottom w:w="0" w:type="dxa"/>
            <w:right w:w="108" w:type="dxa"/>
          </w:tblCellMar>
        </w:tblPrEx>
        <w:trPr>
          <w:trHeight w:val="283" w:hRule="atLeast"/>
        </w:trPr>
        <w:tc>
          <w:tcPr>
            <w:tcW w:w="3344" w:type="dxa"/>
            <w:gridSpan w:val="3"/>
            <w:tcBorders>
              <w:top w:val="nil"/>
              <w:left w:val="nil"/>
              <w:bottom w:val="nil"/>
              <w:right w:val="nil"/>
            </w:tcBorders>
            <w:noWrap/>
            <w:vAlign w:val="bottom"/>
          </w:tcPr>
          <w:p>
            <w:pPr>
              <w:rPr>
                <w:rFonts w:ascii="Arial" w:hAnsi="Arial" w:cs="Arial"/>
                <w:color w:val="auto"/>
                <w:sz w:val="18"/>
                <w:szCs w:val="18"/>
                <w:highlight w:val="none"/>
              </w:rPr>
            </w:pPr>
          </w:p>
        </w:tc>
        <w:tc>
          <w:tcPr>
            <w:tcW w:w="1098" w:type="dxa"/>
            <w:tcBorders>
              <w:top w:val="nil"/>
              <w:left w:val="nil"/>
              <w:bottom w:val="nil"/>
              <w:right w:val="nil"/>
            </w:tcBorders>
            <w:noWrap/>
            <w:vAlign w:val="bottom"/>
          </w:tcPr>
          <w:p>
            <w:pPr>
              <w:rPr>
                <w:rFonts w:ascii="Arial" w:hAnsi="Arial" w:cs="Arial"/>
                <w:color w:val="auto"/>
                <w:sz w:val="18"/>
                <w:szCs w:val="18"/>
                <w:highlight w:val="none"/>
              </w:rPr>
            </w:pPr>
          </w:p>
        </w:tc>
        <w:tc>
          <w:tcPr>
            <w:tcW w:w="1102" w:type="dxa"/>
            <w:tcBorders>
              <w:top w:val="nil"/>
              <w:left w:val="nil"/>
              <w:bottom w:val="nil"/>
              <w:right w:val="nil"/>
            </w:tcBorders>
            <w:noWrap/>
            <w:vAlign w:val="bottom"/>
          </w:tcPr>
          <w:p>
            <w:pPr>
              <w:rPr>
                <w:rFonts w:ascii="Arial" w:hAnsi="Arial" w:cs="Arial"/>
                <w:color w:val="auto"/>
                <w:sz w:val="18"/>
                <w:szCs w:val="18"/>
                <w:highlight w:val="none"/>
              </w:rPr>
            </w:pPr>
          </w:p>
        </w:tc>
        <w:tc>
          <w:tcPr>
            <w:tcW w:w="1335" w:type="dxa"/>
            <w:tcBorders>
              <w:top w:val="nil"/>
              <w:left w:val="nil"/>
              <w:bottom w:val="nil"/>
              <w:right w:val="nil"/>
            </w:tcBorders>
            <w:noWrap/>
            <w:vAlign w:val="bottom"/>
          </w:tcPr>
          <w:p>
            <w:pPr>
              <w:rPr>
                <w:rFonts w:ascii="Arial" w:hAnsi="Arial" w:cs="Arial"/>
                <w:color w:val="auto"/>
                <w:sz w:val="18"/>
                <w:szCs w:val="18"/>
                <w:highlight w:val="none"/>
              </w:rPr>
            </w:pPr>
          </w:p>
        </w:tc>
        <w:tc>
          <w:tcPr>
            <w:tcW w:w="765" w:type="dxa"/>
            <w:tcBorders>
              <w:top w:val="nil"/>
              <w:left w:val="nil"/>
              <w:bottom w:val="nil"/>
              <w:right w:val="nil"/>
            </w:tcBorders>
            <w:noWrap/>
            <w:vAlign w:val="bottom"/>
          </w:tcPr>
          <w:p>
            <w:pPr>
              <w:rPr>
                <w:rFonts w:ascii="Arial" w:hAnsi="Arial" w:cs="Arial"/>
                <w:color w:val="auto"/>
                <w:sz w:val="18"/>
                <w:szCs w:val="18"/>
                <w:highlight w:val="none"/>
              </w:rPr>
            </w:pPr>
          </w:p>
        </w:tc>
        <w:tc>
          <w:tcPr>
            <w:tcW w:w="1440" w:type="dxa"/>
            <w:tcBorders>
              <w:top w:val="nil"/>
              <w:left w:val="nil"/>
              <w:bottom w:val="nil"/>
              <w:right w:val="nil"/>
            </w:tcBorders>
            <w:noWrap/>
            <w:vAlign w:val="bottom"/>
          </w:tcPr>
          <w:p>
            <w:pPr>
              <w:rPr>
                <w:rFonts w:ascii="Arial" w:hAnsi="Arial" w:cs="Arial"/>
                <w:color w:val="auto"/>
                <w:sz w:val="18"/>
                <w:szCs w:val="18"/>
                <w:highlight w:val="none"/>
              </w:rPr>
            </w:pPr>
          </w:p>
        </w:tc>
        <w:tc>
          <w:tcPr>
            <w:tcW w:w="1065" w:type="dxa"/>
            <w:tcBorders>
              <w:top w:val="nil"/>
              <w:left w:val="nil"/>
              <w:bottom w:val="nil"/>
              <w:right w:val="nil"/>
            </w:tcBorders>
            <w:noWrap/>
            <w:vAlign w:val="bottom"/>
          </w:tcPr>
          <w:p>
            <w:pPr>
              <w:rPr>
                <w:rFonts w:ascii="Arial" w:hAnsi="Arial" w:cs="Arial"/>
                <w:color w:val="auto"/>
                <w:sz w:val="18"/>
                <w:szCs w:val="18"/>
                <w:highlight w:val="none"/>
              </w:rPr>
            </w:pPr>
          </w:p>
        </w:tc>
        <w:tc>
          <w:tcPr>
            <w:tcW w:w="1110" w:type="dxa"/>
            <w:tcBorders>
              <w:top w:val="nil"/>
              <w:left w:val="nil"/>
              <w:bottom w:val="nil"/>
              <w:right w:val="nil"/>
            </w:tcBorders>
            <w:noWrap/>
            <w:vAlign w:val="bottom"/>
          </w:tcPr>
          <w:p>
            <w:pPr>
              <w:rPr>
                <w:rFonts w:ascii="Arial" w:hAnsi="Arial" w:cs="Arial"/>
                <w:color w:val="auto"/>
                <w:sz w:val="18"/>
                <w:szCs w:val="18"/>
                <w:highlight w:val="none"/>
              </w:rPr>
            </w:pPr>
          </w:p>
        </w:tc>
        <w:tc>
          <w:tcPr>
            <w:tcW w:w="2521"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公开07表</w:t>
            </w:r>
          </w:p>
        </w:tc>
      </w:tr>
      <w:tr>
        <w:tblPrEx>
          <w:tblCellMar>
            <w:top w:w="0" w:type="dxa"/>
            <w:left w:w="108" w:type="dxa"/>
            <w:bottom w:w="0" w:type="dxa"/>
            <w:right w:w="108" w:type="dxa"/>
          </w:tblCellMar>
        </w:tblPrEx>
        <w:trPr>
          <w:trHeight w:val="283" w:hRule="atLeast"/>
        </w:trPr>
        <w:tc>
          <w:tcPr>
            <w:tcW w:w="4442" w:type="dxa"/>
            <w:gridSpan w:val="4"/>
            <w:tcBorders>
              <w:top w:val="nil"/>
              <w:left w:val="nil"/>
              <w:bottom w:val="nil"/>
              <w:right w:val="nil"/>
            </w:tcBorders>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1102" w:type="dxa"/>
            <w:tcBorders>
              <w:top w:val="nil"/>
              <w:left w:val="nil"/>
              <w:bottom w:val="nil"/>
              <w:right w:val="nil"/>
            </w:tcBorders>
            <w:noWrap/>
            <w:vAlign w:val="bottom"/>
          </w:tcPr>
          <w:p>
            <w:pPr>
              <w:rPr>
                <w:rFonts w:ascii="Arial" w:hAnsi="Arial" w:cs="Arial"/>
                <w:color w:val="auto"/>
                <w:sz w:val="18"/>
                <w:szCs w:val="18"/>
                <w:highlight w:val="none"/>
              </w:rPr>
            </w:pPr>
          </w:p>
        </w:tc>
        <w:tc>
          <w:tcPr>
            <w:tcW w:w="1335" w:type="dxa"/>
            <w:tcBorders>
              <w:top w:val="nil"/>
              <w:left w:val="nil"/>
              <w:bottom w:val="nil"/>
              <w:right w:val="nil"/>
            </w:tcBorders>
            <w:noWrap/>
            <w:vAlign w:val="bottom"/>
          </w:tcPr>
          <w:p>
            <w:pPr>
              <w:rPr>
                <w:rFonts w:ascii="Arial" w:hAnsi="Arial" w:cs="Arial"/>
                <w:color w:val="auto"/>
                <w:sz w:val="18"/>
                <w:szCs w:val="18"/>
                <w:highlight w:val="none"/>
              </w:rPr>
            </w:pPr>
          </w:p>
        </w:tc>
        <w:tc>
          <w:tcPr>
            <w:tcW w:w="765" w:type="dxa"/>
            <w:tcBorders>
              <w:top w:val="nil"/>
              <w:left w:val="nil"/>
              <w:bottom w:val="nil"/>
              <w:right w:val="nil"/>
            </w:tcBorders>
            <w:noWrap/>
            <w:vAlign w:val="bottom"/>
          </w:tcPr>
          <w:p>
            <w:pPr>
              <w:rPr>
                <w:rFonts w:ascii="Arial" w:hAnsi="Arial" w:cs="Arial"/>
                <w:color w:val="auto"/>
                <w:sz w:val="18"/>
                <w:szCs w:val="18"/>
                <w:highlight w:val="none"/>
              </w:rPr>
            </w:pPr>
          </w:p>
        </w:tc>
        <w:tc>
          <w:tcPr>
            <w:tcW w:w="1440" w:type="dxa"/>
            <w:tcBorders>
              <w:top w:val="nil"/>
              <w:left w:val="nil"/>
              <w:bottom w:val="nil"/>
              <w:right w:val="nil"/>
            </w:tcBorders>
            <w:noWrap/>
            <w:vAlign w:val="bottom"/>
          </w:tcPr>
          <w:p>
            <w:pPr>
              <w:rPr>
                <w:rFonts w:ascii="Arial" w:hAnsi="Arial" w:cs="Arial"/>
                <w:color w:val="auto"/>
                <w:sz w:val="18"/>
                <w:szCs w:val="18"/>
                <w:highlight w:val="none"/>
              </w:rPr>
            </w:pPr>
          </w:p>
        </w:tc>
        <w:tc>
          <w:tcPr>
            <w:tcW w:w="1065" w:type="dxa"/>
            <w:tcBorders>
              <w:top w:val="nil"/>
              <w:left w:val="nil"/>
              <w:bottom w:val="nil"/>
              <w:right w:val="nil"/>
            </w:tcBorders>
            <w:noWrap/>
            <w:vAlign w:val="bottom"/>
          </w:tcPr>
          <w:p>
            <w:pPr>
              <w:rPr>
                <w:rFonts w:ascii="Arial" w:hAnsi="Arial" w:cs="Arial"/>
                <w:color w:val="auto"/>
                <w:sz w:val="18"/>
                <w:szCs w:val="18"/>
                <w:highlight w:val="none"/>
              </w:rPr>
            </w:pPr>
          </w:p>
        </w:tc>
        <w:tc>
          <w:tcPr>
            <w:tcW w:w="1110" w:type="dxa"/>
            <w:tcBorders>
              <w:top w:val="nil"/>
              <w:left w:val="nil"/>
              <w:bottom w:val="nil"/>
              <w:right w:val="nil"/>
            </w:tcBorders>
            <w:noWrap/>
            <w:vAlign w:val="bottom"/>
          </w:tcPr>
          <w:p>
            <w:pPr>
              <w:rPr>
                <w:rFonts w:ascii="Arial" w:hAnsi="Arial" w:cs="Arial"/>
                <w:color w:val="auto"/>
                <w:sz w:val="18"/>
                <w:szCs w:val="18"/>
                <w:highlight w:val="none"/>
              </w:rPr>
            </w:pPr>
          </w:p>
        </w:tc>
        <w:tc>
          <w:tcPr>
            <w:tcW w:w="2521" w:type="dxa"/>
            <w:gridSpan w:val="2"/>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563" w:hRule="atLeast"/>
        </w:trPr>
        <w:tc>
          <w:tcPr>
            <w:tcW w:w="6879" w:type="dxa"/>
            <w:gridSpan w:val="6"/>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预算数</w:t>
            </w:r>
          </w:p>
        </w:tc>
        <w:tc>
          <w:tcPr>
            <w:tcW w:w="6901" w:type="dxa"/>
            <w:gridSpan w:val="6"/>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决算数</w:t>
            </w:r>
          </w:p>
        </w:tc>
      </w:tr>
      <w:tr>
        <w:tblPrEx>
          <w:tblCellMar>
            <w:top w:w="0" w:type="dxa"/>
            <w:left w:w="108" w:type="dxa"/>
            <w:bottom w:w="0" w:type="dxa"/>
            <w:right w:w="108" w:type="dxa"/>
          </w:tblCellMar>
        </w:tblPrEx>
        <w:trPr>
          <w:trHeight w:val="738" w:hRule="atLeast"/>
        </w:trPr>
        <w:tc>
          <w:tcPr>
            <w:tcW w:w="699"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92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因公出国（境）费</w:t>
            </w:r>
          </w:p>
        </w:tc>
        <w:tc>
          <w:tcPr>
            <w:tcW w:w="2925"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公务用车购置及运行费</w:t>
            </w:r>
          </w:p>
        </w:tc>
        <w:tc>
          <w:tcPr>
            <w:tcW w:w="133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公务接待费</w:t>
            </w:r>
          </w:p>
        </w:tc>
        <w:tc>
          <w:tcPr>
            <w:tcW w:w="765"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1440"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因公出国（境）费</w:t>
            </w:r>
          </w:p>
        </w:tc>
        <w:tc>
          <w:tcPr>
            <w:tcW w:w="3330" w:type="dxa"/>
            <w:gridSpan w:val="3"/>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公务用车购置及运行费</w:t>
            </w:r>
          </w:p>
        </w:tc>
        <w:tc>
          <w:tcPr>
            <w:tcW w:w="1366"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公务接待费</w:t>
            </w:r>
          </w:p>
        </w:tc>
      </w:tr>
      <w:tr>
        <w:tblPrEx>
          <w:tblCellMar>
            <w:top w:w="0" w:type="dxa"/>
            <w:left w:w="108" w:type="dxa"/>
            <w:bottom w:w="0" w:type="dxa"/>
            <w:right w:w="108" w:type="dxa"/>
          </w:tblCellMar>
        </w:tblPrEx>
        <w:trPr>
          <w:trHeight w:val="952" w:hRule="atLeast"/>
        </w:trPr>
        <w:tc>
          <w:tcPr>
            <w:tcW w:w="699"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92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7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109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公务用车购置费</w:t>
            </w:r>
          </w:p>
        </w:tc>
        <w:tc>
          <w:tcPr>
            <w:tcW w:w="110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公务用车运行费</w:t>
            </w:r>
          </w:p>
        </w:tc>
        <w:tc>
          <w:tcPr>
            <w:tcW w:w="133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765"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440"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0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公务用车购置费</w:t>
            </w:r>
          </w:p>
        </w:tc>
        <w:tc>
          <w:tcPr>
            <w:tcW w:w="115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公务用车运行费</w:t>
            </w:r>
          </w:p>
        </w:tc>
        <w:tc>
          <w:tcPr>
            <w:tcW w:w="1366"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425" w:hRule="atLeast"/>
        </w:trPr>
        <w:tc>
          <w:tcPr>
            <w:tcW w:w="699" w:type="dxa"/>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92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72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098"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102"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133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c>
          <w:tcPr>
            <w:tcW w:w="7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7</w:t>
            </w:r>
          </w:p>
        </w:tc>
        <w:tc>
          <w:tcPr>
            <w:tcW w:w="144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8</w:t>
            </w:r>
          </w:p>
        </w:tc>
        <w:tc>
          <w:tcPr>
            <w:tcW w:w="106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9</w:t>
            </w:r>
          </w:p>
        </w:tc>
        <w:tc>
          <w:tcPr>
            <w:tcW w:w="1110"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10</w:t>
            </w:r>
          </w:p>
        </w:tc>
        <w:tc>
          <w:tcPr>
            <w:tcW w:w="1155"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11</w:t>
            </w:r>
          </w:p>
        </w:tc>
        <w:tc>
          <w:tcPr>
            <w:tcW w:w="1366"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12</w:t>
            </w:r>
          </w:p>
        </w:tc>
      </w:tr>
      <w:tr>
        <w:tblPrEx>
          <w:tblCellMar>
            <w:top w:w="0" w:type="dxa"/>
            <w:left w:w="108" w:type="dxa"/>
            <w:bottom w:w="0" w:type="dxa"/>
            <w:right w:w="108" w:type="dxa"/>
          </w:tblCellMar>
        </w:tblPrEx>
        <w:trPr>
          <w:trHeight w:val="425" w:hRule="atLeast"/>
        </w:trPr>
        <w:tc>
          <w:tcPr>
            <w:tcW w:w="699" w:type="dxa"/>
            <w:tcBorders>
              <w:top w:val="nil"/>
              <w:left w:val="single" w:color="000000" w:sz="4" w:space="0"/>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92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2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98"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102"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44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06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366"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25" w:hRule="atLeast"/>
        </w:trPr>
        <w:tc>
          <w:tcPr>
            <w:tcW w:w="699" w:type="dxa"/>
            <w:tcBorders>
              <w:top w:val="nil"/>
              <w:left w:val="single" w:color="000000" w:sz="4" w:space="0"/>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92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72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098"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102"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33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76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44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06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110"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155"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c>
          <w:tcPr>
            <w:tcW w:w="1366" w:type="dxa"/>
            <w:tcBorders>
              <w:top w:val="nil"/>
              <w:left w:val="nil"/>
              <w:bottom w:val="single" w:color="000000" w:sz="4" w:space="0"/>
              <w:right w:val="single" w:color="000000" w:sz="4" w:space="0"/>
            </w:tcBorders>
            <w:noWrap/>
            <w:vAlign w:val="center"/>
          </w:tcPr>
          <w:p>
            <w:pPr>
              <w:widowControl/>
              <w:jc w:val="right"/>
              <w:textAlignment w:val="center"/>
              <w:rPr>
                <w:rFonts w:hint="eastAsia" w:ascii="宋体" w:hAnsi="宋体" w:cs="宋体"/>
                <w:color w:val="auto"/>
                <w:kern w:val="0"/>
                <w:sz w:val="22"/>
                <w:highlight w:val="none"/>
              </w:rPr>
            </w:pPr>
          </w:p>
        </w:tc>
      </w:tr>
      <w:tr>
        <w:tblPrEx>
          <w:tblCellMar>
            <w:top w:w="0" w:type="dxa"/>
            <w:left w:w="108" w:type="dxa"/>
            <w:bottom w:w="0" w:type="dxa"/>
            <w:right w:w="108" w:type="dxa"/>
          </w:tblCellMar>
        </w:tblPrEx>
        <w:trPr>
          <w:trHeight w:val="927" w:hRule="atLeast"/>
        </w:trPr>
        <w:tc>
          <w:tcPr>
            <w:tcW w:w="13780" w:type="dxa"/>
            <w:gridSpan w:val="12"/>
            <w:tcBorders>
              <w:top w:val="nil"/>
              <w:left w:val="nil"/>
              <w:bottom w:val="nil"/>
              <w:right w:val="nil"/>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lang w:bidi="ar"/>
              </w:rPr>
              <w:t>注：本表反映</w:t>
            </w:r>
            <w:r>
              <w:rPr>
                <w:rFonts w:hint="eastAsia" w:ascii="宋体" w:hAnsi="宋体" w:cs="宋体"/>
                <w:color w:val="auto"/>
                <w:kern w:val="0"/>
                <w:sz w:val="22"/>
                <w:highlight w:val="none"/>
                <w:lang w:eastAsia="zh-CN" w:bidi="ar"/>
              </w:rPr>
              <w:t>单位</w:t>
            </w:r>
            <w:r>
              <w:rPr>
                <w:rFonts w:hint="eastAsia" w:ascii="宋体" w:hAnsi="宋体" w:cs="宋体"/>
                <w:color w:val="auto"/>
                <w:kern w:val="0"/>
                <w:sz w:val="22"/>
                <w:highlight w:val="none"/>
                <w:lang w:bidi="ar"/>
              </w:rPr>
              <w:t>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差。</w:t>
            </w:r>
          </w:p>
        </w:tc>
      </w:tr>
    </w:tbl>
    <w:p>
      <w:pPr>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 xml:space="preserve"> </w:t>
      </w:r>
    </w:p>
    <w:p>
      <w:pPr>
        <w:rPr>
          <w:rFonts w:hint="eastAsia" w:ascii="仿宋_GB2312" w:hAnsi="仿宋_GB2312" w:eastAsia="仿宋_GB2312" w:cs="仿宋_GB2312"/>
          <w:color w:val="auto"/>
          <w:sz w:val="32"/>
          <w:szCs w:val="32"/>
          <w:highlight w:val="none"/>
        </w:rPr>
        <w:sectPr>
          <w:pgSz w:w="16838" w:h="11906" w:orient="landscape"/>
          <w:pgMar w:top="2098" w:right="1474" w:bottom="1984" w:left="1587"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r>
        <w:rPr>
          <w:rFonts w:hint="eastAsia" w:ascii="仿宋_GB2312" w:hAnsi="仿宋_GB2312" w:eastAsia="仿宋_GB2312" w:cs="仿宋_GB2312"/>
          <w:color w:val="auto"/>
          <w:sz w:val="32"/>
          <w:szCs w:val="32"/>
          <w:highlight w:val="none"/>
        </w:rPr>
        <w:t>说明：我单位没有预算安排的三公经费，也没有预算安排的三公支出，故本表无数据。</w:t>
      </w:r>
    </w:p>
    <w:tbl>
      <w:tblPr>
        <w:tblStyle w:val="5"/>
        <w:tblW w:w="13963" w:type="dxa"/>
        <w:tblInd w:w="93" w:type="dxa"/>
        <w:tblLayout w:type="fixed"/>
        <w:tblCellMar>
          <w:top w:w="0" w:type="dxa"/>
          <w:left w:w="108" w:type="dxa"/>
          <w:bottom w:w="0" w:type="dxa"/>
          <w:right w:w="108" w:type="dxa"/>
        </w:tblCellMar>
      </w:tblPr>
      <w:tblGrid>
        <w:gridCol w:w="1436"/>
        <w:gridCol w:w="1108"/>
        <w:gridCol w:w="2027"/>
        <w:gridCol w:w="1717"/>
        <w:gridCol w:w="1717"/>
        <w:gridCol w:w="1717"/>
        <w:gridCol w:w="1717"/>
        <w:gridCol w:w="2524"/>
      </w:tblGrid>
      <w:tr>
        <w:tblPrEx>
          <w:tblCellMar>
            <w:top w:w="0" w:type="dxa"/>
            <w:left w:w="108" w:type="dxa"/>
            <w:bottom w:w="0" w:type="dxa"/>
            <w:right w:w="108" w:type="dxa"/>
          </w:tblCellMar>
        </w:tblPrEx>
        <w:trPr>
          <w:trHeight w:val="353" w:hRule="atLeast"/>
        </w:trPr>
        <w:tc>
          <w:tcPr>
            <w:tcW w:w="13963" w:type="dxa"/>
            <w:gridSpan w:val="8"/>
            <w:tcBorders>
              <w:top w:val="nil"/>
              <w:left w:val="nil"/>
              <w:bottom w:val="nil"/>
              <w:right w:val="nil"/>
            </w:tcBorders>
            <w:noWrap/>
            <w:vAlign w:val="bottom"/>
          </w:tcPr>
          <w:p>
            <w:pPr>
              <w:widowControl/>
              <w:jc w:val="center"/>
              <w:textAlignment w:val="bottom"/>
              <w:rPr>
                <w:rFonts w:ascii="宋体" w:hAnsi="宋体" w:cs="宋体"/>
                <w:color w:val="auto"/>
                <w:sz w:val="30"/>
                <w:szCs w:val="30"/>
                <w:highlight w:val="none"/>
              </w:rPr>
            </w:pPr>
            <w:r>
              <w:rPr>
                <w:rFonts w:hint="eastAsia" w:ascii="宋体" w:hAnsi="宋体" w:cs="宋体"/>
                <w:color w:val="auto"/>
                <w:kern w:val="0"/>
                <w:sz w:val="30"/>
                <w:szCs w:val="30"/>
                <w:highlight w:val="none"/>
              </w:rPr>
              <w:t>政府性基金预算财政拨款收入支出决算表</w:t>
            </w:r>
          </w:p>
        </w:tc>
      </w:tr>
      <w:tr>
        <w:tblPrEx>
          <w:tblCellMar>
            <w:top w:w="0" w:type="dxa"/>
            <w:left w:w="108" w:type="dxa"/>
            <w:bottom w:w="0" w:type="dxa"/>
            <w:right w:w="108" w:type="dxa"/>
          </w:tblCellMar>
        </w:tblPrEx>
        <w:trPr>
          <w:trHeight w:val="283" w:hRule="atLeast"/>
        </w:trPr>
        <w:tc>
          <w:tcPr>
            <w:tcW w:w="4571" w:type="dxa"/>
            <w:gridSpan w:val="3"/>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2524" w:type="dxa"/>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公开08表</w:t>
            </w:r>
          </w:p>
        </w:tc>
      </w:tr>
      <w:tr>
        <w:tblPrEx>
          <w:tblCellMar>
            <w:top w:w="0" w:type="dxa"/>
            <w:left w:w="108" w:type="dxa"/>
            <w:bottom w:w="0" w:type="dxa"/>
            <w:right w:w="108" w:type="dxa"/>
          </w:tblCellMar>
        </w:tblPrEx>
        <w:trPr>
          <w:trHeight w:val="283" w:hRule="atLeast"/>
        </w:trPr>
        <w:tc>
          <w:tcPr>
            <w:tcW w:w="4571" w:type="dxa"/>
            <w:gridSpan w:val="3"/>
            <w:tcBorders>
              <w:top w:val="nil"/>
              <w:left w:val="nil"/>
              <w:bottom w:val="nil"/>
              <w:right w:val="nil"/>
            </w:tcBorders>
            <w:noWrap/>
            <w:vAlign w:val="bottom"/>
          </w:tcPr>
          <w:p>
            <w:pPr>
              <w:rPr>
                <w:rFonts w:ascii="Arial" w:hAnsi="Arial" w:cs="Arial"/>
                <w:color w:val="auto"/>
                <w:sz w:val="18"/>
                <w:szCs w:val="18"/>
                <w:highlight w:val="none"/>
              </w:rPr>
            </w:pPr>
            <w:r>
              <w:rPr>
                <w:rFonts w:hint="eastAsia" w:ascii="宋体" w:hAnsi="宋体" w:cs="宋体"/>
                <w:color w:val="auto"/>
                <w:kern w:val="0"/>
                <w:sz w:val="18"/>
                <w:szCs w:val="18"/>
                <w:highlight w:val="none"/>
                <w:lang w:eastAsia="zh-CN"/>
              </w:rPr>
              <w:t>单位</w:t>
            </w:r>
            <w:r>
              <w:rPr>
                <w:rFonts w:hint="eastAsia" w:ascii="宋体" w:hAnsi="宋体" w:cs="宋体"/>
                <w:color w:val="auto"/>
                <w:kern w:val="0"/>
                <w:sz w:val="18"/>
                <w:szCs w:val="18"/>
                <w:highlight w:val="none"/>
              </w:rPr>
              <w:t>：许昌市</w:t>
            </w:r>
            <w:r>
              <w:rPr>
                <w:rFonts w:hint="eastAsia" w:ascii="宋体" w:hAnsi="宋体" w:cs="宋体"/>
                <w:color w:val="auto"/>
                <w:kern w:val="0"/>
                <w:sz w:val="18"/>
                <w:szCs w:val="18"/>
                <w:highlight w:val="none"/>
                <w:lang w:eastAsia="zh-CN"/>
              </w:rPr>
              <w:t>物业</w:t>
            </w:r>
            <w:r>
              <w:rPr>
                <w:rFonts w:hint="eastAsia" w:ascii="宋体" w:hAnsi="宋体" w:cs="宋体"/>
                <w:color w:val="auto"/>
                <w:kern w:val="0"/>
                <w:sz w:val="18"/>
                <w:szCs w:val="18"/>
                <w:highlight w:val="none"/>
              </w:rPr>
              <w:t>管理中心</w:t>
            </w: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1717" w:type="dxa"/>
            <w:tcBorders>
              <w:top w:val="nil"/>
              <w:left w:val="nil"/>
              <w:bottom w:val="nil"/>
              <w:right w:val="nil"/>
            </w:tcBorders>
            <w:noWrap/>
            <w:vAlign w:val="bottom"/>
          </w:tcPr>
          <w:p>
            <w:pPr>
              <w:rPr>
                <w:rFonts w:ascii="Arial" w:hAnsi="Arial" w:cs="Arial"/>
                <w:color w:val="auto"/>
                <w:sz w:val="18"/>
                <w:szCs w:val="18"/>
                <w:highlight w:val="none"/>
              </w:rPr>
            </w:pPr>
          </w:p>
        </w:tc>
        <w:tc>
          <w:tcPr>
            <w:tcW w:w="2524" w:type="dxa"/>
            <w:tcBorders>
              <w:top w:val="nil"/>
              <w:left w:val="nil"/>
              <w:bottom w:val="nil"/>
              <w:right w:val="nil"/>
            </w:tcBorders>
            <w:noWrap/>
            <w:vAlign w:val="bottom"/>
          </w:tcPr>
          <w:p>
            <w:pPr>
              <w:widowControl/>
              <w:jc w:val="right"/>
              <w:textAlignment w:val="bottom"/>
              <w:rPr>
                <w:rFonts w:ascii="宋体" w:hAnsi="宋体" w:cs="宋体"/>
                <w:color w:val="auto"/>
                <w:sz w:val="18"/>
                <w:szCs w:val="18"/>
                <w:highlight w:val="none"/>
              </w:rPr>
            </w:pPr>
            <w:r>
              <w:rPr>
                <w:rFonts w:hint="eastAsia" w:ascii="宋体" w:hAnsi="宋体" w:cs="宋体"/>
                <w:color w:val="auto"/>
                <w:kern w:val="0"/>
                <w:sz w:val="18"/>
                <w:szCs w:val="18"/>
                <w:highlight w:val="none"/>
              </w:rPr>
              <w:t>金额单位：万元</w:t>
            </w:r>
          </w:p>
        </w:tc>
      </w:tr>
      <w:tr>
        <w:tblPrEx>
          <w:tblCellMar>
            <w:top w:w="0" w:type="dxa"/>
            <w:left w:w="108" w:type="dxa"/>
            <w:bottom w:w="0" w:type="dxa"/>
            <w:right w:w="108" w:type="dxa"/>
          </w:tblCellMar>
        </w:tblPrEx>
        <w:trPr>
          <w:trHeight w:val="425" w:hRule="atLeast"/>
        </w:trPr>
        <w:tc>
          <w:tcPr>
            <w:tcW w:w="2544" w:type="dxa"/>
            <w:gridSpan w:val="2"/>
            <w:tcBorders>
              <w:top w:val="single" w:color="000000" w:sz="4" w:space="0"/>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w:t>
            </w:r>
          </w:p>
        </w:tc>
        <w:tc>
          <w:tcPr>
            <w:tcW w:w="2027"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年初结转和结余</w:t>
            </w:r>
          </w:p>
        </w:tc>
        <w:tc>
          <w:tcPr>
            <w:tcW w:w="1717"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本年收入</w:t>
            </w:r>
          </w:p>
        </w:tc>
        <w:tc>
          <w:tcPr>
            <w:tcW w:w="5151" w:type="dxa"/>
            <w:gridSpan w:val="3"/>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本年支出</w:t>
            </w:r>
          </w:p>
        </w:tc>
        <w:tc>
          <w:tcPr>
            <w:tcW w:w="2524" w:type="dxa"/>
            <w:vMerge w:val="restart"/>
            <w:tcBorders>
              <w:top w:val="single" w:color="000000" w:sz="4" w:space="0"/>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年末结转和结余</w:t>
            </w:r>
          </w:p>
        </w:tc>
      </w:tr>
      <w:tr>
        <w:tblPrEx>
          <w:tblCellMar>
            <w:top w:w="0" w:type="dxa"/>
            <w:left w:w="108" w:type="dxa"/>
            <w:bottom w:w="0" w:type="dxa"/>
            <w:right w:w="108" w:type="dxa"/>
          </w:tblCellMar>
        </w:tblPrEx>
        <w:trPr>
          <w:trHeight w:val="425" w:hRule="atLeast"/>
        </w:trPr>
        <w:tc>
          <w:tcPr>
            <w:tcW w:w="1436" w:type="dxa"/>
            <w:vMerge w:val="restart"/>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kern w:val="0"/>
                <w:sz w:val="22"/>
                <w:highlight w:val="none"/>
              </w:rPr>
            </w:pPr>
            <w:r>
              <w:rPr>
                <w:rFonts w:hint="eastAsia" w:ascii="宋体" w:hAnsi="宋体" w:cs="宋体"/>
                <w:color w:val="auto"/>
                <w:kern w:val="0"/>
                <w:sz w:val="22"/>
                <w:highlight w:val="none"/>
              </w:rPr>
              <w:t>功能分类</w:t>
            </w:r>
          </w:p>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科目编码</w:t>
            </w:r>
          </w:p>
        </w:tc>
        <w:tc>
          <w:tcPr>
            <w:tcW w:w="1108"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科目名称</w:t>
            </w:r>
          </w:p>
        </w:tc>
        <w:tc>
          <w:tcPr>
            <w:tcW w:w="202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小计</w:t>
            </w:r>
          </w:p>
        </w:tc>
        <w:tc>
          <w:tcPr>
            <w:tcW w:w="171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基本支出</w:t>
            </w:r>
          </w:p>
        </w:tc>
        <w:tc>
          <w:tcPr>
            <w:tcW w:w="1717" w:type="dxa"/>
            <w:vMerge w:val="restart"/>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项目支出</w:t>
            </w:r>
          </w:p>
        </w:tc>
        <w:tc>
          <w:tcPr>
            <w:tcW w:w="252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425" w:hRule="atLeast"/>
        </w:trPr>
        <w:tc>
          <w:tcPr>
            <w:tcW w:w="143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0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02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52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425" w:hRule="atLeast"/>
        </w:trPr>
        <w:tc>
          <w:tcPr>
            <w:tcW w:w="1436" w:type="dxa"/>
            <w:vMerge w:val="continue"/>
            <w:tcBorders>
              <w:top w:val="nil"/>
              <w:left w:val="single" w:color="000000" w:sz="4" w:space="0"/>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108"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02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1717" w:type="dxa"/>
            <w:vMerge w:val="continue"/>
            <w:tcBorders>
              <w:top w:val="nil"/>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c>
          <w:tcPr>
            <w:tcW w:w="2524" w:type="dxa"/>
            <w:vMerge w:val="continue"/>
            <w:tcBorders>
              <w:top w:val="single" w:color="000000" w:sz="4" w:space="0"/>
              <w:left w:val="nil"/>
              <w:bottom w:val="single" w:color="000000" w:sz="4" w:space="0"/>
              <w:right w:val="single" w:color="000000" w:sz="4" w:space="0"/>
            </w:tcBorders>
            <w:noWrap/>
            <w:vAlign w:val="center"/>
          </w:tcPr>
          <w:p>
            <w:pPr>
              <w:jc w:val="center"/>
              <w:rPr>
                <w:rFonts w:ascii="宋体" w:hAnsi="宋体" w:cs="宋体"/>
                <w:color w:val="auto"/>
                <w:sz w:val="22"/>
                <w:highlight w:val="none"/>
              </w:rPr>
            </w:pPr>
          </w:p>
        </w:tc>
      </w:tr>
      <w:tr>
        <w:tblPrEx>
          <w:tblCellMar>
            <w:top w:w="0" w:type="dxa"/>
            <w:left w:w="108" w:type="dxa"/>
            <w:bottom w:w="0" w:type="dxa"/>
            <w:right w:w="108" w:type="dxa"/>
          </w:tblCellMar>
        </w:tblPrEx>
        <w:trPr>
          <w:trHeight w:val="425" w:hRule="atLeast"/>
        </w:trPr>
        <w:tc>
          <w:tcPr>
            <w:tcW w:w="254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栏次</w:t>
            </w:r>
          </w:p>
        </w:tc>
        <w:tc>
          <w:tcPr>
            <w:tcW w:w="202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1</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2</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3</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4</w:t>
            </w:r>
          </w:p>
        </w:tc>
        <w:tc>
          <w:tcPr>
            <w:tcW w:w="1717"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5</w:t>
            </w:r>
          </w:p>
        </w:tc>
        <w:tc>
          <w:tcPr>
            <w:tcW w:w="2524" w:type="dxa"/>
            <w:tcBorders>
              <w:top w:val="nil"/>
              <w:left w:val="nil"/>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6</w:t>
            </w:r>
          </w:p>
        </w:tc>
      </w:tr>
      <w:tr>
        <w:tblPrEx>
          <w:tblCellMar>
            <w:top w:w="0" w:type="dxa"/>
            <w:left w:w="108" w:type="dxa"/>
            <w:bottom w:w="0" w:type="dxa"/>
            <w:right w:w="108" w:type="dxa"/>
          </w:tblCellMar>
        </w:tblPrEx>
        <w:trPr>
          <w:trHeight w:val="425" w:hRule="atLeast"/>
        </w:trPr>
        <w:tc>
          <w:tcPr>
            <w:tcW w:w="2544" w:type="dxa"/>
            <w:gridSpan w:val="2"/>
            <w:tcBorders>
              <w:top w:val="nil"/>
              <w:left w:val="single" w:color="000000" w:sz="4" w:space="0"/>
              <w:bottom w:val="single" w:color="000000" w:sz="4" w:space="0"/>
              <w:right w:val="single" w:color="000000" w:sz="4" w:space="0"/>
            </w:tcBorders>
            <w:noWrap/>
            <w:vAlign w:val="center"/>
          </w:tcPr>
          <w:p>
            <w:pPr>
              <w:widowControl/>
              <w:jc w:val="center"/>
              <w:textAlignment w:val="center"/>
              <w:rPr>
                <w:rFonts w:ascii="宋体" w:hAnsi="宋体" w:cs="宋体"/>
                <w:color w:val="auto"/>
                <w:sz w:val="22"/>
                <w:highlight w:val="none"/>
              </w:rPr>
            </w:pPr>
            <w:r>
              <w:rPr>
                <w:rFonts w:hint="eastAsia" w:ascii="宋体" w:hAnsi="宋体" w:cs="宋体"/>
                <w:color w:val="auto"/>
                <w:kern w:val="0"/>
                <w:sz w:val="22"/>
                <w:highlight w:val="none"/>
              </w:rPr>
              <w:t>合计</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b/>
                <w:bCs/>
                <w:color w:val="auto"/>
                <w:sz w:val="22"/>
                <w:highlight w:val="none"/>
              </w:rPr>
            </w:pPr>
            <w:r>
              <w:rPr>
                <w:rFonts w:hint="eastAsia" w:ascii="宋体" w:hAnsi="宋体" w:cs="宋体"/>
                <w:b/>
                <w:bCs/>
                <w:color w:val="auto"/>
                <w:kern w:val="0"/>
                <w:sz w:val="22"/>
                <w:highlight w:val="none"/>
              </w:rPr>
              <w:t>　</w:t>
            </w:r>
          </w:p>
        </w:tc>
      </w:tr>
      <w:tr>
        <w:tblPrEx>
          <w:tblCellMar>
            <w:top w:w="0" w:type="dxa"/>
            <w:left w:w="108" w:type="dxa"/>
            <w:bottom w:w="0" w:type="dxa"/>
            <w:right w:w="108" w:type="dxa"/>
          </w:tblCellMar>
        </w:tblPrEx>
        <w:trPr>
          <w:trHeight w:val="425" w:hRule="atLeast"/>
        </w:trPr>
        <w:tc>
          <w:tcPr>
            <w:tcW w:w="143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10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25" w:hRule="atLeast"/>
        </w:trPr>
        <w:tc>
          <w:tcPr>
            <w:tcW w:w="143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10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425" w:hRule="atLeast"/>
        </w:trPr>
        <w:tc>
          <w:tcPr>
            <w:tcW w:w="1436" w:type="dxa"/>
            <w:tcBorders>
              <w:top w:val="nil"/>
              <w:left w:val="single" w:color="000000" w:sz="4" w:space="0"/>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108" w:type="dxa"/>
            <w:tcBorders>
              <w:top w:val="nil"/>
              <w:left w:val="nil"/>
              <w:bottom w:val="single" w:color="000000" w:sz="4" w:space="0"/>
              <w:right w:val="single" w:color="000000" w:sz="4" w:space="0"/>
            </w:tcBorders>
            <w:noWrap/>
            <w:vAlign w:val="center"/>
          </w:tcPr>
          <w:p>
            <w:pPr>
              <w:widowControl/>
              <w:jc w:val="lef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02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1717"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c>
          <w:tcPr>
            <w:tcW w:w="2524" w:type="dxa"/>
            <w:tcBorders>
              <w:top w:val="nil"/>
              <w:left w:val="nil"/>
              <w:bottom w:val="single" w:color="000000" w:sz="4" w:space="0"/>
              <w:right w:val="single" w:color="000000" w:sz="4" w:space="0"/>
            </w:tcBorders>
            <w:noWrap/>
            <w:vAlign w:val="center"/>
          </w:tcPr>
          <w:p>
            <w:pPr>
              <w:widowControl/>
              <w:jc w:val="right"/>
              <w:textAlignment w:val="center"/>
              <w:rPr>
                <w:rFonts w:ascii="宋体" w:hAnsi="宋体" w:cs="宋体"/>
                <w:color w:val="auto"/>
                <w:sz w:val="22"/>
                <w:highlight w:val="none"/>
              </w:rPr>
            </w:pPr>
            <w:r>
              <w:rPr>
                <w:rFonts w:hint="eastAsia" w:ascii="宋体" w:hAnsi="宋体" w:cs="宋体"/>
                <w:color w:val="auto"/>
                <w:kern w:val="0"/>
                <w:sz w:val="22"/>
                <w:highlight w:val="none"/>
              </w:rPr>
              <w:t>　</w:t>
            </w:r>
          </w:p>
        </w:tc>
      </w:tr>
      <w:tr>
        <w:tblPrEx>
          <w:tblCellMar>
            <w:top w:w="0" w:type="dxa"/>
            <w:left w:w="108" w:type="dxa"/>
            <w:bottom w:w="0" w:type="dxa"/>
            <w:right w:w="108" w:type="dxa"/>
          </w:tblCellMar>
        </w:tblPrEx>
        <w:trPr>
          <w:trHeight w:val="584" w:hRule="atLeast"/>
        </w:trPr>
        <w:tc>
          <w:tcPr>
            <w:tcW w:w="13963" w:type="dxa"/>
            <w:gridSpan w:val="8"/>
            <w:tcBorders>
              <w:top w:val="nil"/>
              <w:left w:val="nil"/>
              <w:bottom w:val="nil"/>
              <w:right w:val="nil"/>
            </w:tcBorders>
            <w:noWrap/>
            <w:vAlign w:val="center"/>
          </w:tcPr>
          <w:p>
            <w:pPr>
              <w:widowControl/>
              <w:jc w:val="left"/>
              <w:textAlignment w:val="center"/>
              <w:rPr>
                <w:rFonts w:ascii="宋体" w:hAnsi="宋体" w:cs="宋体"/>
                <w:color w:val="auto"/>
                <w:kern w:val="0"/>
                <w:sz w:val="22"/>
                <w:highlight w:val="none"/>
              </w:rPr>
            </w:pPr>
            <w:r>
              <w:rPr>
                <w:rFonts w:hint="eastAsia" w:ascii="宋体" w:hAnsi="宋体" w:cs="宋体"/>
                <w:color w:val="auto"/>
                <w:kern w:val="0"/>
                <w:sz w:val="22"/>
                <w:highlight w:val="none"/>
              </w:rPr>
              <w:t>注：本表反映</w:t>
            </w:r>
            <w:r>
              <w:rPr>
                <w:rFonts w:hint="eastAsia" w:ascii="宋体" w:hAnsi="宋体" w:cs="宋体"/>
                <w:color w:val="auto"/>
                <w:kern w:val="0"/>
                <w:sz w:val="22"/>
                <w:highlight w:val="none"/>
                <w:lang w:eastAsia="zh-CN"/>
              </w:rPr>
              <w:t>单位</w:t>
            </w:r>
            <w:r>
              <w:rPr>
                <w:rFonts w:hint="eastAsia" w:ascii="宋体" w:hAnsi="宋体" w:cs="宋体"/>
                <w:color w:val="auto"/>
                <w:kern w:val="0"/>
                <w:sz w:val="22"/>
                <w:highlight w:val="none"/>
              </w:rPr>
              <w:t>本年度政府性基金预算财政拨款收入、支出及结转和结余情况。本表金额转换为万元时，因四舍五入可能存在尾差。</w:t>
            </w:r>
          </w:p>
        </w:tc>
      </w:tr>
    </w:tbl>
    <w:p>
      <w:pPr>
        <w:widowControl/>
        <w:spacing w:line="590" w:lineRule="exact"/>
        <w:jc w:val="left"/>
        <w:rPr>
          <w:rFonts w:hint="eastAsia" w:ascii="仿宋_GB2312" w:hAnsi="仿宋_GB2312" w:eastAsia="仿宋_GB2312" w:cs="仿宋_GB2312"/>
          <w:color w:val="auto"/>
          <w:sz w:val="32"/>
          <w:szCs w:val="32"/>
          <w:highlight w:val="none"/>
        </w:rPr>
        <w:sectPr>
          <w:pgSz w:w="16838" w:h="11906" w:orient="landscape"/>
          <w:pgMar w:top="1803" w:right="1440" w:bottom="1803" w:left="1440" w:header="720" w:footer="720" w:gutter="0"/>
          <w:pgBorders>
            <w:top w:val="none" w:sz="0" w:space="0"/>
            <w:left w:val="none" w:sz="0" w:space="0"/>
            <w:bottom w:val="none" w:sz="0" w:space="0"/>
            <w:right w:val="none" w:sz="0" w:space="0"/>
          </w:pgBorders>
          <w:pgNumType w:fmt="numberInDash"/>
          <w:cols w:space="0" w:num="1"/>
          <w:rtlGutter w:val="0"/>
          <w:docGrid w:linePitch="312" w:charSpace="0"/>
        </w:sectPr>
      </w:pPr>
      <w:r>
        <w:rPr>
          <w:rFonts w:hint="eastAsia" w:ascii="仿宋_GB2312" w:hAnsi="仿宋_GB2312" w:eastAsia="仿宋_GB2312" w:cs="仿宋_GB2312"/>
          <w:color w:val="auto"/>
          <w:kern w:val="0"/>
          <w:sz w:val="32"/>
          <w:szCs w:val="32"/>
          <w:highlight w:val="none"/>
        </w:rPr>
        <w:t>说明：我单位没有政府性基金收入，也没有使用政府性基金安排的支出，故本表无数据。</w:t>
      </w: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第三部分 2021年度</w:t>
      </w:r>
      <w:r>
        <w:rPr>
          <w:rFonts w:hint="eastAsia" w:ascii="黑体" w:hAnsi="黑体" w:eastAsia="黑体" w:cs="黑体"/>
          <w:color w:val="auto"/>
          <w:sz w:val="48"/>
          <w:szCs w:val="48"/>
          <w:highlight w:val="none"/>
          <w:lang w:eastAsia="zh-CN"/>
        </w:rPr>
        <w:t>单位</w:t>
      </w:r>
      <w:r>
        <w:rPr>
          <w:rFonts w:hint="eastAsia" w:ascii="黑体" w:hAnsi="黑体" w:eastAsia="黑体" w:cs="黑体"/>
          <w:color w:val="auto"/>
          <w:sz w:val="48"/>
          <w:szCs w:val="48"/>
          <w:highlight w:val="none"/>
        </w:rPr>
        <w:t>决算情况说明</w:t>
      </w:r>
    </w:p>
    <w:p>
      <w:pPr>
        <w:widowControl/>
        <w:jc w:val="left"/>
        <w:rPr>
          <w:rFonts w:ascii="黑体" w:hAnsi="黑体" w:eastAsia="黑体" w:cs="黑体"/>
          <w:color w:val="auto"/>
          <w:sz w:val="48"/>
          <w:szCs w:val="48"/>
          <w:highlight w:val="none"/>
        </w:rPr>
        <w:sectPr>
          <w:pgSz w:w="11906" w:h="16838"/>
          <w:pgMar w:top="1440" w:right="1800" w:bottom="1440" w:left="1800" w:header="720" w:footer="720"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一、收入支出决算总体情况说明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年度收、支总计均为</w:t>
      </w:r>
      <w:r>
        <w:rPr>
          <w:rFonts w:ascii="仿宋_GB2312" w:hAnsi="仿宋_GB2312" w:eastAsia="仿宋_GB2312" w:cs="仿宋_GB2312"/>
          <w:color w:val="auto"/>
          <w:sz w:val="32"/>
          <w:szCs w:val="32"/>
          <w:highlight w:val="none"/>
        </w:rPr>
        <w:t>128.20</w:t>
      </w:r>
      <w:r>
        <w:rPr>
          <w:rFonts w:hint="eastAsia" w:ascii="仿宋_GB2312" w:hAnsi="仿宋_GB2312" w:eastAsia="仿宋_GB2312" w:cs="仿宋_GB2312"/>
          <w:color w:val="auto"/>
          <w:sz w:val="32"/>
          <w:szCs w:val="32"/>
          <w:highlight w:val="none"/>
        </w:rPr>
        <w:t>万元。与上年度相比，收、支总计各增加</w:t>
      </w:r>
      <w:r>
        <w:rPr>
          <w:rFonts w:ascii="仿宋_GB2312" w:hAnsi="仿宋_GB2312" w:eastAsia="仿宋_GB2312" w:cs="仿宋_GB2312"/>
          <w:color w:val="auto"/>
          <w:sz w:val="32"/>
          <w:szCs w:val="32"/>
          <w:highlight w:val="none"/>
        </w:rPr>
        <w:t>1.12</w:t>
      </w:r>
      <w:r>
        <w:rPr>
          <w:rFonts w:hint="eastAsia" w:ascii="仿宋_GB2312" w:hAnsi="仿宋_GB2312" w:eastAsia="仿宋_GB2312" w:cs="仿宋_GB2312"/>
          <w:color w:val="auto"/>
          <w:sz w:val="32"/>
          <w:szCs w:val="32"/>
          <w:highlight w:val="none"/>
        </w:rPr>
        <w:t>万元，增长</w:t>
      </w:r>
      <w:r>
        <w:rPr>
          <w:rFonts w:ascii="仿宋_GB2312" w:hAnsi="仿宋_GB2312" w:eastAsia="仿宋_GB2312" w:cs="仿宋_GB2312"/>
          <w:color w:val="auto"/>
          <w:sz w:val="32"/>
          <w:szCs w:val="32"/>
          <w:highlight w:val="none"/>
        </w:rPr>
        <w:t>0.88</w:t>
      </w:r>
      <w:r>
        <w:rPr>
          <w:rFonts w:hint="eastAsia" w:ascii="仿宋_GB2312" w:hAnsi="仿宋_GB2312" w:eastAsia="仿宋_GB2312" w:cs="仿宋_GB2312"/>
          <w:color w:val="auto"/>
          <w:sz w:val="32"/>
          <w:szCs w:val="32"/>
          <w:highlight w:val="none"/>
        </w:rPr>
        <w:t>%。主要原因是</w:t>
      </w:r>
      <w:r>
        <w:rPr>
          <w:rFonts w:hint="default" w:ascii="仿宋_GB2312" w:hAnsi="宋体" w:eastAsia="仿宋_GB2312"/>
          <w:color w:val="auto"/>
          <w:sz w:val="32"/>
          <w:highlight w:val="none"/>
          <w:shd w:val="clear" w:color="auto" w:fill="auto"/>
          <w:lang w:eastAsia="zh-CN"/>
        </w:rPr>
        <w:t>按规定程序调整人员经费。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二、收入决算情况说明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年度收入合计</w:t>
      </w:r>
      <w:r>
        <w:rPr>
          <w:rFonts w:ascii="仿宋_GB2312" w:hAnsi="仿宋_GB2312" w:eastAsia="仿宋_GB2312" w:cs="仿宋_GB2312"/>
          <w:color w:val="auto"/>
          <w:sz w:val="32"/>
          <w:szCs w:val="32"/>
          <w:highlight w:val="none"/>
        </w:rPr>
        <w:t>124.55</w:t>
      </w:r>
      <w:r>
        <w:rPr>
          <w:rFonts w:hint="eastAsia" w:ascii="仿宋_GB2312" w:hAnsi="仿宋_GB2312" w:eastAsia="仿宋_GB2312" w:cs="仿宋_GB2312"/>
          <w:color w:val="auto"/>
          <w:sz w:val="32"/>
          <w:szCs w:val="32"/>
          <w:highlight w:val="none"/>
        </w:rPr>
        <w:t>万元，其中：财政拨款收入</w:t>
      </w:r>
      <w:r>
        <w:rPr>
          <w:rFonts w:ascii="仿宋_GB2312" w:hAnsi="仿宋_GB2312" w:eastAsia="仿宋_GB2312" w:cs="仿宋_GB2312"/>
          <w:color w:val="auto"/>
          <w:sz w:val="32"/>
          <w:szCs w:val="32"/>
          <w:highlight w:val="none"/>
        </w:rPr>
        <w:t>124.55</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100.00</w:t>
      </w:r>
      <w:r>
        <w:rPr>
          <w:rFonts w:hint="eastAsia" w:ascii="仿宋_GB2312" w:hAnsi="仿宋_GB2312" w:eastAsia="仿宋_GB2312" w:cs="仿宋_GB2312"/>
          <w:color w:val="auto"/>
          <w:sz w:val="32"/>
          <w:szCs w:val="32"/>
          <w:highlight w:val="none"/>
        </w:rPr>
        <w:t>%；上级补助收入</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%；事业收入</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%；经营收入</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%；附属单位上缴收入</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%；其他收入</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年度支出合计</w:t>
      </w:r>
      <w:r>
        <w:rPr>
          <w:rFonts w:ascii="仿宋_GB2312" w:hAnsi="仿宋_GB2312" w:eastAsia="仿宋_GB2312" w:cs="仿宋_GB2312"/>
          <w:color w:val="auto"/>
          <w:sz w:val="32"/>
          <w:szCs w:val="32"/>
          <w:highlight w:val="none"/>
        </w:rPr>
        <w:t>128.20</w:t>
      </w:r>
      <w:r>
        <w:rPr>
          <w:rFonts w:hint="eastAsia" w:ascii="仿宋_GB2312" w:hAnsi="仿宋_GB2312" w:eastAsia="仿宋_GB2312" w:cs="仿宋_GB2312"/>
          <w:color w:val="auto"/>
          <w:sz w:val="32"/>
          <w:szCs w:val="32"/>
          <w:highlight w:val="none"/>
        </w:rPr>
        <w:t>万元，其中：基本支出</w:t>
      </w:r>
      <w:r>
        <w:rPr>
          <w:rFonts w:ascii="仿宋_GB2312" w:hAnsi="仿宋_GB2312" w:eastAsia="仿宋_GB2312" w:cs="仿宋_GB2312"/>
          <w:color w:val="auto"/>
          <w:sz w:val="32"/>
          <w:szCs w:val="32"/>
          <w:highlight w:val="none"/>
        </w:rPr>
        <w:t>113.76</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88.74</w:t>
      </w:r>
      <w:r>
        <w:rPr>
          <w:rFonts w:hint="eastAsia" w:ascii="仿宋_GB2312" w:hAnsi="仿宋_GB2312" w:eastAsia="仿宋_GB2312" w:cs="仿宋_GB2312"/>
          <w:color w:val="auto"/>
          <w:sz w:val="32"/>
          <w:szCs w:val="32"/>
          <w:highlight w:val="none"/>
        </w:rPr>
        <w:t>%；项目支出</w:t>
      </w:r>
      <w:r>
        <w:rPr>
          <w:rFonts w:ascii="仿宋_GB2312" w:hAnsi="仿宋_GB2312" w:eastAsia="仿宋_GB2312" w:cs="仿宋_GB2312"/>
          <w:color w:val="auto"/>
          <w:sz w:val="32"/>
          <w:szCs w:val="32"/>
          <w:highlight w:val="none"/>
        </w:rPr>
        <w:t>14.44</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11.26</w:t>
      </w:r>
      <w:r>
        <w:rPr>
          <w:rFonts w:hint="eastAsia" w:ascii="仿宋_GB2312" w:hAnsi="仿宋_GB2312" w:eastAsia="仿宋_GB2312" w:cs="仿宋_GB2312"/>
          <w:color w:val="auto"/>
          <w:sz w:val="32"/>
          <w:szCs w:val="32"/>
          <w:highlight w:val="none"/>
        </w:rPr>
        <w:t>%；上缴上级支出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%；经营支出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%；对附属单位补助支出</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0.00</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四、财政拨款收入支出决算总体情况说明</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年度财政拨款收、支总计均为</w:t>
      </w:r>
      <w:r>
        <w:rPr>
          <w:rFonts w:ascii="仿宋_GB2312" w:hAnsi="仿宋_GB2312" w:eastAsia="仿宋_GB2312" w:cs="仿宋_GB2312"/>
          <w:color w:val="auto"/>
          <w:sz w:val="32"/>
          <w:szCs w:val="32"/>
          <w:highlight w:val="none"/>
        </w:rPr>
        <w:t>128.20</w:t>
      </w:r>
      <w:r>
        <w:rPr>
          <w:rFonts w:hint="eastAsia" w:ascii="仿宋_GB2312" w:hAnsi="仿宋_GB2312" w:eastAsia="仿宋_GB2312" w:cs="仿宋_GB2312"/>
          <w:color w:val="auto"/>
          <w:sz w:val="32"/>
          <w:szCs w:val="32"/>
          <w:highlight w:val="none"/>
        </w:rPr>
        <w:t>万元。与上年度相比，财政拨款收、支总计各增加</w:t>
      </w:r>
      <w:r>
        <w:rPr>
          <w:rFonts w:ascii="仿宋_GB2312" w:hAnsi="仿宋_GB2312" w:eastAsia="仿宋_GB2312" w:cs="仿宋_GB2312"/>
          <w:color w:val="auto"/>
          <w:sz w:val="32"/>
          <w:szCs w:val="32"/>
          <w:highlight w:val="none"/>
        </w:rPr>
        <w:t>1.12</w:t>
      </w:r>
      <w:r>
        <w:rPr>
          <w:rFonts w:hint="eastAsia" w:ascii="仿宋_GB2312" w:hAnsi="仿宋_GB2312" w:eastAsia="仿宋_GB2312" w:cs="仿宋_GB2312"/>
          <w:color w:val="auto"/>
          <w:sz w:val="32"/>
          <w:szCs w:val="32"/>
          <w:highlight w:val="none"/>
        </w:rPr>
        <w:t>万元，增长</w:t>
      </w:r>
      <w:r>
        <w:rPr>
          <w:rFonts w:ascii="仿宋_GB2312" w:hAnsi="仿宋_GB2312" w:eastAsia="仿宋_GB2312" w:cs="仿宋_GB2312"/>
          <w:color w:val="auto"/>
          <w:sz w:val="32"/>
          <w:szCs w:val="32"/>
          <w:highlight w:val="none"/>
        </w:rPr>
        <w:t>0.88</w:t>
      </w:r>
      <w:r>
        <w:rPr>
          <w:rFonts w:hint="eastAsia" w:ascii="仿宋_GB2312" w:hAnsi="仿宋_GB2312" w:eastAsia="仿宋_GB2312" w:cs="仿宋_GB2312"/>
          <w:color w:val="auto"/>
          <w:sz w:val="32"/>
          <w:szCs w:val="32"/>
          <w:highlight w:val="none"/>
        </w:rPr>
        <w:t>%。主要原因是</w:t>
      </w:r>
      <w:r>
        <w:rPr>
          <w:rFonts w:hint="default" w:ascii="仿宋_GB2312" w:hAnsi="宋体" w:eastAsia="仿宋_GB2312"/>
          <w:color w:val="auto"/>
          <w:sz w:val="32"/>
          <w:highlight w:val="none"/>
          <w:shd w:val="clear" w:color="auto" w:fill="auto"/>
          <w:lang w:eastAsia="zh-CN"/>
        </w:rPr>
        <w:t>按规定程序调整人员经费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五、一般公共预算财政拨款支出决算情况说明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（一）总体情况。</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hAnsi="仿宋_GB2312" w:eastAsia="仿宋_GB2312" w:cs="仿宋_GB2312"/>
          <w:color w:val="auto"/>
          <w:sz w:val="32"/>
          <w:szCs w:val="32"/>
          <w:highlight w:val="none"/>
        </w:rPr>
        <w:t>128.20</w:t>
      </w:r>
      <w:r>
        <w:rPr>
          <w:rFonts w:hint="eastAsia" w:ascii="仿宋_GB2312" w:hAnsi="仿宋_GB2312" w:eastAsia="仿宋_GB2312" w:cs="仿宋_GB2312"/>
          <w:color w:val="auto"/>
          <w:sz w:val="32"/>
          <w:szCs w:val="32"/>
          <w:highlight w:val="none"/>
        </w:rPr>
        <w:t>万元，占支出合计的</w:t>
      </w:r>
      <w:r>
        <w:rPr>
          <w:rFonts w:ascii="仿宋_GB2312" w:hAnsi="仿宋_GB2312" w:eastAsia="仿宋_GB2312" w:cs="仿宋_GB2312"/>
          <w:color w:val="auto"/>
          <w:sz w:val="32"/>
          <w:szCs w:val="32"/>
          <w:highlight w:val="none"/>
        </w:rPr>
        <w:t>100</w:t>
      </w:r>
      <w:r>
        <w:rPr>
          <w:rFonts w:hint="eastAsia" w:ascii="仿宋_GB2312" w:hAnsi="仿宋_GB2312" w:eastAsia="仿宋_GB2312" w:cs="仿宋_GB2312"/>
          <w:color w:val="auto"/>
          <w:sz w:val="32"/>
          <w:szCs w:val="32"/>
          <w:highlight w:val="none"/>
        </w:rPr>
        <w:t>%。与上年度相比，一般公共预算财政拨款支</w:t>
      </w:r>
      <w:r>
        <w:rPr>
          <w:rFonts w:hint="eastAsia" w:ascii="仿宋_GB2312" w:hAnsi="仿宋_GB2312" w:eastAsia="仿宋_GB2312" w:cs="仿宋_GB2312"/>
          <w:color w:val="auto"/>
          <w:sz w:val="32"/>
          <w:szCs w:val="32"/>
          <w:highlight w:val="none"/>
        </w:rPr>
        <w:t>出</w:t>
      </w:r>
      <w:r>
        <w:rPr>
          <w:rFonts w:hint="eastAsia" w:ascii="仿宋_GB2312" w:hAnsi="仿宋_GB2312" w:eastAsia="仿宋_GB2312" w:cs="仿宋_GB2312"/>
          <w:color w:val="auto"/>
          <w:sz w:val="32"/>
          <w:szCs w:val="32"/>
          <w:highlight w:val="none"/>
          <w:lang w:eastAsia="zh-CN"/>
        </w:rPr>
        <w:t>增加</w:t>
      </w:r>
      <w:r>
        <w:rPr>
          <w:rFonts w:hint="eastAsia" w:ascii="仿宋_GB2312" w:hAnsi="仿宋_GB2312" w:eastAsia="仿宋_GB2312" w:cs="仿宋_GB2312"/>
          <w:color w:val="auto"/>
          <w:sz w:val="32"/>
          <w:szCs w:val="32"/>
          <w:highlight w:val="none"/>
          <w:lang w:val="en-US" w:eastAsia="zh-CN"/>
        </w:rPr>
        <w:t>15.67</w:t>
      </w:r>
      <w:r>
        <w:rPr>
          <w:rFonts w:hint="eastAsia" w:ascii="仿宋_GB2312" w:hAnsi="仿宋_GB2312" w:eastAsia="仿宋_GB2312" w:cs="仿宋_GB2312"/>
          <w:color w:val="auto"/>
          <w:sz w:val="32"/>
          <w:szCs w:val="32"/>
          <w:highlight w:val="none"/>
        </w:rPr>
        <w:t>万元，</w:t>
      </w:r>
      <w:r>
        <w:rPr>
          <w:rFonts w:hint="eastAsia" w:ascii="仿宋_GB2312" w:hAnsi="仿宋_GB2312" w:eastAsia="仿宋_GB2312" w:cs="仿宋_GB2312"/>
          <w:color w:val="auto"/>
          <w:sz w:val="32"/>
          <w:szCs w:val="32"/>
          <w:highlight w:val="none"/>
          <w:lang w:eastAsia="zh-CN"/>
        </w:rPr>
        <w:t>增长</w:t>
      </w:r>
      <w:r>
        <w:rPr>
          <w:rFonts w:hint="eastAsia" w:ascii="仿宋_GB2312" w:hAnsi="仿宋_GB2312" w:eastAsia="仿宋_GB2312" w:cs="仿宋_GB2312"/>
          <w:color w:val="auto"/>
          <w:sz w:val="32"/>
          <w:szCs w:val="32"/>
          <w:highlight w:val="none"/>
          <w:lang w:val="en-US" w:eastAsia="zh-CN"/>
        </w:rPr>
        <w:t>13.93</w:t>
      </w:r>
      <w:r>
        <w:rPr>
          <w:rFonts w:hint="eastAsia" w:ascii="仿宋_GB2312" w:hAnsi="仿宋_GB2312" w:eastAsia="仿宋_GB2312" w:cs="仿宋_GB2312"/>
          <w:color w:val="auto"/>
          <w:sz w:val="32"/>
          <w:szCs w:val="32"/>
          <w:highlight w:val="none"/>
        </w:rPr>
        <w:t>%。主要原因是</w:t>
      </w:r>
      <w:r>
        <w:rPr>
          <w:rFonts w:hint="default" w:ascii="仿宋_GB2312" w:hAnsi="宋体" w:eastAsia="仿宋_GB2312"/>
          <w:color w:val="auto"/>
          <w:sz w:val="32"/>
          <w:highlight w:val="none"/>
          <w:shd w:val="clear" w:color="auto" w:fill="auto"/>
          <w:lang w:eastAsia="zh-CN"/>
        </w:rPr>
        <w:t>按规定程序调整人员经费</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（二）结构情况。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w:t>
      </w:r>
      <w:r>
        <w:rPr>
          <w:rFonts w:ascii="仿宋_GB2312" w:hAnsi="仿宋_GB2312" w:eastAsia="仿宋_GB2312" w:cs="仿宋_GB2312"/>
          <w:color w:val="auto"/>
          <w:sz w:val="32"/>
          <w:szCs w:val="32"/>
          <w:highlight w:val="none"/>
        </w:rPr>
        <w:t>128.20</w:t>
      </w:r>
      <w:r>
        <w:rPr>
          <w:rFonts w:hint="eastAsia" w:ascii="仿宋_GB2312" w:hAnsi="仿宋_GB2312" w:eastAsia="仿宋_GB2312" w:cs="仿宋_GB2312"/>
          <w:color w:val="auto"/>
          <w:sz w:val="32"/>
          <w:szCs w:val="32"/>
          <w:highlight w:val="none"/>
        </w:rPr>
        <w:t>万元，主要用于以下方面：一般公共服务</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（类）支出</w:t>
      </w:r>
      <w:r>
        <w:rPr>
          <w:rFonts w:ascii="仿宋_GB2312" w:hAnsi="仿宋_GB2312" w:eastAsia="仿宋_GB2312" w:cs="仿宋_GB2312"/>
          <w:color w:val="auto"/>
          <w:sz w:val="32"/>
          <w:szCs w:val="32"/>
          <w:highlight w:val="none"/>
        </w:rPr>
        <w:t>0.52</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0.41</w:t>
      </w:r>
      <w:r>
        <w:rPr>
          <w:rFonts w:hint="eastAsia" w:ascii="仿宋_GB2312" w:hAnsi="仿宋_GB2312" w:eastAsia="仿宋_GB2312" w:cs="仿宋_GB2312"/>
          <w:color w:val="auto"/>
          <w:sz w:val="32"/>
          <w:szCs w:val="32"/>
          <w:highlight w:val="none"/>
        </w:rPr>
        <w:t>%；社会保障和就业</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（类）支出</w:t>
      </w:r>
      <w:r>
        <w:rPr>
          <w:rFonts w:ascii="仿宋_GB2312" w:hAnsi="仿宋_GB2312" w:eastAsia="仿宋_GB2312" w:cs="仿宋_GB2312"/>
          <w:color w:val="auto"/>
          <w:sz w:val="32"/>
          <w:szCs w:val="32"/>
          <w:highlight w:val="none"/>
        </w:rPr>
        <w:t>7.21</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5.62</w:t>
      </w:r>
      <w:r>
        <w:rPr>
          <w:rFonts w:hint="eastAsia" w:ascii="仿宋_GB2312" w:hAnsi="仿宋_GB2312" w:eastAsia="仿宋_GB2312" w:cs="仿宋_GB2312"/>
          <w:color w:val="auto"/>
          <w:sz w:val="32"/>
          <w:szCs w:val="32"/>
          <w:highlight w:val="none"/>
        </w:rPr>
        <w:t>%；卫生健康</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（类）支出</w:t>
      </w:r>
      <w:r>
        <w:rPr>
          <w:rFonts w:ascii="仿宋_GB2312" w:hAnsi="仿宋_GB2312" w:eastAsia="仿宋_GB2312" w:cs="仿宋_GB2312"/>
          <w:color w:val="auto"/>
          <w:sz w:val="32"/>
          <w:szCs w:val="32"/>
          <w:highlight w:val="none"/>
        </w:rPr>
        <w:t>3.34</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2.60</w:t>
      </w:r>
      <w:r>
        <w:rPr>
          <w:rFonts w:hint="eastAsia" w:ascii="仿宋_GB2312" w:hAnsi="仿宋_GB2312" w:eastAsia="仿宋_GB2312" w:cs="仿宋_GB2312"/>
          <w:color w:val="auto"/>
          <w:sz w:val="32"/>
          <w:szCs w:val="32"/>
          <w:highlight w:val="none"/>
        </w:rPr>
        <w:t>%；城乡社区</w:t>
      </w:r>
      <w:r>
        <w:rPr>
          <w:rFonts w:hint="eastAsia" w:ascii="仿宋_GB2312" w:hAnsi="仿宋_GB2312" w:eastAsia="仿宋_GB2312" w:cs="仿宋_GB2312"/>
          <w:color w:val="auto"/>
          <w:sz w:val="32"/>
          <w:szCs w:val="32"/>
          <w:highlight w:val="none"/>
          <w:lang w:eastAsia="zh-CN"/>
        </w:rPr>
        <w:t>支出</w:t>
      </w:r>
      <w:r>
        <w:rPr>
          <w:rFonts w:hint="eastAsia" w:ascii="仿宋_GB2312" w:hAnsi="仿宋_GB2312" w:eastAsia="仿宋_GB2312" w:cs="仿宋_GB2312"/>
          <w:color w:val="auto"/>
          <w:sz w:val="32"/>
          <w:szCs w:val="32"/>
          <w:highlight w:val="none"/>
        </w:rPr>
        <w:t>（类）支出</w:t>
      </w:r>
      <w:r>
        <w:rPr>
          <w:rFonts w:ascii="仿宋_GB2312" w:hAnsi="仿宋_GB2312" w:eastAsia="仿宋_GB2312" w:cs="仿宋_GB2312"/>
          <w:color w:val="auto"/>
          <w:sz w:val="32"/>
          <w:szCs w:val="32"/>
          <w:highlight w:val="none"/>
        </w:rPr>
        <w:t>117.13</w:t>
      </w:r>
      <w:r>
        <w:rPr>
          <w:rFonts w:hint="eastAsia" w:ascii="仿宋_GB2312" w:hAnsi="仿宋_GB2312" w:eastAsia="仿宋_GB2312" w:cs="仿宋_GB2312"/>
          <w:color w:val="auto"/>
          <w:sz w:val="32"/>
          <w:szCs w:val="32"/>
          <w:highlight w:val="none"/>
        </w:rPr>
        <w:t>万元，占</w:t>
      </w:r>
      <w:r>
        <w:rPr>
          <w:rFonts w:ascii="仿宋_GB2312" w:hAnsi="仿宋_GB2312" w:eastAsia="仿宋_GB2312" w:cs="仿宋_GB2312"/>
          <w:color w:val="auto"/>
          <w:sz w:val="32"/>
          <w:szCs w:val="32"/>
          <w:highlight w:val="none"/>
        </w:rPr>
        <w:t>91.37</w:t>
      </w:r>
      <w:r>
        <w:rPr>
          <w:rFonts w:hint="eastAsia" w:ascii="仿宋_GB2312" w:hAnsi="仿宋_GB2312" w:eastAsia="仿宋_GB2312" w:cs="仿宋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（三）具体情况。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年度一般公共预算财政拨款支出年初预算为108.67万元，支出决算为</w:t>
      </w:r>
      <w:r>
        <w:rPr>
          <w:rFonts w:ascii="仿宋_GB2312" w:hAnsi="仿宋_GB2312" w:eastAsia="仿宋_GB2312" w:cs="仿宋_GB2312"/>
          <w:color w:val="auto"/>
          <w:sz w:val="32"/>
          <w:szCs w:val="32"/>
          <w:highlight w:val="none"/>
        </w:rPr>
        <w:t>128.20</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117.97</w:t>
      </w:r>
      <w:r>
        <w:rPr>
          <w:rFonts w:hint="eastAsia"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1．一般公共服务支出（类）群众团体事务（款）工会事务（项）。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0.52</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0.52</w:t>
      </w:r>
      <w:r>
        <w:rPr>
          <w:rFonts w:hint="eastAsia" w:ascii="仿宋_GB2312" w:hAnsi="仿宋_GB2312" w:eastAsia="仿宋_GB2312" w:cs="仿宋_GB2312"/>
          <w:color w:val="auto"/>
          <w:sz w:val="32"/>
          <w:szCs w:val="32"/>
          <w:highlight w:val="none"/>
        </w:rPr>
        <w:t>万元，完成年初预算的100.00%。决算数与年初预算数不存在差异。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2．社会保障和就业支出（类）行政事业单位养老</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（款）机关事业单位基本养老保险缴费</w:t>
      </w:r>
      <w:r>
        <w:rPr>
          <w:rFonts w:hint="eastAsia" w:ascii="仿宋_GB2312" w:hAnsi="仿宋_GB2312" w:eastAsia="仿宋_GB2312" w:cs="仿宋_GB2312"/>
          <w:b/>
          <w:bCs/>
          <w:color w:val="auto"/>
          <w:sz w:val="32"/>
          <w:szCs w:val="32"/>
          <w:highlight w:val="none"/>
          <w:lang w:eastAsia="zh-CN"/>
        </w:rPr>
        <w:t>支出</w:t>
      </w:r>
      <w:r>
        <w:rPr>
          <w:rFonts w:hint="eastAsia" w:ascii="仿宋_GB2312" w:hAnsi="仿宋_GB2312" w:eastAsia="仿宋_GB2312" w:cs="仿宋_GB2312"/>
          <w:b/>
          <w:bCs/>
          <w:color w:val="auto"/>
          <w:sz w:val="32"/>
          <w:szCs w:val="32"/>
          <w:highlight w:val="none"/>
        </w:rPr>
        <w:t>（项）。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6.75</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7.21</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106.81</w:t>
      </w:r>
      <w:r>
        <w:rPr>
          <w:rFonts w:hint="eastAsia" w:ascii="仿宋_GB2312" w:hAnsi="仿宋_GB2312" w:eastAsia="仿宋_GB2312" w:cs="仿宋_GB2312"/>
          <w:color w:val="auto"/>
          <w:sz w:val="32"/>
          <w:szCs w:val="32"/>
          <w:highlight w:val="none"/>
        </w:rPr>
        <w:t>%。决算数与年初预算数存在差异的主要原因是2021年度我单位新进一名人员。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3．卫生健康支出（类）行政事业单位医疗（款）事业单位医疗（项）。</w:t>
      </w:r>
      <w:r>
        <w:rPr>
          <w:rFonts w:hint="eastAsia" w:ascii="仿宋_GB2312" w:hAnsi="仿宋_GB2312" w:eastAsia="仿宋_GB2312" w:cs="仿宋_GB2312"/>
          <w:color w:val="auto"/>
          <w:sz w:val="32"/>
          <w:szCs w:val="32"/>
          <w:highlight w:val="none"/>
        </w:rPr>
        <w:t>年初预算为</w:t>
      </w:r>
      <w:r>
        <w:rPr>
          <w:rFonts w:ascii="仿宋_GB2312" w:hAnsi="仿宋_GB2312" w:eastAsia="仿宋_GB2312" w:cs="仿宋_GB2312"/>
          <w:color w:val="auto"/>
          <w:sz w:val="32"/>
          <w:szCs w:val="32"/>
          <w:highlight w:val="none"/>
        </w:rPr>
        <w:t>3.20</w:t>
      </w:r>
      <w:r>
        <w:rPr>
          <w:rFonts w:hint="eastAsia" w:ascii="仿宋_GB2312" w:hAnsi="仿宋_GB2312" w:eastAsia="仿宋_GB2312" w:cs="仿宋_GB2312"/>
          <w:color w:val="auto"/>
          <w:sz w:val="32"/>
          <w:szCs w:val="32"/>
          <w:highlight w:val="none"/>
        </w:rPr>
        <w:t>万元，支出决算为</w:t>
      </w:r>
      <w:r>
        <w:rPr>
          <w:rFonts w:ascii="仿宋_GB2312" w:hAnsi="仿宋_GB2312" w:eastAsia="仿宋_GB2312" w:cs="仿宋_GB2312"/>
          <w:color w:val="auto"/>
          <w:sz w:val="32"/>
          <w:szCs w:val="32"/>
          <w:highlight w:val="none"/>
        </w:rPr>
        <w:t>3.34</w:t>
      </w:r>
      <w:r>
        <w:rPr>
          <w:rFonts w:hint="eastAsia" w:ascii="仿宋_GB2312" w:hAnsi="仿宋_GB2312" w:eastAsia="仿宋_GB2312" w:cs="仿宋_GB2312"/>
          <w:color w:val="auto"/>
          <w:sz w:val="32"/>
          <w:szCs w:val="32"/>
          <w:highlight w:val="none"/>
        </w:rPr>
        <w:t>万元，完成年初预算的</w:t>
      </w:r>
      <w:r>
        <w:rPr>
          <w:rFonts w:ascii="仿宋_GB2312" w:hAnsi="仿宋_GB2312" w:eastAsia="仿宋_GB2312" w:cs="仿宋_GB2312"/>
          <w:color w:val="auto"/>
          <w:sz w:val="32"/>
          <w:szCs w:val="32"/>
          <w:highlight w:val="none"/>
        </w:rPr>
        <w:t>104.38</w:t>
      </w:r>
      <w:r>
        <w:rPr>
          <w:rFonts w:hint="eastAsia" w:ascii="仿宋_GB2312" w:hAnsi="仿宋_GB2312" w:eastAsia="仿宋_GB2312" w:cs="仿宋_GB2312"/>
          <w:color w:val="auto"/>
          <w:sz w:val="32"/>
          <w:szCs w:val="32"/>
          <w:highlight w:val="none"/>
        </w:rPr>
        <w:t>%。决算数与年初预算数</w:t>
      </w:r>
      <w:r>
        <w:rPr>
          <w:rFonts w:ascii="仿宋_GB2312" w:hAnsi="仿宋_GB2312" w:eastAsia="仿宋_GB2312" w:cs="仿宋_GB2312"/>
          <w:color w:val="auto"/>
          <w:sz w:val="32"/>
          <w:szCs w:val="32"/>
          <w:highlight w:val="none"/>
        </w:rPr>
        <w:t>存在差异的主要原因是</w:t>
      </w:r>
      <w:r>
        <w:rPr>
          <w:rFonts w:hint="eastAsia" w:ascii="仿宋_GB2312" w:hAnsi="仿宋_GB2312" w:eastAsia="仿宋_GB2312" w:cs="仿宋_GB2312"/>
          <w:color w:val="auto"/>
          <w:sz w:val="32"/>
          <w:szCs w:val="32"/>
          <w:highlight w:val="none"/>
        </w:rPr>
        <w:t>单位人员医疗缴费基数增加，故决算数略高于预算数。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4．城乡社区支出（类）城乡社区管理事务（款）其他城乡社区管理事务支出（项）。</w:t>
      </w:r>
      <w:r>
        <w:rPr>
          <w:rFonts w:hint="eastAsia" w:ascii="仿宋_GB2312" w:hAnsi="仿宋_GB2312" w:eastAsia="仿宋_GB2312" w:cs="仿宋_GB2312"/>
          <w:color w:val="auto"/>
          <w:sz w:val="32"/>
          <w:szCs w:val="32"/>
          <w:highlight w:val="none"/>
        </w:rPr>
        <w:t>年初预算为98.20万元，支出决算为117.13万元，完成年初预算的119.28%。决算数与年初预算数存在差异的主要原因是2021年追加维修资金管理工作经费，用于支付维修资金管理信息系统升级合同尾款费用、系统运行维护费及</w:t>
      </w:r>
      <w:r>
        <w:rPr>
          <w:rFonts w:hint="eastAsia" w:ascii="仿宋_GB2312" w:hAnsi="仿宋_GB2312" w:eastAsia="仿宋_GB2312" w:cs="仿宋_GB2312"/>
          <w:color w:val="auto"/>
          <w:sz w:val="32"/>
          <w:szCs w:val="32"/>
          <w:highlight w:val="none"/>
          <w:lang w:eastAsia="zh-CN"/>
        </w:rPr>
        <w:t>聘用人员劳务费</w:t>
      </w:r>
      <w:r>
        <w:rPr>
          <w:rFonts w:hint="eastAsia" w:ascii="仿宋_GB2312" w:hAnsi="仿宋_GB2312" w:eastAsia="仿宋_GB2312" w:cs="仿宋_GB2312"/>
          <w:color w:val="auto"/>
          <w:sz w:val="32"/>
          <w:szCs w:val="32"/>
          <w:highlight w:val="none"/>
        </w:rPr>
        <w:t>，故与预算数存在差异。</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六、一般公共预算财政拨款基本支出决算情况说明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一般公共预算财政拨款基本支出113.76万元。其中：人员经费104.05万元，主要包括：基本工资、津贴补贴、绩效工资、机关事业单位基本养老保险缴费、职工基本医疗保险缴费、其他社会保障缴费、住房公积金；公用经费9.71万元，主要包括：办公费、印刷费、邮电费、差旅费、维修（护）费、培训费、工会经费、福利费、其他商品和服务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七、一般公共预算财政拨款“三公”经费支出决算情况说明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（一）“三公”经费财政拨款支出决算总体情况说明。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年度“三公”经费财政拨款支出预算为0.00万元，支出决算为0.00万元。2021年度“三公”经费支出决算数与预算数不存在差异。</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2"/>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（二）“三公”经费财政拨款支出决算具体情况说明。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年度“三公”经费财政拨款支出决算中，因公出国（境）费支出决算0.00万元；公务用车购置及运行费支出决算0.00万元；公务接待费支出决算0.00万元。具体情况如下：</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1．因公出国（境）费</w:t>
      </w:r>
      <w:r>
        <w:rPr>
          <w:rFonts w:hint="eastAsia" w:ascii="仿宋_GB2312" w:hAnsi="仿宋_GB2312" w:eastAsia="仿宋_GB2312" w:cs="仿宋_GB2312"/>
          <w:color w:val="auto"/>
          <w:sz w:val="32"/>
          <w:szCs w:val="32"/>
          <w:highlight w:val="none"/>
        </w:rPr>
        <w:t>预算为0.00万元，支出决算为0.00万元。决算数与预算数不存在差异。因公出国（境）团组数0个，因公出国（境）人次数0人。</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2．公务用车购置及运行费</w:t>
      </w:r>
      <w:r>
        <w:rPr>
          <w:rFonts w:hint="eastAsia" w:ascii="仿宋_GB2312" w:hAnsi="仿宋_GB2312" w:eastAsia="仿宋_GB2312" w:cs="仿宋_GB2312"/>
          <w:color w:val="auto"/>
          <w:sz w:val="32"/>
          <w:szCs w:val="32"/>
          <w:highlight w:val="none"/>
        </w:rPr>
        <w:t>预算为0.00万元，支出决算为0.00万元。决算数与预算数不存在差异。</w:t>
      </w:r>
      <w:r>
        <w:rPr>
          <w:rFonts w:hint="default"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公务用车购置支出</w:t>
      </w:r>
      <w:r>
        <w:rPr>
          <w:rFonts w:hint="eastAsia" w:ascii="仿宋_GB2312" w:hAnsi="仿宋_GB2312" w:eastAsia="仿宋_GB2312" w:cs="仿宋_GB2312"/>
          <w:color w:val="auto"/>
          <w:sz w:val="32"/>
          <w:szCs w:val="32"/>
          <w:highlight w:val="none"/>
        </w:rPr>
        <w:t>为0.00万元，购置车辆0台。</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color w:val="auto"/>
          <w:sz w:val="32"/>
          <w:szCs w:val="32"/>
          <w:highlight w:val="none"/>
        </w:rPr>
        <w:t>公务用车运行支出</w:t>
      </w:r>
      <w:r>
        <w:rPr>
          <w:rFonts w:hint="eastAsia" w:ascii="仿宋_GB2312" w:hAnsi="仿宋_GB2312" w:eastAsia="仿宋_GB2312" w:cs="仿宋_GB2312"/>
          <w:color w:val="auto"/>
          <w:sz w:val="32"/>
          <w:szCs w:val="32"/>
          <w:highlight w:val="none"/>
        </w:rPr>
        <w:t>0.00万元，2021年期末，单位开支财政拨款的公务用车保有量为0辆。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default"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3.公务接待费</w:t>
      </w:r>
      <w:r>
        <w:rPr>
          <w:rFonts w:hint="eastAsia" w:ascii="仿宋_GB2312" w:hAnsi="仿宋_GB2312" w:eastAsia="仿宋_GB2312" w:cs="仿宋_GB2312"/>
          <w:color w:val="auto"/>
          <w:sz w:val="32"/>
          <w:szCs w:val="32"/>
          <w:highlight w:val="none"/>
        </w:rPr>
        <w:t>预算为0.00万元，支出决算为0.00万元。决算数与预算数不存在差异。</w:t>
      </w:r>
      <w:r>
        <w:rPr>
          <w:rFonts w:hint="default" w:ascii="仿宋_GB2312" w:hAnsi="仿宋_GB2312" w:eastAsia="仿宋_GB2312" w:cs="仿宋_GB2312"/>
          <w:color w:val="auto"/>
          <w:sz w:val="32"/>
          <w:szCs w:val="32"/>
          <w:highlight w:val="none"/>
        </w:rPr>
        <w:t>其中：</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外宾接待支出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年共接待国（境）外来访团组0个、来访外宾0人次（不包括陪同人员）。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color w:val="auto"/>
          <w:sz w:val="32"/>
          <w:szCs w:val="32"/>
          <w:highlight w:val="none"/>
        </w:rPr>
        <w:t>其他国内公务接待支出</w:t>
      </w:r>
      <w:r>
        <w:rPr>
          <w:rFonts w:hint="eastAsia" w:ascii="仿宋_GB2312" w:hAnsi="仿宋_GB2312" w:eastAsia="仿宋_GB2312" w:cs="仿宋_GB2312"/>
          <w:color w:val="auto"/>
          <w:sz w:val="32"/>
          <w:szCs w:val="32"/>
          <w:highlight w:val="none"/>
        </w:rPr>
        <w:t>0.00万元。</w:t>
      </w: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年共接待国内来访团组0个、来宾0人次（不包括陪同人员）。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八、政府性基金预算财政拨款支出决算情况说明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年度政府性基金预算财政拨款支出年初预算为0.00万元，支出决算为0.00万元。不存在项目年末结转和结余资金数额较大，</w:t>
      </w:r>
      <w:r>
        <w:rPr>
          <w:rFonts w:hint="default" w:ascii="仿宋_GB2312" w:hAnsi="仿宋_GB2312" w:eastAsia="仿宋_GB2312" w:cs="仿宋_GB2312"/>
          <w:color w:val="auto"/>
          <w:sz w:val="32"/>
          <w:szCs w:val="32"/>
          <w:highlight w:val="none"/>
        </w:rPr>
        <w:t>情况说明：</w:t>
      </w:r>
      <w:r>
        <w:rPr>
          <w:rFonts w:hint="eastAsia" w:ascii="仿宋_GB2312" w:hAnsi="仿宋_GB2312" w:eastAsia="仿宋_GB2312" w:cs="仿宋_GB2312"/>
          <w:color w:val="auto"/>
          <w:sz w:val="32"/>
          <w:szCs w:val="32"/>
          <w:highlight w:val="none"/>
        </w:rPr>
        <w:t>我</w:t>
      </w:r>
      <w:r>
        <w:rPr>
          <w:rFonts w:hint="default" w:ascii="仿宋_GB2312" w:hAnsi="仿宋_GB2312" w:eastAsia="仿宋_GB2312" w:cs="仿宋_GB2312"/>
          <w:color w:val="auto"/>
          <w:sz w:val="32"/>
          <w:szCs w:val="32"/>
          <w:highlight w:val="none"/>
        </w:rPr>
        <w:t>单位</w:t>
      </w:r>
      <w:r>
        <w:rPr>
          <w:rFonts w:hint="eastAsia" w:ascii="仿宋_GB2312" w:hAnsi="仿宋_GB2312" w:eastAsia="仿宋_GB2312" w:cs="仿宋_GB2312"/>
          <w:color w:val="auto"/>
          <w:sz w:val="32"/>
          <w:szCs w:val="32"/>
          <w:highlight w:val="none"/>
        </w:rPr>
        <w:t>2021年度没有政府性基金收入，也没有使用政府性基金安排的支出。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九、机关运行经费支出情况说明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我单位不是行政机关，也不是参照公务员管理事业单位，没有机关运行经费支出。</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十、政府采购支出情况说明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年度政府采购支出总额0.00万元，其中：政府采购货物支出0.00万元、政府采购工程支出0.00万元、政府采购服务支出0.00万元。授予中小企业合同金额0.00万元，其中：授予小微企业合同金额0.00万元。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十一、国有资产占用情况说明</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ascii="仿宋_GB2312" w:hAnsi="仿宋_GB2312" w:eastAsia="仿宋_GB2312" w:cs="仿宋_GB2312"/>
          <w:color w:val="auto"/>
          <w:sz w:val="32"/>
          <w:szCs w:val="32"/>
          <w:highlight w:val="none"/>
        </w:rPr>
        <w:t>2021</w:t>
      </w:r>
      <w:r>
        <w:rPr>
          <w:rFonts w:hint="eastAsia" w:ascii="仿宋_GB2312" w:hAnsi="仿宋_GB2312" w:eastAsia="仿宋_GB2312" w:cs="仿宋_GB2312"/>
          <w:color w:val="auto"/>
          <w:sz w:val="32"/>
          <w:szCs w:val="32"/>
          <w:highlight w:val="none"/>
        </w:rPr>
        <w:t>年期末，我单位共有车辆0辆</w:t>
      </w:r>
      <w:r>
        <w:rPr>
          <w:rFonts w:hint="eastAsia" w:ascii="仿宋_GB2312" w:hAnsi="仿宋_GB2312" w:eastAsia="仿宋_GB2312" w:cs="仿宋_GB2312"/>
          <w:color w:val="auto"/>
          <w:sz w:val="32"/>
          <w:szCs w:val="32"/>
          <w:highlight w:val="none"/>
        </w:rPr>
        <w:t>，其中：省级领导干部用车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辆、主要领导干部用车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辆、机要通信用车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辆、应急保障车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辆、执法执勤用车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辆、特种专业技术用车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辆、离退休干部用车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辆、其他用车</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辆；单位价值50万元以上通用设备</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台（套），单位价值100万元以上专用设备</w:t>
      </w:r>
      <w:r>
        <w:rPr>
          <w:rFonts w:hint="default" w:ascii="仿宋_GB2312" w:hAnsi="仿宋_GB2312" w:eastAsia="仿宋_GB2312" w:cs="仿宋_GB2312"/>
          <w:color w:val="auto"/>
          <w:sz w:val="32"/>
          <w:szCs w:val="32"/>
          <w:highlight w:val="none"/>
        </w:rPr>
        <w:t>0</w:t>
      </w:r>
      <w:r>
        <w:rPr>
          <w:rFonts w:hint="eastAsia" w:ascii="仿宋_GB2312" w:hAnsi="仿宋_GB2312" w:eastAsia="仿宋_GB2312" w:cs="仿宋_GB2312"/>
          <w:color w:val="auto"/>
          <w:sz w:val="32"/>
          <w:szCs w:val="32"/>
          <w:highlight w:val="none"/>
        </w:rPr>
        <w:t>台（套）。</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1"/>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十二、预算绩效情况说明</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1"/>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（一）绩效管理工作开展情况。</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outlineLvl w:val="2"/>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我单位按照《中共许昌市委许昌市人民政府关于全面实施预算绩效管理的实施意见》（许发〔2021〕13号）文件要求，对本单位整体支出和项目支出开展全过程预算绩效管理。我单位结合自身职能，积极开展预算绩效管理工作，采取“市级预算事前申报绩效评估、事中进行预算绩效监控监督、事后进行绩效评价的”方式，建立了贯穿预算支出“事前、事中、事后”全过程的绩效管理模式，及时调整工作思路，强化单位服务能力，确保资金支出规范、使用合理。</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outlineLvl w:val="2"/>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（二）单位整体和项目绩效自评结果。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按照《许昌市财政局关于开展2021年度市级预算绩效自评工作的通知》（许财效〔202</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rPr>
        <w:t>〕1号）等文件精神，我单位对本单位整体绩效目标和项目支出绩效目标进行了自评。一是单位整体绩效自评情况：</w:t>
      </w:r>
      <w:r>
        <w:rPr>
          <w:rFonts w:hint="eastAsia" w:ascii="仿宋" w:hAnsi="仿宋" w:eastAsia="仿宋" w:cs="仿宋"/>
          <w:color w:val="auto"/>
          <w:sz w:val="32"/>
          <w:szCs w:val="32"/>
          <w:highlight w:val="none"/>
        </w:rPr>
        <w:t>2021年开展的绩效评价工作，总体实施情况良好，切合实际，有效提高了预算执行情况和绩效目标实现程度，绩效自评结果为我单位以后年度精准预算的编制提供了依据和参考价值。</w:t>
      </w:r>
      <w:r>
        <w:rPr>
          <w:rFonts w:hint="eastAsia" w:ascii="仿宋_GB2312" w:hAnsi="仿宋_GB2312" w:eastAsia="仿宋_GB2312" w:cs="仿宋_GB2312"/>
          <w:color w:val="auto"/>
          <w:sz w:val="32"/>
          <w:szCs w:val="32"/>
          <w:highlight w:val="none"/>
        </w:rPr>
        <w:t>二是项目绩效自评情况。</w:t>
      </w:r>
      <w:r>
        <w:rPr>
          <w:rFonts w:hint="eastAsia" w:ascii="仿宋" w:hAnsi="仿宋" w:eastAsia="仿宋" w:cs="仿宋"/>
          <w:color w:val="auto"/>
          <w:sz w:val="32"/>
          <w:szCs w:val="32"/>
          <w:highlight w:val="none"/>
        </w:rPr>
        <w:t>年初制定的项目总体工作目标均已完成并验收合格，项目已全部实施到位，项目资金使用合理，无挪用占用现象发生，绩效目标均已完成</w:t>
      </w:r>
      <w:r>
        <w:rPr>
          <w:rFonts w:hint="eastAsia" w:ascii="仿宋_GB2312"/>
          <w:color w:val="auto"/>
          <w:sz w:val="32"/>
          <w:szCs w:val="32"/>
          <w:highlight w:val="none"/>
        </w:rPr>
        <w:t>。</w:t>
      </w:r>
      <w:r>
        <w:rPr>
          <w:rFonts w:hint="eastAsia" w:ascii="仿宋_GB2312" w:hAnsi="仿宋_GB2312" w:eastAsia="仿宋_GB2312" w:cs="仿宋_GB2312"/>
          <w:color w:val="auto"/>
          <w:sz w:val="32"/>
          <w:szCs w:val="32"/>
          <w:highlight w:val="none"/>
        </w:rPr>
        <w:t>我单位共有1个项目批复了绩效目标，项目金额14.44万元。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基于项目预期目标的实现程度，对2021年度项目支出绩效进行自评，绩效自评平均得分为100分。其中：1个项目评价等级为“优”、0个项目评价等级为“良”、0个项目评价等级为“中”、0个项目评价等级为“差”。</w:t>
      </w:r>
    </w:p>
    <w:p>
      <w:pPr>
        <w:keepNext w:val="0"/>
        <w:keepLines w:val="0"/>
        <w:pageBreakBefore w:val="0"/>
        <w:widowControl/>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color w:val="auto"/>
          <w:sz w:val="32"/>
          <w:szCs w:val="32"/>
          <w:highlight w:val="none"/>
        </w:rPr>
      </w:pPr>
      <w:r>
        <w:rPr>
          <w:rFonts w:hint="eastAsia" w:ascii="楷体_GB2312" w:hAnsi="楷体_GB2312" w:eastAsia="楷体_GB2312" w:cs="楷体_GB2312"/>
          <w:b/>
          <w:bCs/>
          <w:color w:val="auto"/>
          <w:sz w:val="32"/>
          <w:szCs w:val="32"/>
          <w:highlight w:val="none"/>
        </w:rPr>
        <w:t>（三）重点绩效评价结果。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ascii="黑体" w:hAnsi="宋体" w:eastAsia="黑体" w:cs="宋体"/>
          <w:color w:val="auto"/>
          <w:kern w:val="0"/>
          <w:sz w:val="28"/>
          <w:szCs w:val="28"/>
          <w:highlight w:val="none"/>
        </w:rPr>
      </w:pPr>
      <w:r>
        <w:rPr>
          <w:rFonts w:hint="eastAsia" w:ascii="仿宋_GB2312" w:hAnsi="仿宋_GB2312" w:eastAsia="仿宋_GB2312" w:cs="仿宋_GB2312"/>
          <w:color w:val="auto"/>
          <w:sz w:val="32"/>
          <w:szCs w:val="32"/>
          <w:highlight w:val="none"/>
        </w:rPr>
        <w:t>2021年度</w:t>
      </w:r>
      <w:r>
        <w:rPr>
          <w:rFonts w:ascii="仿宋_GB2312" w:hAnsi="仿宋_GB2312" w:eastAsia="仿宋_GB2312" w:cs="仿宋_GB2312"/>
          <w:color w:val="auto"/>
          <w:sz w:val="32"/>
          <w:szCs w:val="32"/>
          <w:highlight w:val="none"/>
        </w:rPr>
        <w:t>我单位</w:t>
      </w:r>
      <w:r>
        <w:rPr>
          <w:rFonts w:hint="eastAsia" w:ascii="仿宋_GB2312" w:hAnsi="仿宋_GB2312" w:eastAsia="仿宋_GB2312" w:cs="仿宋_GB2312"/>
          <w:color w:val="auto"/>
          <w:sz w:val="32"/>
          <w:szCs w:val="32"/>
          <w:highlight w:val="none"/>
        </w:rPr>
        <w:t>没有开展重点项目绩效评价的项目。</w:t>
      </w:r>
    </w:p>
    <w:p>
      <w:pPr>
        <w:keepNext w:val="0"/>
        <w:keepLines w:val="0"/>
        <w:pageBreakBefore w:val="0"/>
        <w:widowControl/>
        <w:kinsoku/>
        <w:wordWrap/>
        <w:overflowPunct/>
        <w:topLinePunct w:val="0"/>
        <w:autoSpaceDE/>
        <w:autoSpaceDN/>
        <w:bidi w:val="0"/>
        <w:adjustRightInd/>
        <w:snapToGrid/>
        <w:spacing w:line="560" w:lineRule="exact"/>
        <w:ind w:firstLine="560" w:firstLineChars="200"/>
        <w:jc w:val="left"/>
        <w:textAlignment w:val="auto"/>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widowControl/>
        <w:jc w:val="left"/>
        <w:rPr>
          <w:rFonts w:ascii="黑体" w:hAnsi="宋体" w:eastAsia="黑体" w:cs="宋体"/>
          <w:color w:val="auto"/>
          <w:kern w:val="0"/>
          <w:sz w:val="28"/>
          <w:szCs w:val="2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both"/>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hint="eastAsia"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pPr>
      <w:r>
        <w:rPr>
          <w:rFonts w:hint="eastAsia" w:ascii="黑体" w:hAnsi="黑体" w:eastAsia="黑体" w:cs="黑体"/>
          <w:color w:val="auto"/>
          <w:sz w:val="48"/>
          <w:szCs w:val="48"/>
          <w:highlight w:val="none"/>
        </w:rPr>
        <w:t>第四部分  名词解释</w:t>
      </w:r>
    </w:p>
    <w:p>
      <w:pPr>
        <w:jc w:val="center"/>
        <w:rPr>
          <w:rFonts w:ascii="黑体" w:hAnsi="黑体" w:eastAsia="黑体" w:cs="黑体"/>
          <w:color w:val="auto"/>
          <w:sz w:val="48"/>
          <w:szCs w:val="48"/>
          <w:highlight w:val="none"/>
        </w:rPr>
      </w:pPr>
    </w:p>
    <w:p>
      <w:pPr>
        <w:jc w:val="center"/>
        <w:outlineLvl w:val="0"/>
        <w:rPr>
          <w:rFonts w:ascii="黑体" w:hAnsi="黑体" w:eastAsia="黑体" w:cs="黑体"/>
          <w:color w:val="auto"/>
          <w:sz w:val="48"/>
          <w:szCs w:val="48"/>
          <w:highlight w:val="none"/>
        </w:rPr>
        <w:sectPr>
          <w:pgSz w:w="11906" w:h="16838"/>
          <w:pgMar w:top="1440" w:right="1531" w:bottom="1440" w:left="1587" w:header="850" w:footer="992" w:gutter="0"/>
          <w:pgBorders>
            <w:top w:val="none" w:sz="0" w:space="0"/>
            <w:left w:val="none" w:sz="0" w:space="0"/>
            <w:bottom w:val="none" w:sz="0" w:space="0"/>
            <w:right w:val="none" w:sz="0" w:space="0"/>
          </w:pgBorders>
          <w:pgNumType w:fmt="numberInDash"/>
          <w:cols w:space="720" w:num="1"/>
          <w:docGrid w:type="lines" w:linePitch="317" w:charSpace="0"/>
        </w:sectPr>
      </w:pP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一、财政拨款收入：单位从同级政府财政部门取得的财政预算资金。</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二、事业收入：事业单位开展专业业务活动及其辅助活动取得的收入。</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三、上级补助收入：事业单位从主管部门和上级单位取得的非财政补助收入。</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四、附属单位上缴收入：事业单位取得附属独立核算单位根据有关规定上缴的收入。</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五、经营收入：事业单位在专业业务活动及其辅助活动之外开展非独立核算经营活动取得的收入。</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六、其他收入：单位取得的除“财政拨款收入”、“事业收入”、“上级补助收入”、“附属单位上缴收入”、“经营收入”以外的各项收入。</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八、基本支出：为保障机构正常运转、完成日常工作任务而发生的人员支出和公用支出。</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九、项目支出：基本支出之外为完成特定行政任务和事业发展目标所发生的支出。</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十二、工资福利支出：单位支付给在职职工和编制外长期聘用人员的各类劳动报酬，以及为上述人员缴纳的各项社会保险费等。</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十三、商品和服务支出：单位购买商品和服务的支出。</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十四、对个人和家庭的补助支出：单位用于对个人和家庭的补助支出。</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十五、年末结转：本年度或以前年度预算安排，已执行但尚未完成或因客观条件发生变化无法按原计划实施，需延迟到以后年度按有关规定继续使用的资金。</w:t>
      </w:r>
    </w:p>
    <w:p>
      <w:pPr>
        <w:widowControl/>
        <w:autoSpaceDE w:val="0"/>
        <w:spacing w:line="360" w:lineRule="auto"/>
        <w:ind w:firstLine="640" w:firstLineChars="200"/>
        <w:jc w:val="left"/>
        <w:rPr>
          <w:rFonts w:ascii="仿宋_GB2312" w:eastAsia="仿宋_GB2312"/>
          <w:color w:val="auto"/>
          <w:sz w:val="32"/>
          <w:szCs w:val="32"/>
          <w:highlight w:val="none"/>
        </w:rPr>
      </w:pPr>
      <w:r>
        <w:rPr>
          <w:rFonts w:hint="eastAsia" w:ascii="仿宋_GB2312" w:eastAsia="仿宋_GB2312"/>
          <w:color w:val="auto"/>
          <w:sz w:val="32"/>
          <w:szCs w:val="32"/>
          <w:highlight w:val="none"/>
        </w:rPr>
        <w:t>十六、年末结余：本年度或以前年度预算安排，已执行完毕或因客观条件发生变化无法按原预算安排实施，不需要再使用或无法按原预算安排继续使用的资金</w:t>
      </w:r>
    </w:p>
    <w:p>
      <w:pPr>
        <w:widowControl/>
        <w:spacing w:line="590" w:lineRule="exact"/>
        <w:ind w:firstLine="640" w:firstLineChars="200"/>
        <w:jc w:val="left"/>
        <w:rPr>
          <w:rFonts w:ascii="仿宋_GB2312" w:hAnsi="仿宋_GB2312" w:eastAsia="仿宋_GB2312" w:cs="仿宋_GB2312"/>
          <w:color w:val="auto"/>
          <w:sz w:val="32"/>
          <w:szCs w:val="32"/>
          <w:highlight w:val="none"/>
        </w:rPr>
      </w:pPr>
    </w:p>
    <w:bookmarkEnd w:id="0"/>
    <w:sectPr>
      <w:pgSz w:w="11906" w:h="16838"/>
      <w:pgMar w:top="1928" w:right="1474" w:bottom="1701" w:left="1588"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wps:txbx>
                    <wps:bodyPr wrap="none" lIns="0" tIns="0" rIns="0" bIns="0" upright="0">
                      <a:spAutoFit/>
                    </wps:bodyPr>
                  </wps:wsp>
                </a:graphicData>
              </a:graphic>
            </wp:anchor>
          </w:drawing>
        </mc:Choice>
        <mc:Fallback>
          <w:pict>
            <v:shape id="文本框 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BQuQ0szAEAAKcDAAAOAAAAAAAAAAEAIAAAAB4BAABkcnMvZTJv&#10;RG9jLnhtbFBLBQYAAAAABgAGAFkBAABc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- 17 -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txbxContent>
                    </wps:txbx>
                    <wps:bodyPr wrap="none" lIns="0" tIns="0" rIns="0" bIns="0" upright="0">
                      <a:spAutoFit/>
                    </wps:bodyPr>
                  </wps:wsp>
                </a:graphicData>
              </a:graphic>
            </wp:anchor>
          </w:drawing>
        </mc:Choice>
        <mc:Fallback>
          <w:pict>
            <v:shape id="文本框 1027"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cY8ctzwEAAKoDAAAOAAAAAAAAAAEAIAAAAB4BAABkcnMv&#10;ZTJvRG9jLnhtbFBLBQYAAAAABgAGAFkBAABfBQAAAAA=&#10;">
              <v:fill on="f" focussize="0,0"/>
              <v:stroke on="f"/>
              <v:imagedata o:title=""/>
              <o:lock v:ext="edit" aspectratio="f"/>
              <v:textbox inset="0mm,0mm,0mm,0mm" style="mso-fit-shape-to-text:t;">
                <w:txbxContent>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wps:txbx>
                    <wps:bodyPr wrap="none" lIns="0" tIns="0" rIns="0" bIns="0" upright="0">
                      <a:spAutoFit/>
                    </wps:bodyPr>
                  </wps:wsp>
                </a:graphicData>
              </a:graphic>
            </wp:anchor>
          </w:drawing>
        </mc:Choice>
        <mc:Fallback>
          <w:pict>
            <v:shape id="文本框 7"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gA4g6s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- 18 -</w:t>
                    </w:r>
                    <w:r>
                      <w:rPr>
                        <w:rFonts w:hint="eastAsia"/>
                        <w:sz w:val="1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30"/>
  <w:bordersDoNotSurroundHeader w:val="1"/>
  <w:bordersDoNotSurroundFooter w:val="1"/>
  <w:documentProtection w:enforcement="0"/>
  <w:defaultTabStop w:val="420"/>
  <w:evenAndOddHeaders w:val="1"/>
  <w:drawingGridHorizontalSpacing w:val="210"/>
  <w:drawingGridVerticalSpacing w:val="156"/>
  <w:displayHorizontalDrawingGridEvery w:val="1"/>
  <w:displayVerticalDrawingGridEvery w:val="2"/>
  <w:characterSpacingControl w:val="compressPunctuation"/>
  <w:hdrShapeDefaults>
    <o:shapelayout v:ext="edit">
      <o:idmap v:ext="edit" data="1"/>
    </o:shapelayout>
  </w:hdrShapeDefaults>
  <w:compat>
    <w:spaceForUL/>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zMmNhMmI2OGM1NmNkZjBmOGIxOWRhMjk5NzcyYmUifQ=="/>
  </w:docVars>
  <w:rsids>
    <w:rsidRoot w:val="000270E8"/>
    <w:rsid w:val="000270E8"/>
    <w:rsid w:val="000335B5"/>
    <w:rsid w:val="00057AFD"/>
    <w:rsid w:val="00076410"/>
    <w:rsid w:val="00081835"/>
    <w:rsid w:val="000904B3"/>
    <w:rsid w:val="000C073B"/>
    <w:rsid w:val="000C1142"/>
    <w:rsid w:val="001003F8"/>
    <w:rsid w:val="00144159"/>
    <w:rsid w:val="001718A8"/>
    <w:rsid w:val="00182842"/>
    <w:rsid w:val="00184D53"/>
    <w:rsid w:val="001905F2"/>
    <w:rsid w:val="00197592"/>
    <w:rsid w:val="001B453D"/>
    <w:rsid w:val="001C32F0"/>
    <w:rsid w:val="001D61B1"/>
    <w:rsid w:val="001F5040"/>
    <w:rsid w:val="002006EB"/>
    <w:rsid w:val="00201ED2"/>
    <w:rsid w:val="00214AE1"/>
    <w:rsid w:val="00260D70"/>
    <w:rsid w:val="00281114"/>
    <w:rsid w:val="00282C7F"/>
    <w:rsid w:val="00287811"/>
    <w:rsid w:val="00292B4B"/>
    <w:rsid w:val="002A6352"/>
    <w:rsid w:val="002B3F94"/>
    <w:rsid w:val="002C171D"/>
    <w:rsid w:val="002E6A86"/>
    <w:rsid w:val="002E7D35"/>
    <w:rsid w:val="00304D04"/>
    <w:rsid w:val="00305B88"/>
    <w:rsid w:val="00315FEB"/>
    <w:rsid w:val="0041489C"/>
    <w:rsid w:val="0042585F"/>
    <w:rsid w:val="00445CAC"/>
    <w:rsid w:val="00472E19"/>
    <w:rsid w:val="00487869"/>
    <w:rsid w:val="004921FE"/>
    <w:rsid w:val="004D5275"/>
    <w:rsid w:val="004F63DB"/>
    <w:rsid w:val="00505190"/>
    <w:rsid w:val="00507364"/>
    <w:rsid w:val="005112AC"/>
    <w:rsid w:val="005222AF"/>
    <w:rsid w:val="00546F7C"/>
    <w:rsid w:val="0058297F"/>
    <w:rsid w:val="00590A02"/>
    <w:rsid w:val="005A0C2F"/>
    <w:rsid w:val="005B1AE2"/>
    <w:rsid w:val="005C1872"/>
    <w:rsid w:val="005D1F9C"/>
    <w:rsid w:val="005D51AD"/>
    <w:rsid w:val="005E3397"/>
    <w:rsid w:val="00600BF6"/>
    <w:rsid w:val="00607D67"/>
    <w:rsid w:val="006228C4"/>
    <w:rsid w:val="0063639D"/>
    <w:rsid w:val="00636C37"/>
    <w:rsid w:val="006512DD"/>
    <w:rsid w:val="00656BEF"/>
    <w:rsid w:val="00656D75"/>
    <w:rsid w:val="00657E86"/>
    <w:rsid w:val="00673EF7"/>
    <w:rsid w:val="006841E9"/>
    <w:rsid w:val="0069449E"/>
    <w:rsid w:val="006C07F0"/>
    <w:rsid w:val="006C644A"/>
    <w:rsid w:val="006C7D84"/>
    <w:rsid w:val="0070723B"/>
    <w:rsid w:val="007148E8"/>
    <w:rsid w:val="00733DAA"/>
    <w:rsid w:val="00742BA0"/>
    <w:rsid w:val="00753545"/>
    <w:rsid w:val="00764156"/>
    <w:rsid w:val="007706D7"/>
    <w:rsid w:val="007879ED"/>
    <w:rsid w:val="007A48A3"/>
    <w:rsid w:val="007B3994"/>
    <w:rsid w:val="007C029F"/>
    <w:rsid w:val="007C7F49"/>
    <w:rsid w:val="007D2A21"/>
    <w:rsid w:val="0084158B"/>
    <w:rsid w:val="00843461"/>
    <w:rsid w:val="008651E7"/>
    <w:rsid w:val="00872946"/>
    <w:rsid w:val="0088023A"/>
    <w:rsid w:val="008858FB"/>
    <w:rsid w:val="00894B41"/>
    <w:rsid w:val="008B5427"/>
    <w:rsid w:val="008C7CD0"/>
    <w:rsid w:val="00903F6B"/>
    <w:rsid w:val="009173F9"/>
    <w:rsid w:val="009308CB"/>
    <w:rsid w:val="00950270"/>
    <w:rsid w:val="00962F58"/>
    <w:rsid w:val="00975A04"/>
    <w:rsid w:val="00987E71"/>
    <w:rsid w:val="009F0FBB"/>
    <w:rsid w:val="009F546E"/>
    <w:rsid w:val="00A079F0"/>
    <w:rsid w:val="00A42F43"/>
    <w:rsid w:val="00A50F7D"/>
    <w:rsid w:val="00A51982"/>
    <w:rsid w:val="00A57BF7"/>
    <w:rsid w:val="00A639B4"/>
    <w:rsid w:val="00A71DC1"/>
    <w:rsid w:val="00A83D8A"/>
    <w:rsid w:val="00A93E7D"/>
    <w:rsid w:val="00AA260E"/>
    <w:rsid w:val="00AA44CB"/>
    <w:rsid w:val="00AA67CD"/>
    <w:rsid w:val="00AC1A3F"/>
    <w:rsid w:val="00AD6761"/>
    <w:rsid w:val="00AE2FEA"/>
    <w:rsid w:val="00AE487B"/>
    <w:rsid w:val="00AE600E"/>
    <w:rsid w:val="00AF6420"/>
    <w:rsid w:val="00B0083B"/>
    <w:rsid w:val="00B01B44"/>
    <w:rsid w:val="00B040BC"/>
    <w:rsid w:val="00B209B8"/>
    <w:rsid w:val="00B20BBC"/>
    <w:rsid w:val="00B249F3"/>
    <w:rsid w:val="00B649BE"/>
    <w:rsid w:val="00B653A5"/>
    <w:rsid w:val="00B710DD"/>
    <w:rsid w:val="00BD2D85"/>
    <w:rsid w:val="00BE5A85"/>
    <w:rsid w:val="00BF4E6A"/>
    <w:rsid w:val="00BF5718"/>
    <w:rsid w:val="00C13474"/>
    <w:rsid w:val="00C3106E"/>
    <w:rsid w:val="00C345EB"/>
    <w:rsid w:val="00C60609"/>
    <w:rsid w:val="00C91D37"/>
    <w:rsid w:val="00C95CC1"/>
    <w:rsid w:val="00CA3F44"/>
    <w:rsid w:val="00CB03ED"/>
    <w:rsid w:val="00CD756E"/>
    <w:rsid w:val="00CE212D"/>
    <w:rsid w:val="00CE4B38"/>
    <w:rsid w:val="00CF69EF"/>
    <w:rsid w:val="00D1321A"/>
    <w:rsid w:val="00D30ADF"/>
    <w:rsid w:val="00D33CF8"/>
    <w:rsid w:val="00D51D4A"/>
    <w:rsid w:val="00D6315E"/>
    <w:rsid w:val="00D652C2"/>
    <w:rsid w:val="00D74EE2"/>
    <w:rsid w:val="00D83E19"/>
    <w:rsid w:val="00D86CAD"/>
    <w:rsid w:val="00DA00C9"/>
    <w:rsid w:val="00DB200E"/>
    <w:rsid w:val="00DB65F5"/>
    <w:rsid w:val="00DC2550"/>
    <w:rsid w:val="00E01C3E"/>
    <w:rsid w:val="00E13099"/>
    <w:rsid w:val="00E4339F"/>
    <w:rsid w:val="00E60B05"/>
    <w:rsid w:val="00E629EA"/>
    <w:rsid w:val="00E6777C"/>
    <w:rsid w:val="00E85823"/>
    <w:rsid w:val="00E97AF4"/>
    <w:rsid w:val="00EA366D"/>
    <w:rsid w:val="00EB05A3"/>
    <w:rsid w:val="00ED38B7"/>
    <w:rsid w:val="00EE051D"/>
    <w:rsid w:val="00F0131A"/>
    <w:rsid w:val="00F14C17"/>
    <w:rsid w:val="00F17041"/>
    <w:rsid w:val="00F218CF"/>
    <w:rsid w:val="00F33E5E"/>
    <w:rsid w:val="00F44937"/>
    <w:rsid w:val="00F61A47"/>
    <w:rsid w:val="00F84422"/>
    <w:rsid w:val="00F95455"/>
    <w:rsid w:val="00FA574D"/>
    <w:rsid w:val="00FC2588"/>
    <w:rsid w:val="00FE7AD9"/>
    <w:rsid w:val="01322275"/>
    <w:rsid w:val="01DC6F05"/>
    <w:rsid w:val="0292541B"/>
    <w:rsid w:val="02A3489A"/>
    <w:rsid w:val="02CA138D"/>
    <w:rsid w:val="033646FC"/>
    <w:rsid w:val="03C75F80"/>
    <w:rsid w:val="04353F0C"/>
    <w:rsid w:val="0478364D"/>
    <w:rsid w:val="053D4C0D"/>
    <w:rsid w:val="0557532E"/>
    <w:rsid w:val="0799329C"/>
    <w:rsid w:val="08397436"/>
    <w:rsid w:val="086F16A7"/>
    <w:rsid w:val="0A0F7225"/>
    <w:rsid w:val="0A2B7D82"/>
    <w:rsid w:val="0ADC40E9"/>
    <w:rsid w:val="0AE607F4"/>
    <w:rsid w:val="0B2D3993"/>
    <w:rsid w:val="0B386127"/>
    <w:rsid w:val="0B451598"/>
    <w:rsid w:val="0BEC73F4"/>
    <w:rsid w:val="0C392698"/>
    <w:rsid w:val="10BD36F6"/>
    <w:rsid w:val="11A6321C"/>
    <w:rsid w:val="11BF0649"/>
    <w:rsid w:val="123E3E08"/>
    <w:rsid w:val="133212F4"/>
    <w:rsid w:val="13D22E22"/>
    <w:rsid w:val="161C2DFF"/>
    <w:rsid w:val="16373578"/>
    <w:rsid w:val="16D3336B"/>
    <w:rsid w:val="17200028"/>
    <w:rsid w:val="17806C36"/>
    <w:rsid w:val="17A74F62"/>
    <w:rsid w:val="18A47774"/>
    <w:rsid w:val="1A8D28EB"/>
    <w:rsid w:val="1A9F2D78"/>
    <w:rsid w:val="1B2E6FD8"/>
    <w:rsid w:val="1B877D21"/>
    <w:rsid w:val="1C4319A9"/>
    <w:rsid w:val="1E443B4B"/>
    <w:rsid w:val="1E994F4A"/>
    <w:rsid w:val="1EAF0224"/>
    <w:rsid w:val="1F2230A4"/>
    <w:rsid w:val="20210932"/>
    <w:rsid w:val="202448E0"/>
    <w:rsid w:val="20B020AF"/>
    <w:rsid w:val="20F614FE"/>
    <w:rsid w:val="21302EEA"/>
    <w:rsid w:val="22376FB5"/>
    <w:rsid w:val="23E152D7"/>
    <w:rsid w:val="23EE2489"/>
    <w:rsid w:val="255D43C8"/>
    <w:rsid w:val="26714EF8"/>
    <w:rsid w:val="26876BDD"/>
    <w:rsid w:val="2714632A"/>
    <w:rsid w:val="27541E73"/>
    <w:rsid w:val="27B0539E"/>
    <w:rsid w:val="29365CF8"/>
    <w:rsid w:val="299469B3"/>
    <w:rsid w:val="2A805789"/>
    <w:rsid w:val="2ADC0D75"/>
    <w:rsid w:val="2B4A0E52"/>
    <w:rsid w:val="2BCE0E00"/>
    <w:rsid w:val="2C975890"/>
    <w:rsid w:val="2DEF21BB"/>
    <w:rsid w:val="2E4A2F05"/>
    <w:rsid w:val="2ECC1061"/>
    <w:rsid w:val="2FA476AD"/>
    <w:rsid w:val="303F7540"/>
    <w:rsid w:val="311A4B29"/>
    <w:rsid w:val="31DD00BF"/>
    <w:rsid w:val="3293174C"/>
    <w:rsid w:val="32BB38D4"/>
    <w:rsid w:val="32C9376D"/>
    <w:rsid w:val="33780472"/>
    <w:rsid w:val="33AF0905"/>
    <w:rsid w:val="355932F4"/>
    <w:rsid w:val="35611882"/>
    <w:rsid w:val="36746FC3"/>
    <w:rsid w:val="368763AE"/>
    <w:rsid w:val="37F77706"/>
    <w:rsid w:val="395D59E7"/>
    <w:rsid w:val="39A93932"/>
    <w:rsid w:val="3A915562"/>
    <w:rsid w:val="3B8D4765"/>
    <w:rsid w:val="3C000DBA"/>
    <w:rsid w:val="3DC045D3"/>
    <w:rsid w:val="3E504FFB"/>
    <w:rsid w:val="3E615CD0"/>
    <w:rsid w:val="3E9C47F6"/>
    <w:rsid w:val="3F8B0112"/>
    <w:rsid w:val="3FAB3095"/>
    <w:rsid w:val="3FE45947"/>
    <w:rsid w:val="3FEFBE81"/>
    <w:rsid w:val="41242965"/>
    <w:rsid w:val="435671EA"/>
    <w:rsid w:val="440809E9"/>
    <w:rsid w:val="442407A6"/>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1E47539"/>
    <w:rsid w:val="5213E8D2"/>
    <w:rsid w:val="53906AE1"/>
    <w:rsid w:val="54F46F60"/>
    <w:rsid w:val="55A37BEA"/>
    <w:rsid w:val="55FAC8D8"/>
    <w:rsid w:val="56362CD2"/>
    <w:rsid w:val="5784687B"/>
    <w:rsid w:val="57846959"/>
    <w:rsid w:val="578E6A87"/>
    <w:rsid w:val="57FB5ACD"/>
    <w:rsid w:val="5A392331"/>
    <w:rsid w:val="5AC2203A"/>
    <w:rsid w:val="5CBB3334"/>
    <w:rsid w:val="5D115FAF"/>
    <w:rsid w:val="61045E8B"/>
    <w:rsid w:val="62811722"/>
    <w:rsid w:val="62E75A72"/>
    <w:rsid w:val="637D26B6"/>
    <w:rsid w:val="64571880"/>
    <w:rsid w:val="649125B6"/>
    <w:rsid w:val="64DA14CA"/>
    <w:rsid w:val="652F4C1A"/>
    <w:rsid w:val="666D37F1"/>
    <w:rsid w:val="67087D8F"/>
    <w:rsid w:val="671F687E"/>
    <w:rsid w:val="67BB6F55"/>
    <w:rsid w:val="67F415F8"/>
    <w:rsid w:val="682640D1"/>
    <w:rsid w:val="684B73E5"/>
    <w:rsid w:val="6A047A2A"/>
    <w:rsid w:val="6A7757B5"/>
    <w:rsid w:val="6EFB7548"/>
    <w:rsid w:val="6F3831C3"/>
    <w:rsid w:val="6F697ECC"/>
    <w:rsid w:val="6F8B71C1"/>
    <w:rsid w:val="6FF6F0B1"/>
    <w:rsid w:val="6FFF5057"/>
    <w:rsid w:val="70753482"/>
    <w:rsid w:val="707B522A"/>
    <w:rsid w:val="717FCF0A"/>
    <w:rsid w:val="73194D05"/>
    <w:rsid w:val="73A83B0E"/>
    <w:rsid w:val="744D3EF9"/>
    <w:rsid w:val="74794411"/>
    <w:rsid w:val="75867C40"/>
    <w:rsid w:val="75B10B26"/>
    <w:rsid w:val="76432199"/>
    <w:rsid w:val="76F44829"/>
    <w:rsid w:val="77A267C0"/>
    <w:rsid w:val="78882278"/>
    <w:rsid w:val="78B118A6"/>
    <w:rsid w:val="79135044"/>
    <w:rsid w:val="797E1689"/>
    <w:rsid w:val="7A7D0F99"/>
    <w:rsid w:val="7BDF4D1C"/>
    <w:rsid w:val="7C7D5D19"/>
    <w:rsid w:val="7D56D1B7"/>
    <w:rsid w:val="7D7E6D6A"/>
    <w:rsid w:val="7DFEF254"/>
    <w:rsid w:val="7E071341"/>
    <w:rsid w:val="7E4A0E7C"/>
    <w:rsid w:val="7EFD449D"/>
    <w:rsid w:val="7EFDF2ED"/>
    <w:rsid w:val="7F3F4A70"/>
    <w:rsid w:val="7F48EE89"/>
    <w:rsid w:val="7FD44C20"/>
    <w:rsid w:val="7FF68D04"/>
    <w:rsid w:val="7FFF0952"/>
    <w:rsid w:val="7FFF92FD"/>
    <w:rsid w:val="8F760D9B"/>
    <w:rsid w:val="BB7B2742"/>
    <w:rsid w:val="BFC7432E"/>
    <w:rsid w:val="CDF9E5B0"/>
    <w:rsid w:val="D7EF0564"/>
    <w:rsid w:val="D7FB2388"/>
    <w:rsid w:val="D7FF1A8A"/>
    <w:rsid w:val="D9FF03DB"/>
    <w:rsid w:val="DEF7C484"/>
    <w:rsid w:val="DFFF1CF6"/>
    <w:rsid w:val="E7BBAFCC"/>
    <w:rsid w:val="E7BED38A"/>
    <w:rsid w:val="F15F4BAB"/>
    <w:rsid w:val="F67F5387"/>
    <w:rsid w:val="F7FFDC01"/>
    <w:rsid w:val="F9FBC184"/>
    <w:rsid w:val="FDFE53EC"/>
    <w:rsid w:val="FEAE8786"/>
    <w:rsid w:val="FEEF96DF"/>
    <w:rsid w:val="FFBFAED4"/>
    <w:rsid w:val="FFEC3E70"/>
    <w:rsid w:val="FFEF371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unhideWhenUsed/>
    <w:qFormat/>
    <w:uiPriority w:val="99"/>
    <w:rPr>
      <w:color w:val="800080"/>
      <w:u w:val="single"/>
    </w:rPr>
  </w:style>
  <w:style w:type="character" w:styleId="9">
    <w:name w:val="Hyperlink"/>
    <w:unhideWhenUsed/>
    <w:qFormat/>
    <w:uiPriority w:val="99"/>
    <w:rPr>
      <w:color w:val="0000FF"/>
      <w:u w:val="single"/>
    </w:rPr>
  </w:style>
  <w:style w:type="character" w:customStyle="1" w:styleId="10">
    <w:name w:val="批注框文本 Char"/>
    <w:link w:val="2"/>
    <w:semiHidden/>
    <w:qFormat/>
    <w:uiPriority w:val="99"/>
    <w:rPr>
      <w:kern w:val="2"/>
      <w:sz w:val="18"/>
      <w:szCs w:val="18"/>
    </w:rPr>
  </w:style>
  <w:style w:type="character" w:customStyle="1" w:styleId="11">
    <w:name w:val="页脚 Char"/>
    <w:link w:val="3"/>
    <w:qFormat/>
    <w:uiPriority w:val="99"/>
    <w:rPr>
      <w:kern w:val="2"/>
      <w:sz w:val="18"/>
      <w:szCs w:val="18"/>
    </w:rPr>
  </w:style>
  <w:style w:type="character" w:customStyle="1" w:styleId="12">
    <w:name w:val="页眉 Char"/>
    <w:link w:val="4"/>
    <w:qFormat/>
    <w:uiPriority w:val="99"/>
    <w:rPr>
      <w:kern w:val="2"/>
      <w:sz w:val="18"/>
      <w:szCs w:val="18"/>
    </w:rPr>
  </w:style>
  <w:style w:type="character" w:customStyle="1" w:styleId="13">
    <w:name w:val="font01"/>
    <w:qFormat/>
    <w:uiPriority w:val="0"/>
    <w:rPr>
      <w:rFonts w:hint="eastAsia" w:ascii="宋体" w:hAnsi="宋体" w:eastAsia="宋体" w:cs="宋体"/>
      <w:color w:val="000000"/>
      <w:sz w:val="22"/>
      <w:szCs w:val="22"/>
      <w:u w:val="none"/>
    </w:rPr>
  </w:style>
  <w:style w:type="character" w:customStyle="1" w:styleId="14">
    <w:name w:val="font21"/>
    <w:qFormat/>
    <w:uiPriority w:val="0"/>
    <w:rPr>
      <w:rFonts w:hint="eastAsia" w:ascii="宋体" w:hAnsi="宋体" w:eastAsia="宋体" w:cs="宋体"/>
      <w:color w:val="000000"/>
      <w:sz w:val="22"/>
      <w:szCs w:val="22"/>
      <w:u w:val="none"/>
    </w:rPr>
  </w:style>
  <w:style w:type="character" w:customStyle="1" w:styleId="15">
    <w:name w:val="font51"/>
    <w:qFormat/>
    <w:uiPriority w:val="0"/>
    <w:rPr>
      <w:rFonts w:hint="eastAsia" w:ascii="宋体" w:hAnsi="宋体" w:eastAsia="宋体" w:cs="宋体"/>
      <w:color w:val="000000"/>
      <w:sz w:val="24"/>
      <w:szCs w:val="24"/>
      <w:u w:val="none"/>
    </w:rPr>
  </w:style>
  <w:style w:type="character" w:customStyle="1" w:styleId="16">
    <w:name w:val="font11"/>
    <w:qFormat/>
    <w:uiPriority w:val="0"/>
    <w:rPr>
      <w:rFonts w:hint="eastAsia" w:ascii="宋体" w:hAnsi="宋体" w:eastAsia="宋体" w:cs="宋体"/>
      <w:color w:val="000000"/>
      <w:sz w:val="20"/>
      <w:szCs w:val="20"/>
      <w:u w:val="none"/>
    </w:rPr>
  </w:style>
  <w:style w:type="character" w:customStyle="1" w:styleId="17">
    <w:name w:val="font41"/>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28</Pages>
  <Words>7599</Words>
  <Characters>9092</Characters>
  <Lines>82</Lines>
  <Paragraphs>23</Paragraphs>
  <TotalTime>45</TotalTime>
  <ScaleCrop>false</ScaleCrop>
  <LinksUpToDate>false</LinksUpToDate>
  <CharactersWithSpaces>9756</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2023-02-19T08:56:00Z</dcterms:created>
  <dc:creator>管理者</dc:creator>
  <cp:lastModifiedBy>悟の</cp:lastModifiedBy>
  <cp:lastPrinted>2022-09-14T01:54:00Z</cp:lastPrinted>
  <dcterms:modified xsi:type="dcterms:W3CDTF">2023-09-17T11:13:01Z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33A788DED9B84F4CB71D1BFF23D65E77_13</vt:lpwstr>
  </property>
</Properties>
</file>