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both"/>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　许昌市注册会计师协会单位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许昌市注册会计师协会</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九</w:t>
      </w:r>
      <w:r>
        <w:rPr>
          <w:rFonts w:hint="eastAsia" w:ascii="宋体" w:hAnsi="宋体" w:eastAsia="宋体" w:cs="宋体"/>
          <w:color w:val="auto"/>
          <w:sz w:val="32"/>
          <w:szCs w:val="32"/>
          <w:highlight w:val="none"/>
        </w:rPr>
        <w:t>、机关运行经费支出情况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十一、国有资产占用情况说明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许昌市注</w:t>
      </w:r>
      <w:r>
        <w:rPr>
          <w:rFonts w:hint="eastAsia" w:ascii="黑体" w:hAnsi="黑体" w:eastAsia="黑体" w:cs="黑体"/>
          <w:sz w:val="48"/>
          <w:szCs w:val="48"/>
          <w:lang w:val="en-US" w:eastAsia="zh-CN"/>
        </w:rPr>
        <w:t>册会计师协</w:t>
      </w:r>
      <w:r>
        <w:rPr>
          <w:rFonts w:hint="eastAsia" w:ascii="黑体" w:hAnsi="黑体" w:eastAsia="黑体" w:cs="黑体"/>
          <w:color w:val="auto"/>
          <w:sz w:val="48"/>
          <w:szCs w:val="48"/>
          <w:highlight w:val="none"/>
          <w:lang w:val="en-US" w:eastAsia="zh-CN"/>
        </w:rPr>
        <w:t>会</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numPr>
          <w:ilvl w:val="0"/>
          <w:numId w:val="2"/>
        </w:numPr>
        <w:ind w:firstLine="640" w:firstLineChars="200"/>
        <w:jc w:val="left"/>
        <w:outlineLvl w:val="1"/>
        <w:rPr>
          <w:rFonts w:hint="eastAsia" w:ascii="黑体" w:hAnsi="黑体" w:eastAsia="黑体" w:cs="黑体"/>
          <w:bCs/>
          <w:sz w:val="32"/>
          <w:szCs w:val="32"/>
          <w:highlight w:val="none"/>
        </w:rPr>
      </w:pP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numPr>
          <w:ilvl w:val="0"/>
          <w:numId w:val="0"/>
        </w:numPr>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color="FFFFFF"/>
          <w:shd w:val="clear" w:color="auto" w:fill="FFFFFF"/>
          <w:lang w:val="en-US" w:eastAsia="zh-CN"/>
        </w:rPr>
        <w:t xml:space="preserve">    </w:t>
      </w:r>
      <w:r>
        <w:rPr>
          <w:rFonts w:hint="eastAsia" w:ascii="仿宋_GB2312" w:hAnsi="仿宋_GB2312" w:eastAsia="仿宋_GB2312" w:cs="仿宋_GB2312"/>
          <w:sz w:val="32"/>
          <w:szCs w:val="32"/>
          <w:u w:val="none" w:color="FFFFFF"/>
          <w:shd w:val="clear" w:color="auto" w:fill="FFFFFF"/>
          <w:lang w:eastAsia="zh-CN"/>
        </w:rPr>
        <w:t>（一）</w:t>
      </w:r>
      <w:r>
        <w:rPr>
          <w:rFonts w:hint="eastAsia" w:ascii="仿宋_GB2312" w:hAnsi="仿宋_GB2312" w:eastAsia="仿宋_GB2312" w:cs="仿宋_GB2312"/>
          <w:sz w:val="32"/>
          <w:szCs w:val="32"/>
          <w:u w:val="none" w:color="FFFFFF"/>
          <w:shd w:val="clear" w:color="auto" w:fill="FFFFFF"/>
        </w:rPr>
        <w:t>许昌市注册会计师协会依据法履行以下职能： 1．负责审批和管理本会会员，办理</w:t>
      </w:r>
      <w:r>
        <w:rPr>
          <w:rFonts w:hint="eastAsia" w:ascii="仿宋_GB2312" w:hAnsi="仿宋_GB2312" w:eastAsia="仿宋_GB2312" w:cs="仿宋_GB2312"/>
          <w:color w:val="000000"/>
          <w:sz w:val="32"/>
          <w:szCs w:val="32"/>
          <w:u w:val="none" w:color="FFFFFF"/>
        </w:rPr>
        <w:fldChar w:fldCharType="begin"/>
      </w:r>
      <w:r>
        <w:rPr>
          <w:rFonts w:hint="eastAsia" w:ascii="仿宋_GB2312" w:hAnsi="仿宋_GB2312" w:eastAsia="仿宋_GB2312" w:cs="仿宋_GB2312"/>
          <w:color w:val="000000"/>
          <w:sz w:val="32"/>
          <w:szCs w:val="32"/>
          <w:u w:val="none" w:color="FFFFFF"/>
        </w:rPr>
        <w:instrText xml:space="preserve"> HYPERLINK "http://www.so.com/s?q=%E6%B3%A8%E5%86%8C%E4%BC%9A%E8%AE%A1%E5%B8%88&amp;ie=utf-8&amp;src=wenda_link" \t "_blank" </w:instrText>
      </w:r>
      <w:r>
        <w:rPr>
          <w:rFonts w:hint="eastAsia" w:ascii="仿宋_GB2312" w:hAnsi="仿宋_GB2312" w:eastAsia="仿宋_GB2312" w:cs="仿宋_GB2312"/>
          <w:color w:val="000000"/>
          <w:sz w:val="32"/>
          <w:szCs w:val="32"/>
          <w:u w:val="none" w:color="FFFFFF"/>
        </w:rPr>
        <w:fldChar w:fldCharType="separate"/>
      </w:r>
      <w:r>
        <w:rPr>
          <w:rStyle w:val="13"/>
          <w:rFonts w:hint="eastAsia" w:ascii="仿宋_GB2312" w:hAnsi="仿宋_GB2312" w:eastAsia="仿宋_GB2312" w:cs="仿宋_GB2312"/>
          <w:color w:val="000000"/>
          <w:sz w:val="32"/>
          <w:szCs w:val="32"/>
          <w:u w:val="none" w:color="FFFFFF"/>
          <w:shd w:val="clear" w:color="auto" w:fill="FFFFFF"/>
        </w:rPr>
        <w:t>注册会计师</w:t>
      </w:r>
      <w:r>
        <w:rPr>
          <w:rFonts w:hint="eastAsia" w:ascii="仿宋_GB2312" w:hAnsi="仿宋_GB2312" w:eastAsia="仿宋_GB2312" w:cs="仿宋_GB2312"/>
          <w:color w:val="000000"/>
          <w:sz w:val="32"/>
          <w:szCs w:val="32"/>
          <w:u w:val="none" w:color="FFFFFF"/>
        </w:rPr>
        <w:fldChar w:fldCharType="end"/>
      </w:r>
      <w:r>
        <w:rPr>
          <w:rFonts w:hint="eastAsia" w:ascii="仿宋_GB2312" w:hAnsi="仿宋_GB2312" w:eastAsia="仿宋_GB2312" w:cs="仿宋_GB2312"/>
          <w:color w:val="000000"/>
          <w:sz w:val="32"/>
          <w:szCs w:val="32"/>
          <w:u w:val="none" w:color="FFFFFF"/>
        </w:rPr>
        <w:t>申请</w:t>
      </w:r>
      <w:r>
        <w:rPr>
          <w:rFonts w:hint="eastAsia" w:ascii="仿宋_GB2312" w:hAnsi="仿宋_GB2312" w:eastAsia="仿宋_GB2312" w:cs="仿宋_GB2312"/>
          <w:color w:val="000000"/>
          <w:sz w:val="32"/>
          <w:szCs w:val="32"/>
          <w:u w:val="none" w:color="FFFFFF"/>
          <w:shd w:val="clear" w:color="auto" w:fill="FFFFFF"/>
        </w:rPr>
        <w:t>注册； 2．监督、检查注册会计师执业准则、规则实施情况； 3．组织对注册会计师的任职资格和</w:t>
      </w:r>
      <w:r>
        <w:rPr>
          <w:rFonts w:hint="eastAsia" w:ascii="仿宋_GB2312" w:hAnsi="仿宋_GB2312" w:eastAsia="仿宋_GB2312" w:cs="仿宋_GB2312"/>
          <w:color w:val="000000"/>
          <w:sz w:val="32"/>
          <w:szCs w:val="32"/>
          <w:u w:val="none" w:color="FFFFFF"/>
        </w:rPr>
        <w:fldChar w:fldCharType="begin"/>
      </w:r>
      <w:r>
        <w:rPr>
          <w:rFonts w:hint="eastAsia" w:ascii="仿宋_GB2312" w:hAnsi="仿宋_GB2312" w:eastAsia="仿宋_GB2312" w:cs="仿宋_GB2312"/>
          <w:color w:val="000000"/>
          <w:sz w:val="32"/>
          <w:szCs w:val="32"/>
          <w:u w:val="none" w:color="FFFFFF"/>
        </w:rPr>
        <w:instrText xml:space="preserve"> HYPERLINK "http://www.so.com/s?q=%E4%BC%9A%E8%AE%A1%E5%B8%88%E4%BA%8B%E5%8A%A1%E6%89%80&amp;ie=utf-8&amp;src=wenda_link" \t "_blank" </w:instrText>
      </w:r>
      <w:r>
        <w:rPr>
          <w:rFonts w:hint="eastAsia" w:ascii="仿宋_GB2312" w:hAnsi="仿宋_GB2312" w:eastAsia="仿宋_GB2312" w:cs="仿宋_GB2312"/>
          <w:color w:val="000000"/>
          <w:sz w:val="32"/>
          <w:szCs w:val="32"/>
          <w:u w:val="none" w:color="FFFFFF"/>
        </w:rPr>
        <w:fldChar w:fldCharType="separate"/>
      </w:r>
      <w:r>
        <w:rPr>
          <w:rStyle w:val="13"/>
          <w:rFonts w:hint="eastAsia" w:ascii="仿宋_GB2312" w:hAnsi="仿宋_GB2312" w:eastAsia="仿宋_GB2312" w:cs="仿宋_GB2312"/>
          <w:color w:val="000000"/>
          <w:sz w:val="32"/>
          <w:szCs w:val="32"/>
          <w:u w:val="none" w:color="FFFFFF"/>
          <w:shd w:val="clear" w:color="auto" w:fill="FFFFFF"/>
        </w:rPr>
        <w:t>会计师事务所</w:t>
      </w:r>
      <w:r>
        <w:rPr>
          <w:rFonts w:hint="eastAsia" w:ascii="仿宋_GB2312" w:hAnsi="仿宋_GB2312" w:eastAsia="仿宋_GB2312" w:cs="仿宋_GB2312"/>
          <w:color w:val="000000"/>
          <w:sz w:val="32"/>
          <w:szCs w:val="32"/>
          <w:u w:val="none" w:color="FFFFFF"/>
        </w:rPr>
        <w:fldChar w:fldCharType="end"/>
      </w:r>
      <w:r>
        <w:rPr>
          <w:rFonts w:hint="eastAsia" w:ascii="仿宋_GB2312" w:hAnsi="仿宋_GB2312" w:eastAsia="仿宋_GB2312" w:cs="仿宋_GB2312"/>
          <w:color w:val="000000"/>
          <w:sz w:val="32"/>
          <w:szCs w:val="32"/>
          <w:u w:val="none" w:color="FFFFFF"/>
          <w:shd w:val="clear" w:color="auto" w:fill="FFFFFF"/>
        </w:rPr>
        <w:t>的执业情况进行年度检查； 4．制定行业自律管理规范，对违反行业自律管理规范的行为予以惩戒； 5.组织实施本地区注册会计师全国统一考试； 6.组织和推动本会会员培训工作； 7.组织业务交流，开展理论研究，提供技术支持； 8.开展注册会计师行业宣传； 9.协调行业内、外部关系，支持会员依法执业，维护会员合法权益； 10.办理法律、</w:t>
      </w:r>
      <w:r>
        <w:rPr>
          <w:rFonts w:hint="eastAsia" w:ascii="仿宋_GB2312" w:hAnsi="仿宋_GB2312" w:eastAsia="仿宋_GB2312" w:cs="仿宋_GB2312"/>
          <w:color w:val="000000"/>
          <w:sz w:val="32"/>
          <w:szCs w:val="32"/>
          <w:u w:val="none" w:color="FFFFFF"/>
        </w:rPr>
        <w:fldChar w:fldCharType="begin"/>
      </w:r>
      <w:r>
        <w:rPr>
          <w:rFonts w:hint="eastAsia" w:ascii="仿宋_GB2312" w:hAnsi="仿宋_GB2312" w:eastAsia="仿宋_GB2312" w:cs="仿宋_GB2312"/>
          <w:color w:val="000000"/>
          <w:sz w:val="32"/>
          <w:szCs w:val="32"/>
          <w:u w:val="none" w:color="FFFFFF"/>
        </w:rPr>
        <w:instrText xml:space="preserve"> HYPERLINK "http://www.so.com/s?q=%E8%A1%8C%E6%94%BF%E6%B3%95%E8%A7%84&amp;ie=utf-8&amp;src=wenda_link" \t "_blank" </w:instrText>
      </w:r>
      <w:r>
        <w:rPr>
          <w:rFonts w:hint="eastAsia" w:ascii="仿宋_GB2312" w:hAnsi="仿宋_GB2312" w:eastAsia="仿宋_GB2312" w:cs="仿宋_GB2312"/>
          <w:color w:val="000000"/>
          <w:sz w:val="32"/>
          <w:szCs w:val="32"/>
          <w:u w:val="none" w:color="FFFFFF"/>
        </w:rPr>
        <w:fldChar w:fldCharType="separate"/>
      </w:r>
      <w:r>
        <w:rPr>
          <w:rStyle w:val="13"/>
          <w:rFonts w:hint="eastAsia" w:ascii="仿宋_GB2312" w:hAnsi="仿宋_GB2312" w:eastAsia="仿宋_GB2312" w:cs="仿宋_GB2312"/>
          <w:color w:val="000000"/>
          <w:sz w:val="32"/>
          <w:szCs w:val="32"/>
          <w:u w:val="none" w:color="FFFFFF"/>
          <w:shd w:val="clear" w:color="auto" w:fill="FFFFFF"/>
        </w:rPr>
        <w:t>行政法规</w:t>
      </w:r>
      <w:r>
        <w:rPr>
          <w:rFonts w:hint="eastAsia" w:ascii="仿宋_GB2312" w:hAnsi="仿宋_GB2312" w:eastAsia="仿宋_GB2312" w:cs="仿宋_GB2312"/>
          <w:color w:val="000000"/>
          <w:sz w:val="32"/>
          <w:szCs w:val="32"/>
          <w:u w:val="none" w:color="FFFFFF"/>
        </w:rPr>
        <w:fldChar w:fldCharType="end"/>
      </w:r>
      <w:r>
        <w:rPr>
          <w:rFonts w:hint="eastAsia" w:ascii="仿宋_GB2312" w:hAnsi="仿宋_GB2312" w:eastAsia="仿宋_GB2312" w:cs="仿宋_GB2312"/>
          <w:color w:val="000000"/>
          <w:sz w:val="32"/>
          <w:szCs w:val="32"/>
          <w:u w:val="none" w:color="FFFFFF"/>
          <w:shd w:val="clear" w:color="auto" w:fill="FFFFFF"/>
        </w:rPr>
        <w:t>规定</w:t>
      </w:r>
      <w:r>
        <w:rPr>
          <w:rFonts w:hint="eastAsia" w:ascii="仿宋_GB2312" w:hAnsi="仿宋_GB2312" w:eastAsia="仿宋_GB2312" w:cs="仿宋_GB2312"/>
          <w:sz w:val="32"/>
          <w:szCs w:val="32"/>
          <w:u w:val="none" w:color="FFFFFF"/>
          <w:shd w:val="clear" w:color="auto" w:fill="FFFFFF"/>
        </w:rPr>
        <w:t>和国家机关委托或授权的其他有关工作。</w:t>
      </w:r>
    </w:p>
    <w:p>
      <w:pPr>
        <w:widowControl/>
        <w:numPr>
          <w:ilvl w:val="0"/>
          <w:numId w:val="0"/>
        </w:numPr>
        <w:spacing w:line="540" w:lineRule="atLeast"/>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许昌市注册会计师协会</w:t>
      </w:r>
      <w:r>
        <w:rPr>
          <w:rFonts w:hint="eastAsia" w:ascii="仿宋_GB2312" w:hAnsi="仿宋_GB2312" w:eastAsia="仿宋_GB2312" w:cs="仿宋_GB2312"/>
          <w:sz w:val="32"/>
          <w:szCs w:val="32"/>
          <w:lang w:val="zh-CN"/>
        </w:rPr>
        <w:t>围绕市财政局中心工作</w:t>
      </w:r>
      <w:r>
        <w:rPr>
          <w:rFonts w:hint="eastAsia" w:ascii="仿宋_GB2312" w:hAnsi="仿宋_GB2312" w:eastAsia="仿宋_GB2312" w:cs="仿宋_GB2312"/>
          <w:sz w:val="32"/>
          <w:szCs w:val="32"/>
        </w:rPr>
        <w:t>,以服务会员和我市经济改革与发展为立足点,规范行业管理,认真开展执业质量检查,引导事务所加强内部管理,推动</w:t>
      </w:r>
      <w:r>
        <w:rPr>
          <w:rFonts w:hint="eastAsia" w:ascii="仿宋_GB2312" w:hAnsi="仿宋_GB2312" w:eastAsia="仿宋_GB2312" w:cs="仿宋_GB2312"/>
          <w:sz w:val="32"/>
          <w:szCs w:val="32"/>
          <w:lang w:eastAsia="zh-CN"/>
        </w:rPr>
        <w:t>注</w:t>
      </w:r>
    </w:p>
    <w:p>
      <w:pPr>
        <w:widowControl/>
        <w:numPr>
          <w:ilvl w:val="0"/>
          <w:numId w:val="0"/>
        </w:numPr>
        <w:spacing w:line="540" w:lineRule="atLeast"/>
        <w:jc w:val="left"/>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rPr>
        <w:t>册会计师行业党建工作促业务发展</w:t>
      </w:r>
      <w:r>
        <w:rPr>
          <w:rFonts w:hint="eastAsia" w:ascii="仿宋_GB2312" w:hAnsi="仿宋_GB2312" w:eastAsia="仿宋_GB2312" w:cs="仿宋_GB2312"/>
          <w:sz w:val="32"/>
          <w:szCs w:val="32"/>
          <w:lang w:eastAsia="zh-CN"/>
        </w:rPr>
        <w:t>。</w:t>
      </w:r>
    </w:p>
    <w:p>
      <w:pPr>
        <w:autoSpaceDE w:val="0"/>
        <w:autoSpaceDN w:val="0"/>
        <w:spacing w:before="100" w:after="100"/>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本年度，协会</w:t>
      </w:r>
      <w:r>
        <w:rPr>
          <w:rFonts w:hint="eastAsia" w:ascii="仿宋_GB2312" w:hAnsi="仿宋_GB2312" w:eastAsia="仿宋_GB2312" w:cs="仿宋_GB2312"/>
          <w:kern w:val="0"/>
          <w:sz w:val="32"/>
          <w:szCs w:val="32"/>
        </w:rPr>
        <w:t xml:space="preserve">按照省行业党委的统一部署，深入开展以“质量提升年”为主题的行业活动，指导本辖区事务所认真组织学习，开展研讨交流，探索推动事务所业务提升；处理好事务所以党建促进业务发展、规范与创新、制度创新与业务创新等关系，创新服务理念；围绕经济改革发展，创新服务品种、服务内容；导推进事务所信息化建设，更好发挥会计服务示范基地作用，创新服务方式；推进执业准则和监管制度创新，促进事务所提升服务质量；创新行业人才培养体系，完善职业责任保险，强化风险管理，支撑事务所提高服务能力。           </w:t>
      </w:r>
    </w:p>
    <w:p>
      <w:pPr>
        <w:widowControl/>
        <w:numPr>
          <w:ilvl w:val="0"/>
          <w:numId w:val="0"/>
        </w:numPr>
        <w:jc w:val="left"/>
        <w:outlineLvl w:val="1"/>
        <w:rPr>
          <w:rFonts w:hint="eastAsia" w:ascii="仿宋_GB2312" w:hAnsi="仿宋_GB2312" w:eastAsia="仿宋_GB2312" w:cs="仿宋_GB2312"/>
          <w:color w:val="000000"/>
          <w:sz w:val="32"/>
          <w:szCs w:val="32"/>
          <w:u w:val="none" w:color="FFFFFF"/>
          <w:shd w:val="clear" w:color="auto" w:fill="FFFFFF"/>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行业党建方面的主要任务：组织学习贯彻党的十九大及历次全会精神，深入学习贯彻习近平总书记重要讲话精神，践行“五大发展理念”。认真开展学习教育活动，以落实全</w:t>
      </w:r>
      <w:r>
        <w:rPr>
          <w:rFonts w:hint="eastAsia" w:ascii="仿宋_GB2312" w:hAnsi="仿宋_GB2312" w:eastAsia="仿宋_GB2312" w:cs="仿宋_GB2312"/>
          <w:color w:val="000000"/>
          <w:sz w:val="32"/>
          <w:szCs w:val="32"/>
          <w:u w:val="none" w:color="FFFFFF"/>
          <w:shd w:val="clear" w:color="auto" w:fill="FFFFFF"/>
        </w:rPr>
        <w:t>面从严治党为主线，加强思想建党和制度建党工作，认真落实责任目标，夯实基层基础，巩固行业党建成果，完善行业党建长效机制，促进行业科学发展。</w:t>
      </w:r>
    </w:p>
    <w:p>
      <w:pPr>
        <w:widowControl/>
        <w:numPr>
          <w:ilvl w:val="0"/>
          <w:numId w:val="0"/>
        </w:numPr>
        <w:jc w:val="left"/>
        <w:outlineLvl w:val="1"/>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000000"/>
          <w:sz w:val="32"/>
          <w:szCs w:val="32"/>
          <w:u w:val="none" w:color="FFFFFF"/>
          <w:shd w:val="clear" w:color="auto" w:fill="FFFFFF"/>
          <w:lang w:val="en-US" w:eastAsia="zh-CN"/>
        </w:rPr>
        <w:t xml:space="preserve">    </w:t>
      </w:r>
      <w:r>
        <w:rPr>
          <w:rFonts w:hint="eastAsia" w:ascii="仿宋_GB2312" w:hAnsi="仿宋_GB2312" w:eastAsia="仿宋_GB2312" w:cs="仿宋_GB2312"/>
          <w:color w:val="000000"/>
          <w:sz w:val="32"/>
          <w:szCs w:val="32"/>
          <w:u w:val="none" w:color="FFFFFF"/>
          <w:shd w:val="clear" w:color="auto" w:fill="FFFFFF"/>
        </w:rPr>
        <w:t>日常工作方面的主要任务： 一是</w:t>
      </w:r>
      <w:r>
        <w:rPr>
          <w:rFonts w:hint="eastAsia" w:ascii="仿宋_GB2312" w:hAnsi="仿宋_GB2312" w:eastAsia="仿宋_GB2312" w:cs="仿宋_GB2312"/>
          <w:color w:val="000000"/>
          <w:sz w:val="32"/>
          <w:szCs w:val="32"/>
          <w:u w:val="none" w:color="FFFFFF"/>
          <w:shd w:val="clear" w:color="auto" w:fill="FFFFFF"/>
          <w:lang w:val="zh-CN"/>
        </w:rPr>
        <w:t>根据《河南省会计师事务所分类评价暂行办法》，</w:t>
      </w:r>
      <w:r>
        <w:rPr>
          <w:rFonts w:hint="eastAsia" w:ascii="仿宋_GB2312" w:hAnsi="仿宋_GB2312" w:eastAsia="仿宋_GB2312" w:cs="仿宋_GB2312"/>
          <w:color w:val="000000"/>
          <w:sz w:val="32"/>
          <w:szCs w:val="32"/>
          <w:u w:val="none" w:color="FFFFFF"/>
          <w:shd w:val="clear" w:color="auto" w:fill="FFFFFF"/>
        </w:rPr>
        <w:t>做好年度</w:t>
      </w:r>
      <w:r>
        <w:rPr>
          <w:rFonts w:hint="eastAsia" w:ascii="仿宋_GB2312" w:hAnsi="仿宋_GB2312" w:eastAsia="仿宋_GB2312" w:cs="仿宋_GB2312"/>
          <w:color w:val="000000"/>
          <w:sz w:val="32"/>
          <w:szCs w:val="32"/>
          <w:u w:val="none" w:color="FFFFFF"/>
          <w:shd w:val="clear" w:color="auto" w:fill="FFFFFF"/>
          <w:lang w:val="zh-CN"/>
        </w:rPr>
        <w:t>事务所分类评价工作，促进注册会计师行业的公平有序竞争，为企业选择与自身相适应的事务所提供服务；二是</w:t>
      </w:r>
      <w:r>
        <w:rPr>
          <w:rFonts w:hint="eastAsia" w:ascii="仿宋_GB2312" w:hAnsi="仿宋_GB2312" w:eastAsia="仿宋_GB2312" w:cs="仿宋_GB2312"/>
          <w:color w:val="000000"/>
          <w:sz w:val="32"/>
          <w:szCs w:val="32"/>
          <w:u w:val="none" w:color="FFFFFF"/>
          <w:shd w:val="clear" w:color="auto" w:fill="FFFFFF"/>
        </w:rPr>
        <w:t>按照省注协工作指导意见，督促协调小型事务所联合重组有关事宜，使合并后</w:t>
      </w:r>
      <w:r>
        <w:rPr>
          <w:rFonts w:hint="eastAsia" w:ascii="仿宋_GB2312" w:hAnsi="仿宋_GB2312" w:eastAsia="仿宋_GB2312" w:cs="仿宋_GB2312"/>
          <w:color w:val="000000"/>
          <w:sz w:val="32"/>
          <w:szCs w:val="32"/>
        </w:rPr>
        <w:t>的事务所基本实现协同增效、做强做大的合并目标；三是</w:t>
      </w:r>
      <w:r>
        <w:rPr>
          <w:rFonts w:hint="eastAsia" w:ascii="仿宋_GB2312" w:hAnsi="仿宋_GB2312" w:eastAsia="仿宋_GB2312" w:cs="仿宋_GB2312"/>
          <w:sz w:val="32"/>
          <w:szCs w:val="32"/>
        </w:rPr>
        <w:t>严密组织，严格把关，确保年度注册会计师报名考试工作圆满完成；四是组织开展行业执业质量检查工作，加大行业监管力度， 规范执业行为，督促事务所提高执业质量和职业道德水平；五是做好注册会计师任职资格和执业情况的年检，协助省注协做好日常的注册、转所、转会等工作，保证执业队伍基本素质；六配合省注协做好全市执业注册会计师培训工作，提升注册会计师素质，积极组织新注册人员参加省注协举办的岗前培训班，增强新注册人员行业归属感。</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28"/>
        </w:rPr>
        <w:t>许昌市注册会计师协会</w:t>
      </w:r>
      <w:r>
        <w:rPr>
          <w:rFonts w:hint="eastAsia" w:ascii="仿宋_GB2312" w:hAnsi="仿宋_GB2312" w:eastAsia="仿宋_GB2312" w:cs="仿宋_GB2312"/>
          <w:color w:val="auto"/>
          <w:kern w:val="0"/>
          <w:sz w:val="32"/>
          <w:szCs w:val="32"/>
          <w:highlight w:val="none"/>
          <w:lang w:val="en-US" w:eastAsia="zh-CN"/>
        </w:rPr>
        <w:t>内设机构1个，包括：许昌市注册会计师协会办公室。</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28"/>
        </w:rPr>
        <w:t>许昌市注册会计师协会</w:t>
      </w:r>
      <w:r>
        <w:rPr>
          <w:rFonts w:hint="eastAsia" w:ascii="仿宋_GB2312" w:hAnsi="仿宋_GB2312" w:eastAsia="仿宋_GB2312" w:cs="仿宋_GB2312"/>
          <w:sz w:val="32"/>
          <w:szCs w:val="28"/>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许昌市注册会计师协会</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rPr>
          <w:rFonts w:hint="eastAsia"/>
          <w:kern w:val="2"/>
          <w:sz w:val="21"/>
          <w:szCs w:val="22"/>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1761"/>
        </w:tabs>
        <w:jc w:val="left"/>
        <w:rPr>
          <w:rFonts w:hint="eastAsia"/>
          <w:lang w:val="en-US" w:eastAsia="zh-CN"/>
        </w:rPr>
      </w:pPr>
      <w:r>
        <w:rPr>
          <w:rFonts w:hint="eastAsia"/>
          <w:lang w:val="en-US" w:eastAsia="zh-CN"/>
        </w:rPr>
        <w:tab/>
      </w:r>
    </w:p>
    <w:p>
      <w:pPr>
        <w:rPr>
          <w:rFonts w:hint="eastAsia"/>
          <w:kern w:val="2"/>
          <w:sz w:val="21"/>
          <w:szCs w:val="22"/>
          <w:lang w:val="en-US" w:eastAsia="zh-CN" w:bidi="ar-SA"/>
        </w:rPr>
      </w:pPr>
    </w:p>
    <w:p>
      <w:pPr>
        <w:tabs>
          <w:tab w:val="center" w:pos="4153"/>
        </w:tabs>
        <w:jc w:val="left"/>
        <w:rPr>
          <w:rFonts w:hint="eastAsia"/>
          <w:lang w:val="en-US" w:eastAsia="zh-CN"/>
        </w:rPr>
      </w:pPr>
      <w:r>
        <w:rPr>
          <w:rFonts w:hint="eastAsia"/>
          <w:lang w:val="en-US" w:eastAsia="zh-CN"/>
        </w:rPr>
        <w:tab/>
      </w:r>
    </w:p>
    <w:p>
      <w:pPr>
        <w:tabs>
          <w:tab w:val="center" w:pos="4153"/>
        </w:tabs>
        <w:jc w:val="left"/>
        <w:rPr>
          <w:rFonts w:hint="eastAsia"/>
          <w:lang w:val="en-US" w:eastAsia="zh-CN"/>
        </w:rPr>
      </w:pPr>
    </w:p>
    <w:p>
      <w:pPr>
        <w:tabs>
          <w:tab w:val="center" w:pos="4153"/>
        </w:tabs>
        <w:jc w:val="left"/>
        <w:rPr>
          <w:rFonts w:hint="eastAsia"/>
          <w:lang w:val="en-US" w:eastAsia="zh-CN"/>
        </w:rPr>
        <w:sectPr>
          <w:footerReference r:id="rId7" w:type="default"/>
          <w:footerReference r:id="rId8" w:type="even"/>
          <w:pgSz w:w="11906" w:h="16838"/>
          <w:pgMar w:top="1440" w:right="1800" w:bottom="1440" w:left="1800" w:header="720" w:footer="720" w:gutter="0"/>
          <w:pgNumType w:fmt="numberInDash"/>
          <w:cols w:space="720" w:num="1"/>
          <w:docGrid w:type="lines" w:linePitch="312" w:charSpace="0"/>
        </w:sectPr>
      </w:pPr>
    </w:p>
    <w:tbl>
      <w:tblPr>
        <w:tblStyle w:val="10"/>
        <w:tblW w:w="135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5"/>
        <w:gridCol w:w="775"/>
        <w:gridCol w:w="1035"/>
        <w:gridCol w:w="4155"/>
        <w:gridCol w:w="775"/>
        <w:gridCol w:w="1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565"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15"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77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3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15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7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910"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15"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：许昌市注册会计师协会</w:t>
            </w:r>
          </w:p>
        </w:tc>
        <w:tc>
          <w:tcPr>
            <w:tcW w:w="77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3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15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7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910"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收入</w:t>
            </w:r>
          </w:p>
        </w:tc>
        <w:tc>
          <w:tcPr>
            <w:tcW w:w="6840"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项目</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行次</w:t>
            </w:r>
          </w:p>
        </w:tc>
        <w:tc>
          <w:tcPr>
            <w:tcW w:w="10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金额</w:t>
            </w:r>
          </w:p>
        </w:tc>
        <w:tc>
          <w:tcPr>
            <w:tcW w:w="415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项目</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行次</w:t>
            </w:r>
          </w:p>
        </w:tc>
        <w:tc>
          <w:tcPr>
            <w:tcW w:w="191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栏次</w:t>
            </w:r>
          </w:p>
        </w:tc>
        <w:tc>
          <w:tcPr>
            <w:tcW w:w="7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0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415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栏次</w:t>
            </w:r>
          </w:p>
        </w:tc>
        <w:tc>
          <w:tcPr>
            <w:tcW w:w="7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91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一、一般公共预算财政拨款收入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103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80.90</w:t>
            </w: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一、一般公共服务支出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32</w:t>
            </w:r>
          </w:p>
        </w:tc>
        <w:tc>
          <w:tcPr>
            <w:tcW w:w="1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二、政府性基金预算财政拨款收入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二、外交支出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三、国有资本经营预算财政拨款收入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三、国防支出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34</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四、上级补助收入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四、公共安全支出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五、事业收入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五、教育支出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六、经营收入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六、科学技术支出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七、附属单位上缴收入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七、文化旅游体育与传媒支出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八、其他收入</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八、社会保障和就业支出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c>
          <w:tcPr>
            <w:tcW w:w="1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九、卫生健康支出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c>
          <w:tcPr>
            <w:tcW w:w="1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十、节能环保支出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41</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十一、城乡社区支出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42</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十二、农林水支出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43</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十三、交通运输支出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44</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十四、资源勘探工业信息等支出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十五、商业服务业等支出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46</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十六、金融支出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47</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十七、援助其他地区支出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48</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十八、自然资源海洋气象等支出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49</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十九、住房保障支出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二十、粮油物资储备支出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51</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二十一、国有资本经营预算支出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52</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22</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二十二、灾害防治及应急管理支出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53</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二十三、其他支出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54</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二十四、债务还本支出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二十五、债务付息支出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56</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二十六、抗疫特别国债安排的支出</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57</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本年收入合计</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c>
          <w:tcPr>
            <w:tcW w:w="103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80.90</w:t>
            </w:r>
          </w:p>
        </w:tc>
        <w:tc>
          <w:tcPr>
            <w:tcW w:w="415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本年支出合计</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58</w:t>
            </w:r>
          </w:p>
        </w:tc>
        <w:tc>
          <w:tcPr>
            <w:tcW w:w="1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使用非财政拨款结余</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结余分配</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59</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年初结转和结余</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29</w:t>
            </w:r>
          </w:p>
        </w:tc>
        <w:tc>
          <w:tcPr>
            <w:tcW w:w="103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34.08</w:t>
            </w:r>
          </w:p>
        </w:tc>
        <w:tc>
          <w:tcPr>
            <w:tcW w:w="415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年末结转和结余</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w:t>
            </w:r>
          </w:p>
        </w:tc>
        <w:tc>
          <w:tcPr>
            <w:tcW w:w="19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c>
          <w:tcPr>
            <w:tcW w:w="10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p>
        </w:tc>
        <w:tc>
          <w:tcPr>
            <w:tcW w:w="4155"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61</w:t>
            </w:r>
          </w:p>
        </w:tc>
        <w:tc>
          <w:tcPr>
            <w:tcW w:w="191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15"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总计</w:t>
            </w:r>
          </w:p>
        </w:tc>
        <w:tc>
          <w:tcPr>
            <w:tcW w:w="775" w:type="dxa"/>
            <w:tcBorders>
              <w:top w:val="nil"/>
              <w:left w:val="nil"/>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31</w:t>
            </w:r>
          </w:p>
        </w:tc>
        <w:tc>
          <w:tcPr>
            <w:tcW w:w="103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114.97</w:t>
            </w:r>
          </w:p>
        </w:tc>
        <w:tc>
          <w:tcPr>
            <w:tcW w:w="415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总计</w:t>
            </w:r>
          </w:p>
        </w:tc>
        <w:tc>
          <w:tcPr>
            <w:tcW w:w="7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62</w:t>
            </w:r>
          </w:p>
        </w:tc>
        <w:tc>
          <w:tcPr>
            <w:tcW w:w="191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65" w:type="dxa"/>
            <w:gridSpan w:val="6"/>
            <w:tcBorders>
              <w:top w:val="nil"/>
              <w:left w:val="nil"/>
              <w:bottom w:val="nil"/>
              <w:right w:val="nil"/>
            </w:tcBorders>
            <w:vAlign w:val="center"/>
          </w:tcPr>
          <w:p>
            <w:pPr>
              <w:rPr>
                <w:rFonts w:hint="eastAsia"/>
                <w:sz w:val="20"/>
                <w:szCs w:val="21"/>
              </w:rPr>
            </w:pPr>
            <w:r>
              <w:rPr>
                <w:rFonts w:hint="eastAsia"/>
                <w:sz w:val="20"/>
                <w:szCs w:val="21"/>
                <w:lang w:val="en-US" w:eastAsia="zh-CN"/>
              </w:rPr>
              <w:t>注：本表反映单位本年度的总收支和年末结转结余情况。本表金额转换为万元时，因四舍五入可能存在尾差。</w:t>
            </w:r>
          </w:p>
        </w:tc>
      </w:tr>
    </w:tbl>
    <w:p>
      <w:pPr>
        <w:widowControl/>
        <w:jc w:val="left"/>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tbl>
      <w:tblPr>
        <w:tblStyle w:val="10"/>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179"/>
        <w:gridCol w:w="147"/>
        <w:gridCol w:w="1059"/>
        <w:gridCol w:w="279"/>
        <w:gridCol w:w="379"/>
        <w:gridCol w:w="392"/>
        <w:gridCol w:w="266"/>
        <w:gridCol w:w="547"/>
        <w:gridCol w:w="124"/>
        <w:gridCol w:w="667"/>
        <w:gridCol w:w="19"/>
        <w:gridCol w:w="1616"/>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90" w:hRule="atLeast"/>
        </w:trPr>
        <w:tc>
          <w:tcPr>
            <w:tcW w:w="13890" w:type="dxa"/>
            <w:gridSpan w:val="16"/>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55" w:hRule="atLeast"/>
        </w:trPr>
        <w:tc>
          <w:tcPr>
            <w:tcW w:w="2816"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7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06"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5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5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7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86"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55" w:hRule="atLeast"/>
        </w:trPr>
        <w:tc>
          <w:tcPr>
            <w:tcW w:w="2816"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7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06"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5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5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7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86"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17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206"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658"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658"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671"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686"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7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7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8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7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8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0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7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8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721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17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58"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58"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7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86"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6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721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80.90</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80.90</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71.36</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71.36</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70.89</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70.89</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2010650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70.89</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70.89</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7.13</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2.85</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2.85</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4.28</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4.28</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1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w:t>
            </w:r>
          </w:p>
        </w:tc>
        <w:tc>
          <w:tcPr>
            <w:tcW w:w="120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w:t>
            </w: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0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5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8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08" w:hRule="atLeast"/>
        </w:trPr>
        <w:tc>
          <w:tcPr>
            <w:tcW w:w="13890" w:type="dxa"/>
            <w:gridSpan w:val="16"/>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5" w:type="dxa"/>
            <w:gridSpan w:val="17"/>
            <w:tcBorders>
              <w:top w:val="nil"/>
              <w:left w:val="nil"/>
              <w:bottom w:val="nil"/>
              <w:right w:val="nil"/>
            </w:tcBorders>
            <w:vAlign w:val="bottom"/>
          </w:tcPr>
          <w:p>
            <w:pPr>
              <w:widowControl/>
              <w:ind w:firstLine="5700" w:firstLineChars="1900"/>
              <w:jc w:val="both"/>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326"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33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7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13"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9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50" w:type="dxa"/>
            <w:gridSpan w:val="3"/>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326"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33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7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13"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9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50" w:type="dxa"/>
            <w:gridSpan w:val="3"/>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26"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338"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771"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813"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791" w:type="dxa"/>
            <w:gridSpan w:val="2"/>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650" w:type="dxa"/>
            <w:gridSpan w:val="3"/>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2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3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7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3"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9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50" w:type="dxa"/>
            <w:gridSpan w:val="3"/>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3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7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3"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9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50" w:type="dxa"/>
            <w:gridSpan w:val="3"/>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26"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38"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7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3"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91" w:type="dxa"/>
            <w:gridSpan w:val="2"/>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50" w:type="dxa"/>
            <w:gridSpan w:val="3"/>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77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13"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79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650" w:type="dxa"/>
            <w:gridSpan w:val="3"/>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114.97</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114.97</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103.24</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103.24</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2010650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326"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338"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32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338"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3"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50"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05" w:type="dxa"/>
            <w:gridSpan w:val="17"/>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widowControl/>
        <w:jc w:val="both"/>
        <w:textAlignment w:val="bottom"/>
        <w:rPr>
          <w:rFonts w:hint="eastAsia" w:ascii="宋体" w:hAnsi="宋体" w:cs="宋体"/>
          <w:i w:val="0"/>
          <w:iCs w:val="0"/>
          <w:color w:val="000000"/>
          <w:kern w:val="0"/>
          <w:sz w:val="30"/>
          <w:szCs w:val="30"/>
          <w:u w:val="none"/>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8"/>
        <w:gridCol w:w="569"/>
        <w:gridCol w:w="1078"/>
        <w:gridCol w:w="3561"/>
        <w:gridCol w:w="569"/>
        <w:gridCol w:w="1082"/>
        <w:gridCol w:w="1279"/>
        <w:gridCol w:w="991"/>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0" w:type="dxa"/>
            <w:gridSpan w:val="9"/>
            <w:tcBorders>
              <w:top w:val="nil"/>
              <w:left w:val="nil"/>
              <w:bottom w:val="nil"/>
              <w:right w:val="nil"/>
            </w:tcBorders>
            <w:vAlign w:val="bottom"/>
          </w:tcPr>
          <w:p>
            <w:pPr>
              <w:widowControl/>
              <w:jc w:val="both"/>
              <w:textAlignment w:val="bottom"/>
              <w:rPr>
                <w:rFonts w:hint="eastAsia" w:ascii="宋体" w:hAnsi="宋体" w:eastAsia="宋体" w:cs="宋体"/>
                <w:i w:val="0"/>
                <w:iCs w:val="0"/>
                <w:color w:val="000000"/>
                <w:sz w:val="30"/>
                <w:szCs w:val="30"/>
                <w:u w:val="none"/>
              </w:rPr>
            </w:pPr>
            <w:r>
              <w:rPr>
                <w:rFonts w:hint="eastAsia" w:ascii="宋体" w:hAnsi="宋体" w:cs="宋体"/>
                <w:i w:val="0"/>
                <w:iCs w:val="0"/>
                <w:color w:val="000000"/>
                <w:kern w:val="0"/>
                <w:sz w:val="30"/>
                <w:szCs w:val="30"/>
                <w:u w:val="none"/>
                <w:lang w:val="en-US" w:eastAsia="zh-CN"/>
              </w:rPr>
              <w:t>　　　　　　　　　　　　　　　</w:t>
            </w: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5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3"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58"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3"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095" w:type="dxa"/>
            <w:gridSpan w:val="6"/>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58"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6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78"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61"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6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82"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79"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一般公共预算财政拨款</w:t>
            </w:r>
          </w:p>
        </w:tc>
        <w:tc>
          <w:tcPr>
            <w:tcW w:w="991"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政府性基金预算财政拨款</w:t>
            </w:r>
          </w:p>
        </w:tc>
        <w:tc>
          <w:tcPr>
            <w:tcW w:w="1613"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58"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6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561"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6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2"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1"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6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6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6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7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9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13"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7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80.90</w:t>
            </w: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08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103.24</w:t>
            </w:r>
          </w:p>
        </w:tc>
        <w:tc>
          <w:tcPr>
            <w:tcW w:w="12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103.24</w:t>
            </w: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08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12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08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2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7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80.90</w:t>
            </w:r>
          </w:p>
        </w:tc>
        <w:tc>
          <w:tcPr>
            <w:tcW w:w="356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08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114.97</w:t>
            </w:r>
          </w:p>
        </w:tc>
        <w:tc>
          <w:tcPr>
            <w:tcW w:w="12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114.97</w:t>
            </w: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7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34.08</w:t>
            </w:r>
          </w:p>
        </w:tc>
        <w:tc>
          <w:tcPr>
            <w:tcW w:w="3561"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7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34.08</w:t>
            </w:r>
          </w:p>
        </w:tc>
        <w:tc>
          <w:tcPr>
            <w:tcW w:w="3561"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7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0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58"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69" w:type="dxa"/>
            <w:tcBorders>
              <w:top w:val="nil"/>
              <w:left w:val="nil"/>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07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114.97</w:t>
            </w:r>
          </w:p>
        </w:tc>
        <w:tc>
          <w:tcPr>
            <w:tcW w:w="356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08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114.97</w:t>
            </w:r>
          </w:p>
        </w:tc>
        <w:tc>
          <w:tcPr>
            <w:tcW w:w="127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114.97</w:t>
            </w:r>
          </w:p>
        </w:tc>
        <w:tc>
          <w:tcPr>
            <w:tcW w:w="99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00" w:type="dxa"/>
            <w:gridSpan w:val="9"/>
            <w:tcBorders>
              <w:top w:val="nil"/>
              <w:left w:val="nil"/>
              <w:bottom w:val="nil"/>
              <w:right w:val="nil"/>
            </w:tcBorders>
            <w:vAlign w:val="center"/>
          </w:tcPr>
          <w:p>
            <w:pPr>
              <w:rPr>
                <w:rFonts w:hint="eastAsia"/>
              </w:rPr>
            </w:pPr>
            <w:r>
              <w:rPr>
                <w:rFonts w:hint="eastAsia"/>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tc>
      </w:tr>
    </w:tbl>
    <w:p>
      <w:pPr>
        <w:widowControl/>
        <w:jc w:val="both"/>
        <w:textAlignment w:val="bottom"/>
        <w:rPr>
          <w:rFonts w:hint="eastAsia" w:ascii="宋体" w:hAnsi="宋体" w:cs="宋体"/>
          <w:i w:val="0"/>
          <w:iCs w:val="0"/>
          <w:color w:val="000000"/>
          <w:kern w:val="0"/>
          <w:sz w:val="30"/>
          <w:szCs w:val="30"/>
          <w:u w:val="none"/>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W w:w="13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9"/>
        <w:gridCol w:w="222"/>
        <w:gridCol w:w="222"/>
        <w:gridCol w:w="4765"/>
        <w:gridCol w:w="1721"/>
        <w:gridCol w:w="1589"/>
        <w:gridCol w:w="2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84" w:type="dxa"/>
            <w:gridSpan w:val="7"/>
            <w:tcBorders>
              <w:top w:val="nil"/>
              <w:left w:val="nil"/>
              <w:bottom w:val="nil"/>
              <w:right w:val="nil"/>
            </w:tcBorders>
            <w:shd w:val="clear" w:color="auto" w:fill="FFFFFF"/>
            <w:vAlign w:val="bottom"/>
          </w:tcPr>
          <w:p>
            <w:pPr>
              <w:widowControl/>
              <w:jc w:val="both"/>
              <w:textAlignment w:val="bottom"/>
              <w:rPr>
                <w:rFonts w:hint="eastAsia" w:ascii="宋体" w:hAnsi="宋体" w:eastAsia="宋体" w:cs="宋体"/>
                <w:i w:val="0"/>
                <w:iCs w:val="0"/>
                <w:color w:val="000000"/>
                <w:sz w:val="30"/>
                <w:szCs w:val="30"/>
                <w:u w:val="none"/>
              </w:rPr>
            </w:pPr>
            <w:r>
              <w:rPr>
                <w:rFonts w:hint="eastAsia" w:ascii="宋体" w:hAnsi="宋体" w:cs="宋体"/>
                <w:i w:val="0"/>
                <w:iCs w:val="0"/>
                <w:color w:val="000000"/>
                <w:kern w:val="0"/>
                <w:sz w:val="30"/>
                <w:szCs w:val="30"/>
                <w:u w:val="none"/>
                <w:lang w:val="en-US" w:eastAsia="zh-CN"/>
              </w:rPr>
              <w:t>　　　　　　　　　　　　　　　</w:t>
            </w: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09"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76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72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5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456"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09"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76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72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5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456"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66"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765"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721"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58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45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253"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76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21"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5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76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21"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5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8"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7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45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8"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114.97</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114.97</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103.24</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103.24</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2010650</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102.77</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8.40</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76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7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58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3"/>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4765"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7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8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4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4" w:type="dxa"/>
            <w:gridSpan w:val="7"/>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widowControl/>
        <w:jc w:val="center"/>
        <w:textAlignment w:val="bottom"/>
        <w:rPr>
          <w:rFonts w:hint="eastAsia" w:ascii="宋体" w:hAnsi="宋体" w:eastAsia="宋体" w:cs="宋体"/>
          <w:i w:val="0"/>
          <w:iCs w:val="0"/>
          <w:color w:val="000000"/>
          <w:kern w:val="0"/>
          <w:sz w:val="30"/>
          <w:szCs w:val="30"/>
          <w:u w:val="none"/>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W w:w="139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6"/>
        <w:gridCol w:w="2619"/>
        <w:gridCol w:w="985"/>
        <w:gridCol w:w="303"/>
        <w:gridCol w:w="741"/>
        <w:gridCol w:w="1489"/>
        <w:gridCol w:w="983"/>
        <w:gridCol w:w="977"/>
        <w:gridCol w:w="2454"/>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3" w:type="dxa"/>
            <w:gridSpan w:val="10"/>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36"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61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88"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83"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77"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960" w:type="dxa"/>
            <w:gridSpan w:val="2"/>
            <w:tcBorders>
              <w:top w:val="nil"/>
              <w:left w:val="nil"/>
              <w:bottom w:val="nil"/>
              <w:right w:val="nil"/>
            </w:tcBorders>
            <w:shd w:val="clear" w:color="auto" w:fill="FFFFFF"/>
            <w:vAlign w:val="bottom"/>
          </w:tcPr>
          <w:p>
            <w:pPr>
              <w:jc w:val="right"/>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5"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98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44"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83"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77"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960"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453" w:type="dxa"/>
            <w:gridSpan w:val="7"/>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61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85"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1044"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48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83"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9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54"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0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61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44"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8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83"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7"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5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0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工资福利支出</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93.31</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商品和服务支出</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18.46</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债务利息及费用支出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基本工资</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35.11</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办公费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0.51</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国内债务付息</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津贴补贴</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印刷费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国外债务付息</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奖金</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26.95</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咨询费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资本性支出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伙食补助费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手续费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房屋建筑物购建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绩效工资</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5.77</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水费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办公设备购置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机关事业单位基本养老保险缴费</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5.20</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电费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专用设备购置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职业年金缴费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邮电费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0.24</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基础设施建设</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职工基本医疗保险缴费</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3.34</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取暖费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大型修缮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公务员医疗补助缴费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物业管理费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9.60</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信息网络及软件购置更新</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其他社会保障缴费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差旅费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2.79</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物资储备</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住房公积金</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6.80</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因公出国（境）费用</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土地补偿</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医疗费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维修（护）费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安置补助</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其他工资福利支出</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8.16</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租赁费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w:t>
            </w:r>
            <w:bookmarkStart w:id="0" w:name="_GoBack"/>
            <w:bookmarkEnd w:id="0"/>
            <w:r>
              <w:rPr>
                <w:rFonts w:hint="eastAsia"/>
                <w:lang w:val="en-US" w:eastAsia="zh-CN"/>
              </w:rPr>
              <w:t>地上附着物和青苗补偿</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对个人和家庭的补助</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会议费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0.05</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拆迁补偿</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离休费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培训费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公务用车购置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退休费</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公务接待费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其他交通工具购置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退职（役）费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专用材料费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文物和陈列品购置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抚恤金</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被装购置费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无形资产购置</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生活补助</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专用燃料费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其他资本性支出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救济费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劳务费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其他支出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医疗费补助</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委托业务费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赠与</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助学金</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工会经费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0.47</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国家赔偿费用支出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奖励金</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福利费</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0.22</w:t>
            </w: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对民间非营利组织和群众性自治组织补贴</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个人农业生产补贴</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公务用车运行维护费</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其他支出</w:t>
            </w: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代缴社会保险费</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其他交通费用</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其他对个人和家庭的补助</w:t>
            </w: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税金及附加费用</w:t>
            </w:r>
          </w:p>
        </w:tc>
        <w:tc>
          <w:tcPr>
            <w:tcW w:w="98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7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6"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619" w:type="dxa"/>
            <w:tcBorders>
              <w:top w:val="nil"/>
              <w:left w:val="nil"/>
              <w:bottom w:val="single" w:color="000000" w:sz="4" w:space="0"/>
              <w:right w:val="single" w:color="000000" w:sz="4" w:space="0"/>
            </w:tcBorders>
            <w:shd w:val="clear" w:color="auto" w:fill="FFFFFF"/>
            <w:vAlign w:val="center"/>
          </w:tcPr>
          <w:p>
            <w:pPr>
              <w:rPr>
                <w:rFonts w:hint="eastAsia"/>
              </w:rPr>
            </w:pPr>
          </w:p>
        </w:tc>
        <w:tc>
          <w:tcPr>
            <w:tcW w:w="98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44"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489"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 xml:space="preserve">  其他商品和服务支出</w:t>
            </w:r>
          </w:p>
        </w:tc>
        <w:tc>
          <w:tcPr>
            <w:tcW w:w="98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4.58</w:t>
            </w:r>
          </w:p>
        </w:tc>
        <w:tc>
          <w:tcPr>
            <w:tcW w:w="97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454" w:type="dxa"/>
            <w:tcBorders>
              <w:top w:val="nil"/>
              <w:left w:val="nil"/>
              <w:bottom w:val="single" w:color="000000" w:sz="4" w:space="0"/>
              <w:right w:val="single" w:color="000000" w:sz="4" w:space="0"/>
            </w:tcBorders>
            <w:shd w:val="clear" w:color="auto" w:fill="FFFFFF"/>
            <w:vAlign w:val="center"/>
          </w:tcPr>
          <w:p>
            <w:pPr>
              <w:rPr>
                <w:rFonts w:hint="eastAsia"/>
              </w:rPr>
            </w:pPr>
          </w:p>
        </w:tc>
        <w:tc>
          <w:tcPr>
            <w:tcW w:w="150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5"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98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96.52</w:t>
            </w:r>
          </w:p>
        </w:tc>
        <w:tc>
          <w:tcPr>
            <w:tcW w:w="6947"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50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3" w:type="dxa"/>
            <w:gridSpan w:val="10"/>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pStyle w:val="2"/>
        <w:tabs>
          <w:tab w:val="left" w:pos="207"/>
        </w:tabs>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ab/>
      </w:r>
    </w:p>
    <w:p>
      <w:pPr>
        <w:pStyle w:val="2"/>
        <w:tabs>
          <w:tab w:val="left" w:pos="207"/>
        </w:tabs>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p>
    <w:tbl>
      <w:tblPr>
        <w:tblStyle w:val="10"/>
        <w:tblW w:w="13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1305"/>
        <w:gridCol w:w="887"/>
        <w:gridCol w:w="871"/>
        <w:gridCol w:w="871"/>
        <w:gridCol w:w="823"/>
        <w:gridCol w:w="835"/>
        <w:gridCol w:w="1410"/>
        <w:gridCol w:w="835"/>
        <w:gridCol w:w="800"/>
        <w:gridCol w:w="82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97" w:type="dxa"/>
            <w:gridSpan w:val="12"/>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130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7"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23"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130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7"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23"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7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324" w:type="dxa"/>
            <w:gridSpan w:val="6"/>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vMerge w:val="restart"/>
            <w:tcBorders>
              <w:top w:val="nil"/>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合计</w:t>
            </w:r>
          </w:p>
        </w:tc>
        <w:tc>
          <w:tcPr>
            <w:tcW w:w="1305"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因公出国（境）费</w:t>
            </w:r>
          </w:p>
        </w:tc>
        <w:tc>
          <w:tcPr>
            <w:tcW w:w="2629" w:type="dxa"/>
            <w:gridSpan w:val="3"/>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公务用车购置及运行费</w:t>
            </w:r>
          </w:p>
        </w:tc>
        <w:tc>
          <w:tcPr>
            <w:tcW w:w="823"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公务接待费</w:t>
            </w:r>
          </w:p>
        </w:tc>
        <w:tc>
          <w:tcPr>
            <w:tcW w:w="835"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合计</w:t>
            </w:r>
          </w:p>
        </w:tc>
        <w:tc>
          <w:tcPr>
            <w:tcW w:w="1410"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因公出国（境）费</w:t>
            </w:r>
          </w:p>
        </w:tc>
        <w:tc>
          <w:tcPr>
            <w:tcW w:w="2463" w:type="dxa"/>
            <w:gridSpan w:val="3"/>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公务用车购置及运行费</w:t>
            </w:r>
          </w:p>
        </w:tc>
        <w:tc>
          <w:tcPr>
            <w:tcW w:w="1616"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1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小计</w:t>
            </w:r>
          </w:p>
        </w:tc>
        <w:tc>
          <w:tcPr>
            <w:tcW w:w="871"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公务用车购置费</w:t>
            </w:r>
          </w:p>
        </w:tc>
        <w:tc>
          <w:tcPr>
            <w:tcW w:w="871"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公务用车运行费</w:t>
            </w:r>
          </w:p>
        </w:tc>
        <w:tc>
          <w:tcPr>
            <w:tcW w:w="823" w:type="dxa"/>
            <w:vMerge w:val="continue"/>
            <w:tcBorders>
              <w:top w:val="nil"/>
              <w:left w:val="nil"/>
              <w:bottom w:val="single" w:color="000000" w:sz="4" w:space="0"/>
              <w:right w:val="single" w:color="000000" w:sz="4" w:space="0"/>
            </w:tcBorders>
            <w:shd w:val="clear" w:color="auto" w:fill="FFFFFF"/>
            <w:vAlign w:val="center"/>
          </w:tcPr>
          <w:p>
            <w:pPr>
              <w:rPr>
                <w:rFonts w:hint="eastAsia"/>
              </w:rPr>
            </w:pPr>
          </w:p>
        </w:tc>
        <w:tc>
          <w:tcPr>
            <w:tcW w:w="835" w:type="dxa"/>
            <w:vMerge w:val="continue"/>
            <w:tcBorders>
              <w:top w:val="nil"/>
              <w:left w:val="nil"/>
              <w:bottom w:val="single" w:color="000000" w:sz="4" w:space="0"/>
              <w:right w:val="single" w:color="000000" w:sz="4" w:space="0"/>
            </w:tcBorders>
            <w:shd w:val="clear" w:color="auto" w:fill="FFFFFF"/>
            <w:vAlign w:val="center"/>
          </w:tcPr>
          <w:p>
            <w:pPr>
              <w:rPr>
                <w:rFonts w:hint="eastAsia"/>
              </w:rPr>
            </w:pPr>
          </w:p>
        </w:tc>
        <w:tc>
          <w:tcPr>
            <w:tcW w:w="1410" w:type="dxa"/>
            <w:vMerge w:val="continue"/>
            <w:tcBorders>
              <w:top w:val="nil"/>
              <w:left w:val="nil"/>
              <w:bottom w:val="single" w:color="000000" w:sz="4" w:space="0"/>
              <w:right w:val="single" w:color="000000" w:sz="4" w:space="0"/>
            </w:tcBorders>
            <w:shd w:val="clear" w:color="auto" w:fill="FFFFFF"/>
            <w:vAlign w:val="center"/>
          </w:tcPr>
          <w:p>
            <w:pPr>
              <w:rPr>
                <w:rFonts w:hint="eastAsia"/>
              </w:rPr>
            </w:pPr>
          </w:p>
        </w:tc>
        <w:tc>
          <w:tcPr>
            <w:tcW w:w="835"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小计</w:t>
            </w:r>
          </w:p>
        </w:tc>
        <w:tc>
          <w:tcPr>
            <w:tcW w:w="800"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公务用车购置费</w:t>
            </w:r>
          </w:p>
        </w:tc>
        <w:tc>
          <w:tcPr>
            <w:tcW w:w="828" w:type="dxa"/>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公务用车运行费</w:t>
            </w:r>
          </w:p>
        </w:tc>
        <w:tc>
          <w:tcPr>
            <w:tcW w:w="161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0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87"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23"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1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8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2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61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2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97" w:type="dxa"/>
            <w:gridSpan w:val="12"/>
            <w:tcBorders>
              <w:top w:val="nil"/>
              <w:left w:val="nil"/>
              <w:bottom w:val="nil"/>
              <w:right w:val="nil"/>
            </w:tcBorders>
            <w:shd w:val="clear" w:color="auto" w:fill="FFFFFF"/>
            <w:vAlign w:val="center"/>
          </w:tcPr>
          <w:p>
            <w:pPr>
              <w:rPr>
                <w:rFonts w:hint="eastAsia"/>
              </w:rPr>
            </w:pPr>
            <w:r>
              <w:rPr>
                <w:rFonts w:hint="eastAsia"/>
                <w:lang w:val="en-US" w:eastAsia="zh-CN"/>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说明：我单位没有预算安排的三公收入，也没有预算安排的三公支出，故本表无数据。</w:t>
      </w:r>
    </w:p>
    <w:p>
      <w:pPr>
        <w:rPr>
          <w:rFonts w:hint="eastAsia" w:ascii="黑体" w:hAnsi="黑体" w:eastAsia="黑体" w:cs="黑体"/>
          <w:color w:val="auto"/>
          <w:sz w:val="32"/>
          <w:szCs w:val="32"/>
          <w:highlight w:val="none"/>
        </w:rPr>
      </w:pPr>
      <w:r>
        <w:rPr>
          <w:rFonts w:hint="eastAsia" w:ascii="仿宋_GB2312" w:hAnsi="仿宋_GB2312" w:eastAsia="仿宋_GB2312" w:cs="仿宋_GB2312"/>
          <w:sz w:val="32"/>
          <w:szCs w:val="32"/>
          <w:highlight w:val="none"/>
          <w:lang w:val="en-US" w:eastAsia="zh-CN"/>
        </w:rPr>
        <w:br w:type="page"/>
      </w:r>
    </w:p>
    <w:tbl>
      <w:tblPr>
        <w:tblStyle w:val="10"/>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6"/>
        <w:gridCol w:w="299"/>
        <w:gridCol w:w="299"/>
        <w:gridCol w:w="1423"/>
        <w:gridCol w:w="1081"/>
        <w:gridCol w:w="1022"/>
        <w:gridCol w:w="1018"/>
        <w:gridCol w:w="1000"/>
        <w:gridCol w:w="1000"/>
        <w:gridCol w:w="2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95" w:type="dxa"/>
            <w:gridSpan w:val="10"/>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6"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9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9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23"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8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1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757"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6"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：许昌市注册会计师协会</w:t>
            </w:r>
          </w:p>
        </w:tc>
        <w:tc>
          <w:tcPr>
            <w:tcW w:w="29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9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23"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8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1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757"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1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项目</w:t>
            </w:r>
          </w:p>
        </w:tc>
        <w:tc>
          <w:tcPr>
            <w:tcW w:w="1081" w:type="dxa"/>
            <w:vMerge w:val="restart"/>
            <w:tcBorders>
              <w:top w:val="single" w:color="000000" w:sz="4" w:space="0"/>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年初结转和结余</w:t>
            </w:r>
          </w:p>
        </w:tc>
        <w:tc>
          <w:tcPr>
            <w:tcW w:w="1022" w:type="dxa"/>
            <w:vMerge w:val="restart"/>
            <w:tcBorders>
              <w:top w:val="single" w:color="000000" w:sz="4" w:space="0"/>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本年收入</w:t>
            </w:r>
          </w:p>
        </w:tc>
        <w:tc>
          <w:tcPr>
            <w:tcW w:w="3018" w:type="dxa"/>
            <w:gridSpan w:val="3"/>
            <w:tcBorders>
              <w:top w:val="single" w:color="000000" w:sz="4" w:space="0"/>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本年支出</w:t>
            </w:r>
          </w:p>
        </w:tc>
        <w:tc>
          <w:tcPr>
            <w:tcW w:w="2757" w:type="dxa"/>
            <w:vMerge w:val="restart"/>
            <w:tcBorders>
              <w:top w:val="single" w:color="000000" w:sz="4" w:space="0"/>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4"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功能分类科目编码</w:t>
            </w:r>
          </w:p>
        </w:tc>
        <w:tc>
          <w:tcPr>
            <w:tcW w:w="1423"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科目名称</w:t>
            </w:r>
          </w:p>
        </w:tc>
        <w:tc>
          <w:tcPr>
            <w:tcW w:w="1081"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hint="eastAsia"/>
              </w:rPr>
            </w:pPr>
          </w:p>
        </w:tc>
        <w:tc>
          <w:tcPr>
            <w:tcW w:w="1022"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hint="eastAsia"/>
              </w:rPr>
            </w:pPr>
          </w:p>
        </w:tc>
        <w:tc>
          <w:tcPr>
            <w:tcW w:w="1018"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小计</w:t>
            </w:r>
          </w:p>
        </w:tc>
        <w:tc>
          <w:tcPr>
            <w:tcW w:w="1000"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基本支出</w:t>
            </w:r>
          </w:p>
        </w:tc>
        <w:tc>
          <w:tcPr>
            <w:tcW w:w="1000" w:type="dxa"/>
            <w:vMerge w:val="restart"/>
            <w:tcBorders>
              <w:top w:val="nil"/>
              <w:left w:val="nil"/>
              <w:bottom w:val="single" w:color="000000" w:sz="4" w:space="0"/>
              <w:right w:val="single" w:color="000000" w:sz="4" w:space="0"/>
            </w:tcBorders>
            <w:shd w:val="clear" w:color="auto" w:fill="FFFFFF"/>
            <w:vAlign w:val="center"/>
          </w:tcPr>
          <w:p>
            <w:pPr>
              <w:rPr>
                <w:rFonts w:hint="eastAsia"/>
              </w:rPr>
            </w:pPr>
            <w:r>
              <w:rPr>
                <w:rFonts w:hint="eastAsia"/>
                <w:lang w:val="en-US" w:eastAsia="zh-CN"/>
              </w:rPr>
              <w:t>项目支出</w:t>
            </w:r>
          </w:p>
        </w:tc>
        <w:tc>
          <w:tcPr>
            <w:tcW w:w="2757"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4"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23"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757"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4"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23"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757"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17"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08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2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1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757"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17"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8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275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4" w:type="dxa"/>
            <w:gridSpan w:val="3"/>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423"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1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75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5" w:type="dxa"/>
            <w:gridSpan w:val="10"/>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40"/>
          <w:szCs w:val="40"/>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ind w:firstLine="960" w:firstLineChars="300"/>
        <w:jc w:val="both"/>
        <w:outlineLvl w:val="0"/>
        <w:rPr>
          <w:rFonts w:hint="eastAsia" w:ascii="方正黑体_GBK" w:hAnsi="方正黑体_GBK" w:eastAsia="方正黑体_GBK" w:cs="方正黑体_GBK"/>
          <w:sz w:val="32"/>
          <w:szCs w:val="32"/>
          <w:lang w:val="en-US" w:eastAsia="zh-CN"/>
        </w:rPr>
      </w:pPr>
      <w:r>
        <w:rPr>
          <w:rFonts w:hint="eastAsia" w:ascii="宋体" w:hAnsi="宋体"/>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p>
    <w:p>
      <w:pPr>
        <w:ind w:firstLine="960" w:firstLineChars="300"/>
        <w:jc w:val="both"/>
        <w:outlineLvl w:val="0"/>
        <w:rPr>
          <w:rFonts w:hint="eastAsia" w:ascii="方正黑体_GBK" w:hAnsi="方正黑体_GBK" w:eastAsia="方正黑体_GBK" w:cs="方正黑体_GBK"/>
          <w:sz w:val="32"/>
          <w:szCs w:val="32"/>
          <w:lang w:val="en-US" w:eastAsia="zh-CN"/>
        </w:rPr>
      </w:pPr>
    </w:p>
    <w:p>
      <w:pPr>
        <w:ind w:firstLine="960" w:firstLineChars="300"/>
        <w:jc w:val="both"/>
        <w:outlineLvl w:val="0"/>
        <w:rPr>
          <w:rFonts w:hint="eastAsia" w:ascii="方正黑体_GBK" w:hAnsi="方正黑体_GBK" w:eastAsia="方正黑体_GBK" w:cs="方正黑体_GBK"/>
          <w:sz w:val="32"/>
          <w:szCs w:val="32"/>
          <w:lang w:val="en-US" w:eastAsia="zh-CN"/>
        </w:rPr>
      </w:pPr>
    </w:p>
    <w:p>
      <w:pPr>
        <w:ind w:firstLine="960" w:firstLineChars="300"/>
        <w:jc w:val="both"/>
        <w:outlineLvl w:val="0"/>
        <w:rPr>
          <w:rFonts w:hint="eastAsia" w:ascii="方正黑体_GBK" w:hAnsi="方正黑体_GBK" w:eastAsia="方正黑体_GBK" w:cs="方正黑体_GBK"/>
          <w:sz w:val="32"/>
          <w:szCs w:val="32"/>
          <w:lang w:val="en-US" w:eastAsia="zh-CN"/>
        </w:rPr>
      </w:pPr>
    </w:p>
    <w:p>
      <w:pPr>
        <w:ind w:firstLine="960" w:firstLineChars="300"/>
        <w:jc w:val="both"/>
        <w:outlineLvl w:val="0"/>
        <w:rPr>
          <w:rFonts w:hint="eastAsia" w:ascii="方正黑体_GBK" w:hAnsi="方正黑体_GBK" w:eastAsia="方正黑体_GBK" w:cs="方正黑体_GBK"/>
          <w:sz w:val="32"/>
          <w:szCs w:val="32"/>
          <w:lang w:val="en-US" w:eastAsia="zh-CN"/>
        </w:rPr>
      </w:pPr>
    </w:p>
    <w:p>
      <w:pPr>
        <w:ind w:firstLine="960" w:firstLineChars="300"/>
        <w:jc w:val="both"/>
        <w:outlineLvl w:val="0"/>
        <w:rPr>
          <w:rFonts w:hint="eastAsia" w:ascii="方正黑体_GBK" w:hAnsi="方正黑体_GBK" w:eastAsia="方正黑体_GBK" w:cs="方正黑体_GBK"/>
          <w:sz w:val="32"/>
          <w:szCs w:val="32"/>
          <w:lang w:val="en-US" w:eastAsia="zh-CN"/>
        </w:rPr>
      </w:pPr>
    </w:p>
    <w:p>
      <w:pPr>
        <w:ind w:firstLine="960" w:firstLineChars="300"/>
        <w:jc w:val="both"/>
        <w:outlineLvl w:val="0"/>
        <w:rPr>
          <w:rFonts w:hint="eastAsia" w:ascii="方正黑体_GBK" w:hAnsi="方正黑体_GBK" w:eastAsia="方正黑体_GBK" w:cs="方正黑体_GBK"/>
          <w:sz w:val="32"/>
          <w:szCs w:val="32"/>
          <w:lang w:val="en-US" w:eastAsia="zh-CN"/>
        </w:rPr>
      </w:pPr>
    </w:p>
    <w:p>
      <w:pPr>
        <w:ind w:firstLine="960" w:firstLineChars="300"/>
        <w:jc w:val="both"/>
        <w:outlineLvl w:val="0"/>
        <w:rPr>
          <w:rFonts w:hint="eastAsia" w:ascii="方正黑体_GBK" w:hAnsi="方正黑体_GBK" w:eastAsia="方正黑体_GBK" w:cs="方正黑体_GBK"/>
          <w:sz w:val="32"/>
          <w:szCs w:val="32"/>
          <w:lang w:val="en-US" w:eastAsia="zh-CN"/>
        </w:rPr>
      </w:pP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第三部分 2021年度单位决算情况说明</w:t>
      </w: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jc w:val="left"/>
        <w:rPr>
          <w:rFonts w:hint="eastAsia" w:ascii="宋体" w:hAnsi="宋体"/>
          <w:sz w:val="32"/>
          <w:szCs w:val="32"/>
          <w:lang w:val="zh-CN"/>
        </w:rPr>
      </w:pP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一、收入支出决算总体情况说明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年度收、支总计均为</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万元。与上年度相比，收、支总计各减少</w:t>
      </w:r>
      <w:r>
        <w:rPr>
          <w:rFonts w:hint="eastAsia" w:ascii="仿宋_GB2312" w:hAnsi="仿宋_GB2312" w:eastAsia="仿宋_GB2312" w:cs="仿宋_GB2312"/>
          <w:sz w:val="32"/>
          <w:szCs w:val="32"/>
          <w:lang w:val="en-US" w:eastAsia="zh-CN"/>
        </w:rPr>
        <w:t>8.54</w:t>
      </w:r>
      <w:r>
        <w:rPr>
          <w:rFonts w:hint="eastAsia" w:ascii="仿宋_GB2312" w:hAnsi="仿宋_GB2312" w:eastAsia="仿宋_GB2312" w:cs="仿宋_GB2312"/>
          <w:sz w:val="32"/>
          <w:szCs w:val="32"/>
          <w:lang w:val="zh-CN"/>
        </w:rPr>
        <w:t>万元，下降</w:t>
      </w:r>
      <w:r>
        <w:rPr>
          <w:rFonts w:hint="eastAsia" w:ascii="仿宋_GB2312" w:hAnsi="仿宋_GB2312" w:eastAsia="仿宋_GB2312" w:cs="仿宋_GB2312"/>
          <w:sz w:val="32"/>
          <w:szCs w:val="32"/>
          <w:lang w:val="en-US" w:eastAsia="zh-CN"/>
        </w:rPr>
        <w:t>6.91</w:t>
      </w:r>
      <w:r>
        <w:rPr>
          <w:rFonts w:hint="eastAsia" w:ascii="仿宋_GB2312" w:hAnsi="仿宋_GB2312" w:eastAsia="仿宋_GB2312" w:cs="仿宋_GB2312"/>
          <w:sz w:val="32"/>
          <w:szCs w:val="32"/>
          <w:lang w:val="zh-CN"/>
        </w:rPr>
        <w:t>%。主要原因</w:t>
      </w:r>
      <w:r>
        <w:rPr>
          <w:rFonts w:hint="eastAsia" w:ascii="仿宋_GB2312" w:hAnsi="仿宋_GB2312" w:eastAsia="仿宋_GB2312" w:cs="仿宋_GB2312"/>
          <w:sz w:val="32"/>
          <w:szCs w:val="32"/>
          <w:lang w:val="zh-CN" w:eastAsia="zh-CN"/>
        </w:rPr>
        <w:t>是经费缩减等</w:t>
      </w:r>
      <w:r>
        <w:rPr>
          <w:rFonts w:hint="eastAsia" w:ascii="仿宋_GB2312" w:hAnsi="仿宋_GB2312" w:eastAsia="仿宋_GB2312" w:cs="仿宋_GB2312"/>
          <w:sz w:val="32"/>
          <w:szCs w:val="32"/>
          <w:lang w:val="zh-CN"/>
        </w:rPr>
        <w:t>。</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二、收入决算情况说明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年度收入合计</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lang w:val="zh-CN"/>
        </w:rPr>
        <w:t>万元，其中：财政拨款收入</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lang w:val="zh-CN"/>
        </w:rPr>
        <w:t>万元，占100%；上级补助收入0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万元；事业收入0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万元；经营收入0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万元；附属单位上缴收入0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万元；其他收入0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三、支出决算情况说明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年度支出合计</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万元，其中：基本支出</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%；项目支出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万元；上缴上级支出0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万元；经营支出0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万元；对附属单位补助支出0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四、财政拨款收入支出决算总体情况说明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年度财政拨款收、支总计均为</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万元。与上年度相比，财政拨款收、支总计各减少</w:t>
      </w:r>
      <w:r>
        <w:rPr>
          <w:rFonts w:hint="eastAsia" w:ascii="仿宋_GB2312" w:hAnsi="仿宋_GB2312" w:eastAsia="仿宋_GB2312" w:cs="仿宋_GB2312"/>
          <w:sz w:val="32"/>
          <w:szCs w:val="32"/>
          <w:lang w:val="en-US" w:eastAsia="zh-CN"/>
        </w:rPr>
        <w:t>8.54</w:t>
      </w:r>
      <w:r>
        <w:rPr>
          <w:rFonts w:hint="eastAsia" w:ascii="仿宋_GB2312" w:hAnsi="仿宋_GB2312" w:eastAsia="仿宋_GB2312" w:cs="仿宋_GB2312"/>
          <w:sz w:val="32"/>
          <w:szCs w:val="32"/>
          <w:lang w:val="zh-CN"/>
        </w:rPr>
        <w:t>万元，下降</w:t>
      </w:r>
      <w:r>
        <w:rPr>
          <w:rFonts w:hint="eastAsia" w:ascii="仿宋_GB2312" w:hAnsi="仿宋_GB2312" w:eastAsia="仿宋_GB2312" w:cs="仿宋_GB2312"/>
          <w:sz w:val="32"/>
          <w:szCs w:val="32"/>
          <w:lang w:val="en-US" w:eastAsia="zh-CN"/>
        </w:rPr>
        <w:t>6.91</w:t>
      </w:r>
      <w:r>
        <w:rPr>
          <w:rFonts w:hint="eastAsia" w:ascii="仿宋_GB2312" w:hAnsi="仿宋_GB2312" w:eastAsia="仿宋_GB2312" w:cs="仿宋_GB2312"/>
          <w:sz w:val="32"/>
          <w:szCs w:val="32"/>
          <w:lang w:val="zh-CN"/>
        </w:rPr>
        <w:t>%。主要原因是经费缩减、</w:t>
      </w:r>
      <w:r>
        <w:rPr>
          <w:rFonts w:hint="eastAsia" w:ascii="仿宋_GB2312" w:hAnsi="仿宋_GB2312" w:eastAsia="仿宋_GB2312" w:cs="仿宋_GB2312"/>
          <w:sz w:val="32"/>
          <w:szCs w:val="32"/>
          <w:lang w:val="zh-CN" w:eastAsia="zh-CN"/>
        </w:rPr>
        <w:t>相关业务开展减少</w:t>
      </w:r>
      <w:r>
        <w:rPr>
          <w:rFonts w:hint="eastAsia" w:ascii="仿宋_GB2312" w:hAnsi="仿宋_GB2312" w:eastAsia="仿宋_GB2312" w:cs="仿宋_GB2312"/>
          <w:sz w:val="32"/>
          <w:szCs w:val="32"/>
          <w:lang w:val="zh-CN"/>
        </w:rPr>
        <w:t>。</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五、一般公共预算财政拨款支出决算情况说明</w:t>
      </w:r>
    </w:p>
    <w:p>
      <w:pPr>
        <w:spacing w:before="0"/>
        <w:ind w:firstLine="640" w:firstLineChars="200"/>
        <w:jc w:val="left"/>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（一）总体情况。</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%。与上年度相比，一般公共预算财政拨款支出增加</w:t>
      </w:r>
      <w:r>
        <w:rPr>
          <w:rFonts w:hint="eastAsia" w:ascii="仿宋_GB2312" w:hAnsi="仿宋_GB2312" w:eastAsia="仿宋_GB2312" w:cs="仿宋_GB2312"/>
          <w:sz w:val="32"/>
          <w:szCs w:val="32"/>
          <w:lang w:val="en-US" w:eastAsia="zh-CN"/>
        </w:rPr>
        <w:t>32.25</w:t>
      </w:r>
      <w:r>
        <w:rPr>
          <w:rFonts w:hint="eastAsia" w:ascii="仿宋_GB2312" w:hAnsi="仿宋_GB2312" w:eastAsia="仿宋_GB2312" w:cs="仿宋_GB2312"/>
          <w:sz w:val="32"/>
          <w:szCs w:val="32"/>
          <w:lang w:val="zh-CN"/>
        </w:rPr>
        <w:t>万元，上涨</w:t>
      </w:r>
      <w:r>
        <w:rPr>
          <w:rFonts w:hint="eastAsia" w:ascii="仿宋_GB2312" w:hAnsi="仿宋_GB2312" w:eastAsia="仿宋_GB2312" w:cs="仿宋_GB2312"/>
          <w:sz w:val="32"/>
          <w:szCs w:val="32"/>
          <w:lang w:val="en-US" w:eastAsia="zh-CN"/>
        </w:rPr>
        <w:t>38.99</w:t>
      </w:r>
      <w:r>
        <w:rPr>
          <w:rFonts w:hint="eastAsia" w:ascii="仿宋_GB2312" w:hAnsi="仿宋_GB2312" w:eastAsia="仿宋_GB2312" w:cs="仿宋_GB2312"/>
          <w:sz w:val="32"/>
          <w:szCs w:val="32"/>
          <w:lang w:val="zh-CN"/>
        </w:rPr>
        <w:t>%。主要原因是在职人员晋级晋档及工资调整</w:t>
      </w:r>
      <w:r>
        <w:rPr>
          <w:rFonts w:hint="eastAsia" w:ascii="仿宋_GB2312" w:hAnsi="仿宋_GB2312" w:eastAsia="仿宋_GB2312" w:cs="仿宋_GB2312"/>
          <w:sz w:val="32"/>
          <w:szCs w:val="32"/>
          <w:lang w:val="en-US" w:eastAsia="zh-CN"/>
        </w:rPr>
        <w:t>,新转入1人</w:t>
      </w:r>
      <w:r>
        <w:rPr>
          <w:rFonts w:hint="eastAsia" w:ascii="仿宋_GB2312" w:hAnsi="仿宋_GB2312" w:eastAsia="仿宋_GB2312" w:cs="仿宋_GB2312"/>
          <w:sz w:val="32"/>
          <w:szCs w:val="32"/>
          <w:lang w:val="zh-CN"/>
        </w:rPr>
        <w:t>。</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（二）结构情况。</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万元，主要用于以下方面：一般公共服务（类）支出</w:t>
      </w:r>
      <w:r>
        <w:rPr>
          <w:rFonts w:hint="eastAsia" w:ascii="仿宋_GB2312" w:hAnsi="仿宋_GB2312" w:eastAsia="仿宋_GB2312" w:cs="仿宋_GB2312"/>
          <w:sz w:val="32"/>
          <w:szCs w:val="32"/>
          <w:lang w:val="en-US" w:eastAsia="zh-CN"/>
        </w:rPr>
        <w:t>103.24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89.79</w:t>
      </w:r>
      <w:r>
        <w:rPr>
          <w:rFonts w:hint="eastAsia" w:ascii="仿宋_GB2312" w:hAnsi="仿宋_GB2312" w:eastAsia="仿宋_GB2312" w:cs="仿宋_GB2312"/>
          <w:sz w:val="32"/>
          <w:szCs w:val="32"/>
          <w:lang w:val="zh-CN"/>
        </w:rPr>
        <w:t>%；社会保障和就业支出</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7.30</w:t>
      </w:r>
      <w:r>
        <w:rPr>
          <w:rFonts w:hint="eastAsia" w:ascii="仿宋_GB2312" w:hAnsi="仿宋_GB2312" w:eastAsia="仿宋_GB2312" w:cs="仿宋_GB2312"/>
          <w:sz w:val="32"/>
          <w:szCs w:val="32"/>
          <w:lang w:val="zh-CN"/>
        </w:rPr>
        <w:t>%；卫生健康支出</w:t>
      </w:r>
      <w:r>
        <w:rPr>
          <w:rFonts w:hint="eastAsia" w:ascii="仿宋_GB2312" w:hAnsi="仿宋_GB2312" w:eastAsia="仿宋_GB2312" w:cs="仿宋_GB2312"/>
          <w:sz w:val="32"/>
          <w:szCs w:val="32"/>
          <w:lang w:val="en-US" w:eastAsia="zh-CN"/>
        </w:rPr>
        <w:t>3.34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2.91</w:t>
      </w:r>
      <w:r>
        <w:rPr>
          <w:rFonts w:hint="eastAsia" w:ascii="仿宋_GB2312" w:hAnsi="仿宋_GB2312" w:eastAsia="仿宋_GB2312" w:cs="仿宋_GB2312"/>
          <w:sz w:val="32"/>
          <w:szCs w:val="32"/>
          <w:lang w:val="zh-CN"/>
        </w:rPr>
        <w:t>%。</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（三）具体情况。</w:t>
      </w:r>
    </w:p>
    <w:p>
      <w:pPr>
        <w:widowControl/>
        <w:spacing w:line="59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年度一般公共预算财政拨款支出年初预算为</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103.24</w:t>
      </w:r>
      <w:r>
        <w:rPr>
          <w:rFonts w:hint="eastAsia" w:ascii="仿宋_GB2312" w:hAnsi="仿宋_GB2312" w:eastAsia="仿宋_GB2312" w:cs="仿宋_GB2312"/>
          <w:sz w:val="32"/>
          <w:szCs w:val="32"/>
          <w:lang w:val="zh-CN"/>
        </w:rPr>
        <w:t>万元，完成年初预算的1</w:t>
      </w:r>
      <w:r>
        <w:rPr>
          <w:rFonts w:hint="eastAsia" w:ascii="仿宋_GB2312" w:hAnsi="仿宋_GB2312" w:eastAsia="仿宋_GB2312" w:cs="仿宋_GB2312"/>
          <w:sz w:val="32"/>
          <w:szCs w:val="32"/>
          <w:lang w:val="en-US" w:eastAsia="zh-CN"/>
        </w:rPr>
        <w:t>27.61</w:t>
      </w:r>
      <w:r>
        <w:rPr>
          <w:rFonts w:hint="eastAsia" w:ascii="仿宋_GB2312" w:hAnsi="仿宋_GB2312" w:eastAsia="仿宋_GB2312" w:cs="仿宋_GB2312"/>
          <w:sz w:val="32"/>
          <w:szCs w:val="32"/>
          <w:lang w:val="zh-CN"/>
        </w:rPr>
        <w:t>%。其中：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1．一般公共支出（类）财政事务（款）事业运行（项）。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102.77</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27.03</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事业支出跨</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2．一般公共支出（类）群众团体事务（款）工会事务（项）。</w:t>
      </w:r>
      <w:r>
        <w:rPr>
          <w:rFonts w:hint="eastAsia" w:ascii="仿宋_GB2312" w:hAnsi="仿宋_GB2312" w:eastAsia="仿宋_GB2312" w:cs="仿宋_GB2312"/>
          <w:sz w:val="32"/>
          <w:szCs w:val="32"/>
        </w:rPr>
        <w:t>年初预算为0.</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万元，支出决算为0.</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万元，完成年初预算的100%。</w:t>
      </w:r>
    </w:p>
    <w:p>
      <w:pPr>
        <w:widowControl/>
        <w:spacing w:line="590"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112.28</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公资计算差异及基数调整</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121.50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社保基数调整</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宋体" w:hAnsi="宋体"/>
          <w:sz w:val="32"/>
          <w:szCs w:val="32"/>
          <w:lang w:val="zh-CN"/>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138.59</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是医保基数调整</w:t>
      </w:r>
      <w:r>
        <w:rPr>
          <w:rFonts w:hint="eastAsia" w:ascii="仿宋_GB2312" w:hAnsi="仿宋_GB2312" w:eastAsia="仿宋_GB2312" w:cs="仿宋_GB2312"/>
          <w:sz w:val="32"/>
          <w:szCs w:val="32"/>
        </w:rPr>
        <w:t>。</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六、一般公共预算财政拨款基本支出决算情况说明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年度一般公共预算财政拨款基本支出</w:t>
      </w:r>
      <w:r>
        <w:rPr>
          <w:rFonts w:hint="eastAsia" w:ascii="仿宋_GB2312" w:hAnsi="仿宋_GB2312" w:eastAsia="仿宋_GB2312" w:cs="仿宋_GB2312"/>
          <w:sz w:val="32"/>
          <w:szCs w:val="32"/>
          <w:lang w:val="en-US" w:eastAsia="zh-CN"/>
        </w:rPr>
        <w:t>114.97</w:t>
      </w:r>
      <w:r>
        <w:rPr>
          <w:rFonts w:hint="eastAsia" w:ascii="仿宋_GB2312" w:hAnsi="仿宋_GB2312" w:eastAsia="仿宋_GB2312" w:cs="仿宋_GB2312"/>
          <w:sz w:val="32"/>
          <w:szCs w:val="32"/>
          <w:lang w:val="zh-CN"/>
        </w:rPr>
        <w:t>万元。其中：人员经费</w:t>
      </w:r>
      <w:r>
        <w:rPr>
          <w:rFonts w:hint="eastAsia" w:ascii="仿宋_GB2312" w:hAnsi="仿宋_GB2312" w:eastAsia="仿宋_GB2312" w:cs="仿宋_GB2312"/>
          <w:sz w:val="32"/>
          <w:szCs w:val="32"/>
          <w:lang w:val="en-US" w:eastAsia="zh-CN"/>
        </w:rPr>
        <w:t>96.52</w:t>
      </w:r>
      <w:r>
        <w:rPr>
          <w:rFonts w:hint="eastAsia" w:ascii="仿宋_GB2312" w:hAnsi="仿宋_GB2312" w:eastAsia="仿宋_GB2312" w:cs="仿宋_GB2312"/>
          <w:sz w:val="32"/>
          <w:szCs w:val="32"/>
          <w:lang w:val="zh-CN"/>
        </w:rPr>
        <w:t>万元，主要包括：基本工资、津贴补贴、奖金、绩效工资、机关事业单位基本养老保险缴费、</w:t>
      </w:r>
      <w:r>
        <w:rPr>
          <w:rFonts w:hint="eastAsia" w:ascii="仿宋_GB2312" w:hAnsi="仿宋_GB2312" w:eastAsia="仿宋_GB2312" w:cs="仿宋_GB2312"/>
          <w:sz w:val="32"/>
          <w:szCs w:val="32"/>
          <w:highlight w:val="none"/>
        </w:rPr>
        <w:t>职工基本医疗保险缴费、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lang w:val="zh-CN"/>
        </w:rPr>
        <w:t>其他工资福利支出、退休费；公用经费1</w:t>
      </w:r>
      <w:r>
        <w:rPr>
          <w:rFonts w:hint="eastAsia" w:ascii="仿宋_GB2312" w:hAnsi="仿宋_GB2312" w:eastAsia="仿宋_GB2312" w:cs="仿宋_GB2312"/>
          <w:sz w:val="32"/>
          <w:szCs w:val="32"/>
          <w:lang w:val="en-US" w:eastAsia="zh-CN"/>
        </w:rPr>
        <w:t>8.46</w:t>
      </w:r>
      <w:r>
        <w:rPr>
          <w:rFonts w:hint="eastAsia" w:ascii="仿宋_GB2312" w:hAnsi="仿宋_GB2312" w:eastAsia="仿宋_GB2312" w:cs="仿宋_GB2312"/>
          <w:sz w:val="32"/>
          <w:szCs w:val="32"/>
          <w:lang w:val="zh-CN"/>
        </w:rPr>
        <w:t>万元，主要包括：办公费、邮电费、物业管理费、差旅费、会议费、工会经费、福利费、其他商品和服务支出。</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七、一般公共预算财政拨款“三公”经费支出决算情况说明</w:t>
      </w:r>
    </w:p>
    <w:p>
      <w:pPr>
        <w:spacing w:before="0"/>
        <w:ind w:firstLine="640" w:firstLineChars="200"/>
        <w:jc w:val="left"/>
        <w:rPr>
          <w:rFonts w:hint="eastAsia" w:ascii="CESI楷体-GB2312" w:hAnsi="CESI楷体-GB2312" w:eastAsia="CESI楷体-GB2312" w:cs="CESI楷体-GB2312"/>
          <w:b/>
          <w:bCs/>
          <w:sz w:val="32"/>
          <w:szCs w:val="32"/>
          <w:lang w:val="zh-CN"/>
        </w:rPr>
      </w:pPr>
      <w:r>
        <w:rPr>
          <w:rFonts w:hint="eastAsia" w:ascii="CESI楷体-GB2312" w:hAnsi="CESI楷体-GB2312" w:eastAsia="CESI楷体-GB2312" w:cs="CESI楷体-GB2312"/>
          <w:b/>
          <w:bCs/>
          <w:sz w:val="32"/>
          <w:szCs w:val="32"/>
          <w:lang w:val="zh-CN"/>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2021年度“三公”经费财政拨款支出预算为0.00万元，支出决算为0.00万元。2021年度“三公”经费支出决算数与预算数不存在差异。</w:t>
      </w:r>
    </w:p>
    <w:p>
      <w:pPr>
        <w:spacing w:before="0"/>
        <w:ind w:firstLine="640" w:firstLineChars="200"/>
        <w:jc w:val="left"/>
        <w:rPr>
          <w:rFonts w:hint="eastAsia" w:ascii="CESI楷体-GB2312" w:hAnsi="CESI楷体-GB2312" w:eastAsia="CESI楷体-GB2312" w:cs="CESI楷体-GB2312"/>
          <w:b/>
          <w:bCs/>
          <w:sz w:val="32"/>
          <w:szCs w:val="32"/>
          <w:lang w:val="zh-CN"/>
        </w:rPr>
      </w:pPr>
      <w:r>
        <w:rPr>
          <w:rFonts w:hint="eastAsia" w:ascii="CESI楷体-GB2312" w:hAnsi="CESI楷体-GB2312" w:eastAsia="CESI楷体-GB2312" w:cs="CESI楷体-GB2312"/>
          <w:b/>
          <w:bCs/>
          <w:sz w:val="32"/>
          <w:szCs w:val="32"/>
          <w:lang w:val="zh-CN"/>
        </w:rPr>
        <w:t>（二）“三公”经费财政拨款支出决算具体情况说明。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年度“三公”经费财政拨款支出决算中，因公出国（境）费支出决算0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万元；公务用车购置及运行费支出决算0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万元；公务接待费支出决算0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rPr>
        <w:t>公务接待费</w:t>
      </w:r>
      <w:r>
        <w:rPr>
          <w:rFonts w:hint="eastAsia" w:ascii="仿宋_GB2312" w:hAnsi="仿宋_GB2312" w:eastAsia="仿宋_GB2312" w:cs="仿宋_GB2312"/>
          <w:sz w:val="32"/>
          <w:szCs w:val="32"/>
        </w:rPr>
        <w:t>预算为0.00万元，支出决算为0.00万元。决算数与预算数不存在差异。其中：</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lang w:val="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接待上级调研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我单位202</w:t>
      </w:r>
      <w:r>
        <w:rPr>
          <w:rFonts w:hint="eastAsia" w:ascii="仿宋_GB2312" w:hAnsi="仿宋_GB2312" w:eastAsia="仿宋_GB2312" w:cs="仿宋_GB2312"/>
          <w:color w:val="auto"/>
          <w:sz w:val="32"/>
          <w:szCs w:val="32"/>
          <w:highlight w:val="none"/>
          <w:lang w:val="en-US" w:eastAsia="zh-CN"/>
        </w:rPr>
        <w:t>1年度没有政府性基金收入，也没有使用政府性基金安排的支出。</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十、政府采购支出情况说明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w:t>
      </w:r>
    </w:p>
    <w:p>
      <w:pPr>
        <w:spacing w:before="0"/>
        <w:ind w:firstLine="640" w:firstLineChars="200"/>
        <w:jc w:val="left"/>
        <w:rPr>
          <w:rFonts w:hint="eastAsia" w:ascii="CESI黑体-GB2312" w:hAnsi="CESI黑体-GB2312" w:eastAsia="CESI黑体-GB2312" w:cs="CESI黑体-GB2312"/>
          <w:sz w:val="32"/>
          <w:szCs w:val="32"/>
          <w:lang w:val="zh-CN"/>
        </w:rPr>
      </w:pPr>
      <w:r>
        <w:rPr>
          <w:rFonts w:hint="eastAsia" w:ascii="CESI黑体-GB2312" w:hAnsi="CESI黑体-GB2312" w:eastAsia="CESI黑体-GB2312" w:cs="CESI黑体-GB2312"/>
          <w:sz w:val="32"/>
          <w:szCs w:val="32"/>
          <w:lang w:val="zh-CN"/>
        </w:rPr>
        <w:t>十一、国有资产占用情况说明</w:t>
      </w:r>
    </w:p>
    <w:p>
      <w:pPr>
        <w:spacing w:before="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年期末，我单位共有车辆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辆，其中：省级领导干部用车0辆、主要领导干部用车0辆、机要通信用车0辆、应急保障车0辆、执法执勤用车0辆、特种专业技术用车0辆、离退休干部用车0辆、其他用车辆；单位价值50万元以上通用设备0台（套），单位价值100万元以上专用设备0台（套）。</w:t>
      </w:r>
    </w:p>
    <w:p>
      <w:pPr>
        <w:widowControl/>
        <w:spacing w:line="590" w:lineRule="exact"/>
        <w:ind w:firstLine="640" w:firstLineChars="200"/>
        <w:outlineLvl w:val="1"/>
        <w:rPr>
          <w:rFonts w:hint="eastAsia" w:ascii="CESI黑体-GB2312" w:hAnsi="CESI黑体-GB2312" w:eastAsia="CESI黑体-GB2312" w:cs="CESI黑体-GB2312"/>
          <w:kern w:val="0"/>
          <w:sz w:val="32"/>
          <w:szCs w:val="32"/>
          <w:lang w:eastAsia="zh-CN"/>
        </w:rPr>
      </w:pPr>
      <w:r>
        <w:rPr>
          <w:rFonts w:hint="eastAsia" w:ascii="CESI黑体-GB2312" w:hAnsi="CESI黑体-GB2312" w:eastAsia="CESI黑体-GB2312" w:cs="CESI黑体-GB2312"/>
          <w:kern w:val="0"/>
          <w:sz w:val="32"/>
          <w:szCs w:val="32"/>
          <w:lang w:eastAsia="zh-CN"/>
        </w:rPr>
        <w:t>十二、</w:t>
      </w:r>
      <w:r>
        <w:rPr>
          <w:rFonts w:hint="eastAsia" w:ascii="CESI黑体-GB2312" w:hAnsi="CESI黑体-GB2312" w:eastAsia="CESI黑体-GB2312" w:cs="CESI黑体-GB2312"/>
          <w:sz w:val="32"/>
          <w:szCs w:val="32"/>
          <w:highlight w:val="none"/>
        </w:rPr>
        <w:t>预算绩效情况说明</w:t>
      </w:r>
    </w:p>
    <w:p>
      <w:pPr>
        <w:widowControl/>
        <w:wordWrap/>
        <w:adjustRightInd/>
        <w:snapToGrid/>
        <w:spacing w:line="360" w:lineRule="auto"/>
        <w:ind w:right="0" w:firstLine="640" w:firstLineChars="200"/>
        <w:jc w:val="both"/>
        <w:textAlignment w:val="auto"/>
        <w:outlineLvl w:val="2"/>
        <w:rPr>
          <w:rFonts w:hint="eastAsia" w:ascii="CESI楷体-GB2312" w:hAnsi="CESI楷体-GB2312" w:eastAsia="CESI楷体-GB2312" w:cs="CESI楷体-GB2312"/>
          <w:b/>
          <w:bCs/>
          <w:color w:val="auto"/>
          <w:sz w:val="32"/>
          <w:szCs w:val="32"/>
          <w:highlight w:val="none"/>
          <w:lang w:val="en-US" w:eastAsia="zh-CN"/>
        </w:rPr>
      </w:pPr>
      <w:r>
        <w:rPr>
          <w:rFonts w:hint="eastAsia" w:ascii="CESI楷体-GB2312" w:hAnsi="CESI楷体-GB2312" w:eastAsia="CESI楷体-GB2312" w:cs="CESI楷体-GB2312"/>
          <w:b/>
          <w:bCs/>
          <w:color w:val="auto"/>
          <w:sz w:val="32"/>
          <w:szCs w:val="32"/>
          <w:highlight w:val="none"/>
          <w:lang w:val="en-US" w:eastAsia="zh-CN"/>
        </w:rPr>
        <w:t>（一）绩效管理工作开展情况。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我单位纳入预算绩效管理的支出总额为114.97万元，其中：基本支出114.97万元；支出项目0个，支出金额0万元。开展项目绩效自评项目0个，自评金额0万元；纳入重点绩效评价0个，评价金额0万元。</w:t>
      </w:r>
    </w:p>
    <w:p>
      <w:pPr>
        <w:widowControl/>
        <w:wordWrap/>
        <w:adjustRightInd/>
        <w:snapToGrid/>
        <w:spacing w:line="360" w:lineRule="auto"/>
        <w:ind w:right="0" w:firstLine="640" w:firstLineChars="200"/>
        <w:jc w:val="both"/>
        <w:textAlignment w:val="auto"/>
        <w:outlineLvl w:val="2"/>
        <w:rPr>
          <w:rFonts w:hint="eastAsia" w:ascii="CESI楷体-GB2312" w:hAnsi="CESI楷体-GB2312" w:eastAsia="CESI楷体-GB2312" w:cs="CESI楷体-GB2312"/>
          <w:b/>
          <w:bCs/>
          <w:color w:val="auto"/>
          <w:sz w:val="32"/>
          <w:szCs w:val="32"/>
          <w:highlight w:val="none"/>
          <w:lang w:val="en-US" w:eastAsia="zh-CN"/>
        </w:rPr>
      </w:pPr>
      <w:r>
        <w:rPr>
          <w:rFonts w:hint="eastAsia" w:ascii="CESI楷体-GB2312" w:hAnsi="CESI楷体-GB2312" w:eastAsia="CESI楷体-GB2312" w:cs="CESI楷体-GB2312"/>
          <w:b/>
          <w:bCs/>
          <w:color w:val="auto"/>
          <w:sz w:val="32"/>
          <w:szCs w:val="32"/>
          <w:highlight w:val="none"/>
          <w:lang w:val="en-US" w:eastAsia="zh-CN"/>
        </w:rPr>
        <w:t>（二）单位整体和项目绩效自评结果。</w:t>
      </w:r>
    </w:p>
    <w:p>
      <w:pPr>
        <w:wordWrap/>
        <w:adjustRightInd/>
        <w:snapToGrid/>
        <w:spacing w:line="590" w:lineRule="exact"/>
        <w:ind w:firstLine="645"/>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按照《许昌市财政局关于开展2021年度市级预算绩效自评工作的通知》（许财效）〔2022〕1号）等文件精神，我单位对本单位整体绩效目标和项目支出绩效目标进行了自评。一是单位整体绩效自评情况2021年</w:t>
      </w:r>
      <w:r>
        <w:rPr>
          <w:rFonts w:hint="eastAsia" w:ascii="仿宋_GB2312" w:hAnsi="仿宋_GB2312" w:eastAsia="仿宋_GB2312" w:cs="仿宋_GB2312"/>
          <w:i w:val="0"/>
          <w:iCs w:val="0"/>
          <w:color w:val="000000"/>
          <w:kern w:val="0"/>
          <w:sz w:val="32"/>
          <w:szCs w:val="32"/>
          <w:u w:val="none"/>
          <w:lang w:val="en-US" w:eastAsia="zh-CN"/>
        </w:rPr>
        <w:t>许昌市注册会计师协会</w:t>
      </w:r>
      <w:r>
        <w:rPr>
          <w:rFonts w:hint="eastAsia" w:ascii="仿宋_GB2312" w:hAnsi="仿宋_GB2312" w:eastAsia="仿宋_GB2312" w:cs="仿宋_GB2312"/>
          <w:sz w:val="32"/>
          <w:szCs w:val="32"/>
          <w:shd w:val="clear" w:color="auto" w:fill="FFFFFF"/>
          <w:lang w:val="en-US" w:eastAsia="zh-CN"/>
        </w:rPr>
        <w:t>加强</w:t>
      </w:r>
      <w:r>
        <w:rPr>
          <w:rFonts w:hint="eastAsia" w:ascii="仿宋_GB2312" w:hAnsi="仿宋_GB2312" w:eastAsia="仿宋_GB2312" w:cs="仿宋_GB2312"/>
          <w:sz w:val="32"/>
          <w:szCs w:val="32"/>
          <w:shd w:val="clear" w:color="auto" w:fill="FFFFFF"/>
        </w:rPr>
        <w:t>资金管理，资金都能够按照预期要求完成支付，严格执行市财政预算管理和国库集中支付管理有关规定，资金拨付履行完整的审批程序和手续，严格遵守财务管理各项规章制度，财务制度健全，会计核算规范</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整体绩效自评结果为优。二是项目绩效自评情况。我单位共有0个项目批复了绩效目标，项目金额0.00万元。</w:t>
      </w:r>
    </w:p>
    <w:p>
      <w:pPr>
        <w:widowControl/>
        <w:wordWrap/>
        <w:adjustRightInd/>
        <w:snapToGrid/>
        <w:spacing w:line="590" w:lineRule="exact"/>
        <w:ind w:right="0" w:firstLine="640" w:firstLineChars="200"/>
        <w:jc w:val="both"/>
        <w:textAlignment w:val="auto"/>
        <w:outlineLvl w:val="2"/>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right="0" w:firstLine="640" w:firstLineChars="200"/>
        <w:jc w:val="both"/>
        <w:textAlignment w:val="auto"/>
        <w:outlineLvl w:val="2"/>
        <w:rPr>
          <w:rFonts w:hint="eastAsia" w:ascii="CESI楷体-GB2312" w:hAnsi="CESI楷体-GB2312" w:eastAsia="CESI楷体-GB2312" w:cs="CESI楷体-GB2312"/>
          <w:b/>
          <w:bCs/>
          <w:color w:val="auto"/>
          <w:sz w:val="32"/>
          <w:szCs w:val="32"/>
          <w:highlight w:val="none"/>
          <w:lang w:val="en-US" w:eastAsia="zh-CN"/>
        </w:rPr>
      </w:pPr>
      <w:r>
        <w:rPr>
          <w:rFonts w:hint="eastAsia" w:ascii="CESI楷体-GB2312" w:hAnsi="CESI楷体-GB2312" w:eastAsia="CESI楷体-GB2312" w:cs="CESI楷体-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本年度我单位未安排项目支出，没有项目绩效自评。</w:t>
      </w:r>
    </w:p>
    <w:p>
      <w:pPr>
        <w:widowControl/>
        <w:jc w:val="left"/>
        <w:rPr>
          <w:rFonts w:hint="eastAsia" w:ascii="仿宋_GB2312" w:hAnsi="仿宋_GB2312" w:eastAsia="仿宋_GB2312" w:cs="仿宋_GB2312"/>
          <w:kern w:val="0"/>
          <w:sz w:val="32"/>
          <w:szCs w:val="32"/>
        </w:rPr>
      </w:pPr>
    </w:p>
    <w:p>
      <w:pPr>
        <w:widowControl/>
        <w:jc w:val="left"/>
        <w:rPr>
          <w:rFonts w:hint="eastAsia" w:ascii="仿宋_GB2312" w:hAnsi="仿宋_GB2312" w:eastAsia="仿宋_GB2312" w:cs="仿宋_GB2312"/>
          <w:kern w:val="0"/>
          <w:sz w:val="30"/>
          <w:szCs w:val="30"/>
        </w:rPr>
      </w:pPr>
    </w:p>
    <w:p>
      <w:pPr>
        <w:widowControl/>
        <w:jc w:val="left"/>
        <w:rPr>
          <w:rFonts w:hint="eastAsia" w:ascii="仿宋_GB2312" w:hAnsi="仿宋_GB2312" w:eastAsia="仿宋_GB2312" w:cs="仿宋_GB2312"/>
          <w:kern w:val="0"/>
          <w:sz w:val="30"/>
          <w:szCs w:val="30"/>
        </w:rPr>
      </w:pPr>
    </w:p>
    <w:p>
      <w:pPr>
        <w:widowControl/>
        <w:jc w:val="left"/>
        <w:rPr>
          <w:rFonts w:hint="eastAsia" w:ascii="仿宋_GB2312" w:hAnsi="仿宋_GB2312" w:eastAsia="仿宋_GB2312" w:cs="仿宋_GB2312"/>
          <w:kern w:val="0"/>
          <w:sz w:val="30"/>
          <w:szCs w:val="30"/>
        </w:rPr>
      </w:pPr>
    </w:p>
    <w:p>
      <w:pPr>
        <w:widowControl/>
        <w:jc w:val="left"/>
        <w:rPr>
          <w:rFonts w:hint="eastAsia" w:ascii="仿宋_GB2312" w:hAnsi="仿宋_GB2312" w:eastAsia="仿宋_GB2312" w:cs="仿宋_GB2312"/>
          <w:kern w:val="0"/>
          <w:sz w:val="30"/>
          <w:szCs w:val="30"/>
        </w:rPr>
      </w:pPr>
    </w:p>
    <w:p>
      <w:pPr>
        <w:widowControl/>
        <w:jc w:val="left"/>
        <w:rPr>
          <w:rFonts w:hint="eastAsia" w:ascii="仿宋_GB2312" w:hAnsi="仿宋_GB2312" w:eastAsia="仿宋_GB2312" w:cs="仿宋_GB2312"/>
          <w:kern w:val="0"/>
          <w:sz w:val="30"/>
          <w:szCs w:val="30"/>
        </w:rPr>
      </w:pPr>
    </w:p>
    <w:p>
      <w:pPr>
        <w:widowControl/>
        <w:jc w:val="left"/>
        <w:rPr>
          <w:rFonts w:hint="eastAsia" w:ascii="仿宋_GB2312" w:hAnsi="仿宋_GB2312" w:eastAsia="仿宋_GB2312" w:cs="仿宋_GB2312"/>
          <w:kern w:val="0"/>
          <w:sz w:val="30"/>
          <w:szCs w:val="30"/>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ind w:firstLine="1920" w:firstLineChars="400"/>
        <w:jc w:val="both"/>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文本框 2054"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eastAsia="zh-CN"/>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文本框 2055" o:spid="_x0000_s2051"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文本框 6" o:spid="_x0000_s2052"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- 7 -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_x0000_s2053" o:spid="_x0000_s2053"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文本框 7" o:spid="_x0000_s2054" o:spt="1"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_x0000_s2055" o:spid="_x0000_s2055"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- 7 -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_x0000_s2056" o:spid="_x0000_s2056"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_x0000_s2057" o:spid="_x0000_s2057" o:spt="1" style="position:absolute;left:0pt;margin-top:0pt;height:144pt;width:144pt;mso-position-horizontal:center;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645B0D8B"/>
    <w:multiLevelType w:val="singleLevel"/>
    <w:tmpl w:val="645B0D8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2BFD891"/>
    <w:rsid w:val="5DBD27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szCs w:val="24"/>
    </w:rPr>
  </w:style>
  <w:style w:type="paragraph" w:styleId="4">
    <w:name w:val="annotation text"/>
    <w:basedOn w:val="1"/>
    <w:qFormat/>
    <w:uiPriority w:val="0"/>
    <w:pPr>
      <w:jc w:val="left"/>
    </w:pPr>
  </w:style>
  <w:style w:type="paragraph" w:styleId="5">
    <w:name w:val="Balloon Text"/>
    <w:basedOn w:val="1"/>
    <w:link w:val="16"/>
    <w:qFormat/>
    <w:uiPriority w:val="0"/>
    <w:rPr>
      <w:kern w:val="2"/>
      <w:sz w:val="18"/>
      <w:szCs w:val="18"/>
    </w:rPr>
  </w:style>
  <w:style w:type="paragraph" w:styleId="6">
    <w:name w:val="footer"/>
    <w:basedOn w:val="1"/>
    <w:link w:val="17"/>
    <w:qFormat/>
    <w:uiPriority w:val="0"/>
    <w:pPr>
      <w:tabs>
        <w:tab w:val="center" w:pos="4153"/>
        <w:tab w:val="right" w:pos="8306"/>
      </w:tabs>
      <w:snapToGrid w:val="0"/>
      <w:jc w:val="left"/>
    </w:pPr>
    <w:rPr>
      <w:kern w:val="2"/>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kern w:val="2"/>
      <w:sz w:val="18"/>
      <w:szCs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paragraph" w:customStyle="1" w:styleId="15">
    <w:name w:val="标题1"/>
    <w:basedOn w:val="3"/>
    <w:qFormat/>
    <w:uiPriority w:val="0"/>
    <w:pPr>
      <w:spacing w:before="0" w:after="0" w:line="240" w:lineRule="auto"/>
      <w:jc w:val="center"/>
    </w:pPr>
    <w:rPr>
      <w:rFonts w:ascii="华文中宋" w:hAnsi="华文中宋" w:eastAsia="华文中宋"/>
      <w:sz w:val="36"/>
      <w:szCs w:val="36"/>
    </w:rPr>
  </w:style>
  <w:style w:type="character" w:customStyle="1" w:styleId="16">
    <w:name w:val="批注框文本 Char Char"/>
    <w:basedOn w:val="11"/>
    <w:link w:val="5"/>
    <w:qFormat/>
    <w:uiPriority w:val="0"/>
    <w:rPr>
      <w:kern w:val="2"/>
      <w:sz w:val="18"/>
      <w:szCs w:val="18"/>
    </w:rPr>
  </w:style>
  <w:style w:type="character" w:customStyle="1" w:styleId="17">
    <w:name w:val="页脚 Char Char"/>
    <w:link w:val="6"/>
    <w:qFormat/>
    <w:uiPriority w:val="0"/>
    <w:rPr>
      <w:kern w:val="2"/>
      <w:sz w:val="18"/>
      <w:szCs w:val="18"/>
    </w:rPr>
  </w:style>
  <w:style w:type="character" w:customStyle="1" w:styleId="18">
    <w:name w:val="页眉 Char Char"/>
    <w:link w:val="7"/>
    <w:qFormat/>
    <w:uiPriority w:val="0"/>
    <w:rPr>
      <w:kern w:val="2"/>
      <w:sz w:val="18"/>
      <w:szCs w:val="18"/>
    </w:rPr>
  </w:style>
  <w:style w:type="character" w:customStyle="1" w:styleId="19">
    <w:name w:val="font41"/>
    <w:basedOn w:val="11"/>
    <w:qFormat/>
    <w:uiPriority w:val="0"/>
    <w:rPr>
      <w:rFonts w:hint="eastAsia" w:ascii="宋体" w:hAnsi="宋体" w:eastAsia="宋体" w:cs="宋体"/>
      <w:color w:val="000000"/>
      <w:sz w:val="24"/>
      <w:szCs w:val="24"/>
      <w:u w:val="none"/>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5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0"/>
      <w:szCs w:val="20"/>
      <w:u w:val="none"/>
    </w:rPr>
  </w:style>
  <w:style w:type="character" w:customStyle="1" w:styleId="23">
    <w:name w:val="font2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8459</Words>
  <Characters>9886</Characters>
  <Lines>57</Lines>
  <Paragraphs>16</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huanghe</cp:lastModifiedBy>
  <cp:lastPrinted>2021-09-04T08:50:00Z</cp:lastPrinted>
  <dcterms:modified xsi:type="dcterms:W3CDTF">2023-05-22T09:42:31Z</dcterms:modified>
  <dc:title>2020年度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B4ED80647F1E47AE91C5D6FDECFD0992_13</vt:lpwstr>
  </property>
</Properties>
</file>