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许昌市河湖管理中心单位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headerReference r:id="rId4" w:type="default"/>
          <w:footerReference r:id="rId6" w:type="default"/>
          <w:headerReference r:id="rId5" w:type="even"/>
          <w:footerReference r:id="rId7" w:type="even"/>
          <w:pgSz w:w="11906" w:h="16838"/>
          <w:pgMar w:top="1440" w:right="1531" w:bottom="1440" w:left="1587" w:header="850" w:footer="992" w:gutter="0"/>
          <w:pgBorders>
            <w:top w:val="none" w:color="auto" w:sz="0" w:space="0"/>
            <w:left w:val="none" w:color="auto" w:sz="0" w:space="0"/>
            <w:bottom w:val="none" w:color="auto" w:sz="0" w:space="0"/>
            <w:right w:val="none" w:color="auto" w:sz="0" w:space="0"/>
          </w:pgBorders>
          <w:pgNumType w:fmt="numberInDash" w:start="1"/>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hint="eastAsia" w:ascii="黑体" w:hAnsi="黑体" w:eastAsia="黑体" w:cs="黑体"/>
          <w:sz w:val="36"/>
          <w:szCs w:val="36"/>
          <w:highlight w:val="none"/>
        </w:rPr>
      </w:pPr>
    </w:p>
    <w:p>
      <w:pPr>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目　　录</w:t>
      </w:r>
    </w:p>
    <w:p>
      <w:pPr>
        <w:jc w:val="center"/>
        <w:rPr>
          <w:rFonts w:hint="eastAsia" w:ascii="黑体" w:hAnsi="黑体" w:eastAsia="黑体" w:cs="黑体"/>
          <w:sz w:val="36"/>
          <w:szCs w:val="36"/>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许昌市河湖管理中心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许昌市河湖管理中心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bCs/>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黑体" w:hAnsi="黑体" w:eastAsia="黑体" w:cs="黑体"/>
          <w:bCs/>
          <w:sz w:val="32"/>
          <w:szCs w:val="32"/>
          <w:highlight w:val="none"/>
          <w:lang w:val="en-US" w:eastAsia="zh-CN"/>
        </w:rPr>
      </w:pPr>
      <w:r>
        <w:rPr>
          <w:rFonts w:hint="eastAsia" w:ascii="仿宋_GB2312" w:hAnsi="仿宋_GB2312" w:eastAsia="仿宋_GB2312" w:cs="仿宋_GB2312"/>
          <w:kern w:val="0"/>
          <w:sz w:val="32"/>
          <w:szCs w:val="32"/>
          <w:lang w:val="en-US" w:eastAsia="zh-CN"/>
        </w:rPr>
        <w:t>根据《中共许昌市委机构编制委员会关于调整市直部分科级事业单位名称职能的通知》（许编[2019]18号），许昌市河湖管理中心的主要职责是：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val="en-US" w:eastAsia="zh-CN"/>
        </w:rPr>
        <w:t>协助机关做好全市河湖管理保护工作，推进水环境治理网格化和信息化建设管理</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宋体" w:eastAsia="仿宋_GB2312" w:cs="宋体"/>
          <w:kern w:val="0"/>
          <w:sz w:val="32"/>
          <w:szCs w:val="32"/>
          <w:highlight w:val="none"/>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val="en-US" w:eastAsia="zh-CN"/>
        </w:rPr>
        <w:t>组织实施水环境治理、水生态修复等工作，承担河湖长制工作考核评估的相关技术工作</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许昌市河湖管理中心内设机构2个，包括：财务办公室、综合办公室。</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从决算单位构成看，许昌市河湖管理中心决算包括：本级决算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许昌市河湖管理中心</w:t>
      </w:r>
    </w:p>
    <w:p>
      <w:pPr>
        <w:widowControl/>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headerReference r:id="rId8" w:type="default"/>
          <w:footerReference r:id="rId10" w:type="default"/>
          <w:headerReference r:id="rId9" w:type="even"/>
          <w:footerReference r:id="rId11" w:type="even"/>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W w:w="14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294"/>
        <w:gridCol w:w="445"/>
        <w:gridCol w:w="3294"/>
        <w:gridCol w:w="3294"/>
        <w:gridCol w:w="445"/>
        <w:gridCol w:w="3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0" w:hRule="atLeast"/>
        </w:trPr>
        <w:tc>
          <w:tcPr>
            <w:tcW w:w="14066" w:type="dxa"/>
            <w:gridSpan w:val="6"/>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3294" w:type="dxa"/>
            <w:vAlign w:val="bottom"/>
          </w:tcPr>
          <w:p>
            <w:pPr>
              <w:autoSpaceDN w:val="0"/>
              <w:jc w:val="left"/>
              <w:textAlignment w:val="bottom"/>
              <w:rPr>
                <w:rFonts w:hint="default" w:ascii="Arial" w:hAnsi="宋体"/>
                <w:b w:val="0"/>
                <w:i w:val="0"/>
                <w:color w:val="000000"/>
                <w:sz w:val="20"/>
                <w:u w:val="none"/>
              </w:rPr>
            </w:pPr>
          </w:p>
        </w:tc>
        <w:tc>
          <w:tcPr>
            <w:tcW w:w="445" w:type="dxa"/>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left"/>
              <w:textAlignment w:val="bottom"/>
              <w:rPr>
                <w:rFonts w:hint="default" w:ascii="Arial" w:hAnsi="宋体"/>
                <w:b w:val="0"/>
                <w:i w:val="0"/>
                <w:color w:val="000000"/>
                <w:sz w:val="20"/>
                <w:u w:val="none"/>
              </w:rPr>
            </w:pPr>
          </w:p>
        </w:tc>
        <w:tc>
          <w:tcPr>
            <w:tcW w:w="3739"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0327" w:type="dxa"/>
            <w:gridSpan w:val="4"/>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18"/>
                <w:szCs w:val="18"/>
                <w:u w:val="none"/>
                <w:lang w:val="en-US" w:eastAsia="zh-CN"/>
              </w:rPr>
              <w:t>单位</w:t>
            </w:r>
            <w:r>
              <w:rPr>
                <w:rFonts w:hint="default" w:ascii="宋体" w:hAnsi="宋体" w:eastAsia="宋体"/>
                <w:b w:val="0"/>
                <w:i w:val="0"/>
                <w:color w:val="000000"/>
                <w:sz w:val="18"/>
                <w:szCs w:val="18"/>
                <w:u w:val="none"/>
                <w:lang w:eastAsia="zh-CN"/>
              </w:rPr>
              <w:t>：许昌市河湖管理中心</w:t>
            </w:r>
          </w:p>
        </w:tc>
        <w:tc>
          <w:tcPr>
            <w:tcW w:w="3739"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703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收入</w:t>
            </w:r>
          </w:p>
        </w:tc>
        <w:tc>
          <w:tcPr>
            <w:tcW w:w="7033"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5"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61.74</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三、国有资本经营预算财政拨款收入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四、上级补助收入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五、事业收入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六、经营收入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七、附属单位上缴收入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八、其他收入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4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4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3294"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445"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3294"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61.74</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使用非财政拨款结余</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结余分配</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7.10</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5"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68.84</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066" w:type="dxa"/>
            <w:gridSpan w:val="6"/>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szCs w:val="22"/>
                <w:u w:val="none"/>
                <w:lang w:eastAsia="zh-CN"/>
              </w:rPr>
              <w:t>注：本表反映</w:t>
            </w:r>
            <w:r>
              <w:rPr>
                <w:rFonts w:hint="eastAsia" w:ascii="宋体" w:hAnsi="宋体"/>
                <w:b w:val="0"/>
                <w:i w:val="0"/>
                <w:color w:val="000000"/>
                <w:sz w:val="22"/>
                <w:szCs w:val="22"/>
                <w:u w:val="none"/>
                <w:lang w:val="en-US" w:eastAsia="zh-CN"/>
              </w:rPr>
              <w:t>单位</w:t>
            </w:r>
            <w:r>
              <w:rPr>
                <w:rFonts w:hint="default" w:ascii="宋体" w:hAnsi="宋体" w:eastAsia="宋体"/>
                <w:b w:val="0"/>
                <w:i w:val="0"/>
                <w:color w:val="000000"/>
                <w:sz w:val="22"/>
                <w:szCs w:val="22"/>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tbl>
      <w:tblPr>
        <w:tblW w:w="13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0"/>
        <w:gridCol w:w="960"/>
        <w:gridCol w:w="960"/>
        <w:gridCol w:w="3930"/>
        <w:gridCol w:w="1470"/>
        <w:gridCol w:w="960"/>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0" w:hRule="atLeast"/>
        </w:trPr>
        <w:tc>
          <w:tcPr>
            <w:tcW w:w="13410"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330" w:type="dxa"/>
            <w:vAlign w:val="bottom"/>
          </w:tcPr>
          <w:p>
            <w:pPr>
              <w:autoSpaceDN w:val="0"/>
              <w:jc w:val="left"/>
              <w:textAlignment w:val="bottom"/>
              <w:rPr>
                <w:rFonts w:hint="default" w:ascii="Arial" w:hAnsi="宋体"/>
                <w:b w:val="0"/>
                <w:i w:val="0"/>
                <w:color w:val="000000"/>
                <w:sz w:val="20"/>
                <w:u w:val="none"/>
              </w:rPr>
            </w:pPr>
          </w:p>
        </w:tc>
        <w:tc>
          <w:tcPr>
            <w:tcW w:w="960" w:type="dxa"/>
            <w:vAlign w:val="bottom"/>
          </w:tcPr>
          <w:p>
            <w:pPr>
              <w:autoSpaceDN w:val="0"/>
              <w:jc w:val="left"/>
              <w:textAlignment w:val="bottom"/>
              <w:rPr>
                <w:rFonts w:hint="default" w:ascii="Arial" w:hAnsi="宋体"/>
                <w:b w:val="0"/>
                <w:i w:val="0"/>
                <w:color w:val="000000"/>
                <w:sz w:val="20"/>
                <w:u w:val="none"/>
              </w:rPr>
            </w:pPr>
          </w:p>
        </w:tc>
        <w:tc>
          <w:tcPr>
            <w:tcW w:w="960" w:type="dxa"/>
            <w:vAlign w:val="bottom"/>
          </w:tcPr>
          <w:p>
            <w:pPr>
              <w:autoSpaceDN w:val="0"/>
              <w:jc w:val="left"/>
              <w:textAlignment w:val="bottom"/>
              <w:rPr>
                <w:rFonts w:hint="default" w:ascii="Arial" w:hAnsi="宋体"/>
                <w:b w:val="0"/>
                <w:i w:val="0"/>
                <w:color w:val="000000"/>
                <w:sz w:val="20"/>
                <w:u w:val="none"/>
              </w:rPr>
            </w:pPr>
          </w:p>
        </w:tc>
        <w:tc>
          <w:tcPr>
            <w:tcW w:w="3930" w:type="dxa"/>
            <w:vAlign w:val="bottom"/>
          </w:tcPr>
          <w:p>
            <w:pPr>
              <w:autoSpaceDN w:val="0"/>
              <w:jc w:val="left"/>
              <w:textAlignment w:val="bottom"/>
              <w:rPr>
                <w:rFonts w:hint="default" w:ascii="Arial" w:hAnsi="宋体"/>
                <w:b w:val="0"/>
                <w:i w:val="0"/>
                <w:color w:val="000000"/>
                <w:sz w:val="20"/>
                <w:u w:val="none"/>
              </w:rPr>
            </w:pPr>
          </w:p>
        </w:tc>
        <w:tc>
          <w:tcPr>
            <w:tcW w:w="1470" w:type="dxa"/>
            <w:vAlign w:val="bottom"/>
          </w:tcPr>
          <w:p>
            <w:pPr>
              <w:autoSpaceDN w:val="0"/>
              <w:jc w:val="left"/>
              <w:textAlignment w:val="bottom"/>
              <w:rPr>
                <w:rFonts w:hint="default" w:ascii="Arial" w:hAnsi="宋体"/>
                <w:b w:val="0"/>
                <w:i w:val="0"/>
                <w:color w:val="000000"/>
                <w:sz w:val="20"/>
                <w:u w:val="none"/>
              </w:rPr>
            </w:pPr>
          </w:p>
        </w:tc>
        <w:tc>
          <w:tcPr>
            <w:tcW w:w="960" w:type="dxa"/>
            <w:vAlign w:val="bottom"/>
          </w:tcPr>
          <w:p>
            <w:pPr>
              <w:autoSpaceDN w:val="0"/>
              <w:jc w:val="left"/>
              <w:textAlignment w:val="bottom"/>
              <w:rPr>
                <w:rFonts w:hint="default" w:ascii="Arial" w:hAnsi="宋体"/>
                <w:b w:val="0"/>
                <w:i w:val="0"/>
                <w:color w:val="000000"/>
                <w:sz w:val="20"/>
                <w:u w:val="none"/>
              </w:rPr>
            </w:pPr>
          </w:p>
        </w:tc>
        <w:tc>
          <w:tcPr>
            <w:tcW w:w="960" w:type="dxa"/>
            <w:vAlign w:val="bottom"/>
          </w:tcPr>
          <w:p>
            <w:pPr>
              <w:autoSpaceDN w:val="0"/>
              <w:jc w:val="left"/>
              <w:textAlignment w:val="bottom"/>
              <w:rPr>
                <w:rFonts w:hint="default" w:ascii="Arial" w:hAnsi="宋体"/>
                <w:b w:val="0"/>
                <w:i w:val="0"/>
                <w:color w:val="000000"/>
                <w:sz w:val="20"/>
                <w:u w:val="none"/>
              </w:rPr>
            </w:pPr>
          </w:p>
        </w:tc>
        <w:tc>
          <w:tcPr>
            <w:tcW w:w="960" w:type="dxa"/>
            <w:vAlign w:val="bottom"/>
          </w:tcPr>
          <w:p>
            <w:pPr>
              <w:autoSpaceDN w:val="0"/>
              <w:jc w:val="left"/>
              <w:textAlignment w:val="bottom"/>
              <w:rPr>
                <w:rFonts w:hint="default" w:ascii="Arial" w:hAnsi="宋体"/>
                <w:b w:val="0"/>
                <w:i w:val="0"/>
                <w:color w:val="000000"/>
                <w:sz w:val="20"/>
                <w:u w:val="none"/>
              </w:rPr>
            </w:pPr>
          </w:p>
        </w:tc>
        <w:tc>
          <w:tcPr>
            <w:tcW w:w="960" w:type="dxa"/>
            <w:vAlign w:val="bottom"/>
          </w:tcPr>
          <w:p>
            <w:pPr>
              <w:autoSpaceDN w:val="0"/>
              <w:jc w:val="left"/>
              <w:textAlignment w:val="bottom"/>
              <w:rPr>
                <w:rFonts w:hint="default" w:ascii="Arial" w:hAnsi="宋体"/>
                <w:b w:val="0"/>
                <w:i w:val="0"/>
                <w:color w:val="000000"/>
                <w:sz w:val="20"/>
                <w:u w:val="none"/>
              </w:rPr>
            </w:pPr>
          </w:p>
        </w:tc>
        <w:tc>
          <w:tcPr>
            <w:tcW w:w="192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9570" w:type="dxa"/>
            <w:gridSpan w:val="7"/>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：许昌市河湖管理中心</w:t>
            </w:r>
          </w:p>
        </w:tc>
        <w:tc>
          <w:tcPr>
            <w:tcW w:w="960" w:type="dxa"/>
            <w:vAlign w:val="bottom"/>
          </w:tcPr>
          <w:p>
            <w:pPr>
              <w:autoSpaceDN w:val="0"/>
              <w:jc w:val="left"/>
              <w:textAlignment w:val="bottom"/>
              <w:rPr>
                <w:rFonts w:hint="default" w:ascii="Arial" w:hAnsi="宋体"/>
                <w:b w:val="0"/>
                <w:i w:val="0"/>
                <w:color w:val="000000"/>
                <w:sz w:val="20"/>
                <w:u w:val="none"/>
              </w:rPr>
            </w:pPr>
          </w:p>
        </w:tc>
        <w:tc>
          <w:tcPr>
            <w:tcW w:w="960" w:type="dxa"/>
            <w:vAlign w:val="bottom"/>
          </w:tcPr>
          <w:p>
            <w:pPr>
              <w:autoSpaceDN w:val="0"/>
              <w:jc w:val="left"/>
              <w:textAlignment w:val="bottom"/>
              <w:rPr>
                <w:rFonts w:hint="default" w:ascii="Arial" w:hAnsi="宋体"/>
                <w:b w:val="0"/>
                <w:i w:val="0"/>
                <w:color w:val="000000"/>
                <w:sz w:val="20"/>
                <w:u w:val="none"/>
              </w:rPr>
            </w:pPr>
          </w:p>
        </w:tc>
        <w:tc>
          <w:tcPr>
            <w:tcW w:w="192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8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47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本年收入合计</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财政拨款收入</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上级补助收入</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事业收入</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经营收入</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附属单位上缴收入</w:t>
            </w:r>
          </w:p>
        </w:tc>
        <w:tc>
          <w:tcPr>
            <w:tcW w:w="9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93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47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147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147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47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9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61.74</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61.74</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1.59</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水利</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2130304</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水利行业业务管理</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2" w:hRule="atLeast"/>
        </w:trPr>
        <w:tc>
          <w:tcPr>
            <w:tcW w:w="225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3410"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szCs w:val="22"/>
                <w:u w:val="none"/>
                <w:lang w:eastAsia="zh-CN"/>
              </w:rPr>
              <w:t>注：本表反映</w:t>
            </w:r>
            <w:r>
              <w:rPr>
                <w:rFonts w:hint="eastAsia" w:ascii="宋体" w:hAnsi="宋体"/>
                <w:b w:val="0"/>
                <w:i w:val="0"/>
                <w:color w:val="000000"/>
                <w:sz w:val="22"/>
                <w:szCs w:val="22"/>
                <w:u w:val="none"/>
                <w:lang w:val="en-US" w:eastAsia="zh-CN"/>
              </w:rPr>
              <w:t>单位</w:t>
            </w:r>
            <w:r>
              <w:rPr>
                <w:rFonts w:hint="default" w:ascii="宋体" w:hAnsi="宋体" w:eastAsia="宋体"/>
                <w:b w:val="0"/>
                <w:i w:val="0"/>
                <w:color w:val="000000"/>
                <w:sz w:val="22"/>
                <w:szCs w:val="22"/>
                <w:u w:val="none"/>
                <w:lang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tbl>
      <w:tblPr>
        <w:tblW w:w="147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0"/>
        <w:gridCol w:w="959"/>
        <w:gridCol w:w="959"/>
        <w:gridCol w:w="3930"/>
        <w:gridCol w:w="1575"/>
        <w:gridCol w:w="1904"/>
        <w:gridCol w:w="1875"/>
        <w:gridCol w:w="1575"/>
        <w:gridCol w:w="959"/>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0" w:hRule="atLeast"/>
        </w:trPr>
        <w:tc>
          <w:tcPr>
            <w:tcW w:w="14738"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330" w:type="dxa"/>
            <w:vAlign w:val="bottom"/>
          </w:tcPr>
          <w:p>
            <w:pPr>
              <w:autoSpaceDN w:val="0"/>
              <w:jc w:val="left"/>
              <w:textAlignment w:val="bottom"/>
              <w:rPr>
                <w:rFonts w:hint="default" w:ascii="Arial" w:hAnsi="宋体"/>
                <w:b w:val="0"/>
                <w:i w:val="0"/>
                <w:color w:val="000000"/>
                <w:sz w:val="18"/>
                <w:szCs w:val="18"/>
                <w:u w:val="none"/>
              </w:rPr>
            </w:pPr>
          </w:p>
        </w:tc>
        <w:tc>
          <w:tcPr>
            <w:tcW w:w="959" w:type="dxa"/>
            <w:vAlign w:val="bottom"/>
          </w:tcPr>
          <w:p>
            <w:pPr>
              <w:autoSpaceDN w:val="0"/>
              <w:jc w:val="left"/>
              <w:textAlignment w:val="bottom"/>
              <w:rPr>
                <w:rFonts w:hint="default" w:ascii="Arial" w:hAnsi="宋体"/>
                <w:b w:val="0"/>
                <w:i w:val="0"/>
                <w:color w:val="000000"/>
                <w:sz w:val="18"/>
                <w:szCs w:val="18"/>
                <w:u w:val="none"/>
              </w:rPr>
            </w:pPr>
          </w:p>
        </w:tc>
        <w:tc>
          <w:tcPr>
            <w:tcW w:w="959" w:type="dxa"/>
            <w:vAlign w:val="bottom"/>
          </w:tcPr>
          <w:p>
            <w:pPr>
              <w:autoSpaceDN w:val="0"/>
              <w:jc w:val="left"/>
              <w:textAlignment w:val="bottom"/>
              <w:rPr>
                <w:rFonts w:hint="default" w:ascii="Arial" w:hAnsi="宋体"/>
                <w:b w:val="0"/>
                <w:i w:val="0"/>
                <w:color w:val="000000"/>
                <w:sz w:val="18"/>
                <w:szCs w:val="18"/>
                <w:u w:val="none"/>
              </w:rPr>
            </w:pPr>
          </w:p>
        </w:tc>
        <w:tc>
          <w:tcPr>
            <w:tcW w:w="3930" w:type="dxa"/>
            <w:vAlign w:val="bottom"/>
          </w:tcPr>
          <w:p>
            <w:pPr>
              <w:autoSpaceDN w:val="0"/>
              <w:jc w:val="left"/>
              <w:textAlignment w:val="bottom"/>
              <w:rPr>
                <w:rFonts w:hint="default" w:ascii="Arial" w:hAnsi="宋体"/>
                <w:b w:val="0"/>
                <w:i w:val="0"/>
                <w:color w:val="000000"/>
                <w:sz w:val="18"/>
                <w:szCs w:val="18"/>
                <w:u w:val="none"/>
              </w:rPr>
            </w:pPr>
          </w:p>
        </w:tc>
        <w:tc>
          <w:tcPr>
            <w:tcW w:w="1575" w:type="dxa"/>
            <w:vAlign w:val="bottom"/>
          </w:tcPr>
          <w:p>
            <w:pPr>
              <w:autoSpaceDN w:val="0"/>
              <w:jc w:val="left"/>
              <w:textAlignment w:val="bottom"/>
              <w:rPr>
                <w:rFonts w:hint="default" w:ascii="Arial" w:hAnsi="宋体"/>
                <w:b w:val="0"/>
                <w:i w:val="0"/>
                <w:color w:val="000000"/>
                <w:sz w:val="18"/>
                <w:szCs w:val="18"/>
                <w:u w:val="none"/>
              </w:rPr>
            </w:pPr>
          </w:p>
        </w:tc>
        <w:tc>
          <w:tcPr>
            <w:tcW w:w="1904" w:type="dxa"/>
            <w:vAlign w:val="bottom"/>
          </w:tcPr>
          <w:p>
            <w:pPr>
              <w:autoSpaceDN w:val="0"/>
              <w:jc w:val="left"/>
              <w:textAlignment w:val="bottom"/>
              <w:rPr>
                <w:rFonts w:hint="default" w:ascii="Arial" w:hAnsi="宋体"/>
                <w:b w:val="0"/>
                <w:i w:val="0"/>
                <w:color w:val="000000"/>
                <w:sz w:val="18"/>
                <w:szCs w:val="18"/>
                <w:u w:val="none"/>
              </w:rPr>
            </w:pPr>
          </w:p>
        </w:tc>
        <w:tc>
          <w:tcPr>
            <w:tcW w:w="1875" w:type="dxa"/>
            <w:vAlign w:val="bottom"/>
          </w:tcPr>
          <w:p>
            <w:pPr>
              <w:autoSpaceDN w:val="0"/>
              <w:jc w:val="left"/>
              <w:textAlignment w:val="bottom"/>
              <w:rPr>
                <w:rFonts w:hint="default" w:ascii="Arial" w:hAnsi="宋体"/>
                <w:b w:val="0"/>
                <w:i w:val="0"/>
                <w:color w:val="000000"/>
                <w:sz w:val="18"/>
                <w:szCs w:val="18"/>
                <w:u w:val="none"/>
              </w:rPr>
            </w:pPr>
          </w:p>
        </w:tc>
        <w:tc>
          <w:tcPr>
            <w:tcW w:w="1575" w:type="dxa"/>
            <w:vAlign w:val="bottom"/>
          </w:tcPr>
          <w:p>
            <w:pPr>
              <w:autoSpaceDN w:val="0"/>
              <w:jc w:val="left"/>
              <w:textAlignment w:val="bottom"/>
              <w:rPr>
                <w:rFonts w:hint="default" w:ascii="Arial" w:hAnsi="宋体"/>
                <w:b w:val="0"/>
                <w:i w:val="0"/>
                <w:color w:val="000000"/>
                <w:sz w:val="18"/>
                <w:szCs w:val="18"/>
                <w:u w:val="none"/>
              </w:rPr>
            </w:pPr>
          </w:p>
        </w:tc>
        <w:tc>
          <w:tcPr>
            <w:tcW w:w="1631"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9657" w:type="dxa"/>
            <w:gridSpan w:val="6"/>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val="en-US" w:eastAsia="zh-CN"/>
              </w:rPr>
              <w:t>单位</w:t>
            </w:r>
            <w:r>
              <w:rPr>
                <w:rFonts w:hint="default" w:ascii="宋体" w:hAnsi="宋体" w:eastAsia="宋体"/>
                <w:b w:val="0"/>
                <w:i w:val="0"/>
                <w:color w:val="000000"/>
                <w:sz w:val="18"/>
                <w:szCs w:val="18"/>
                <w:u w:val="none"/>
                <w:lang w:eastAsia="zh-CN"/>
              </w:rPr>
              <w:t>：许昌市河湖管理中心</w:t>
            </w:r>
          </w:p>
        </w:tc>
        <w:tc>
          <w:tcPr>
            <w:tcW w:w="1875" w:type="dxa"/>
            <w:vAlign w:val="bottom"/>
          </w:tcPr>
          <w:p>
            <w:pPr>
              <w:autoSpaceDN w:val="0"/>
              <w:jc w:val="left"/>
              <w:textAlignment w:val="bottom"/>
              <w:rPr>
                <w:rFonts w:hint="default" w:ascii="Arial" w:hAnsi="宋体"/>
                <w:b w:val="0"/>
                <w:i w:val="0"/>
                <w:color w:val="000000"/>
                <w:sz w:val="18"/>
                <w:szCs w:val="18"/>
                <w:u w:val="none"/>
              </w:rPr>
            </w:pPr>
          </w:p>
        </w:tc>
        <w:tc>
          <w:tcPr>
            <w:tcW w:w="1575" w:type="dxa"/>
            <w:vAlign w:val="bottom"/>
          </w:tcPr>
          <w:p>
            <w:pPr>
              <w:autoSpaceDN w:val="0"/>
              <w:jc w:val="left"/>
              <w:textAlignment w:val="bottom"/>
              <w:rPr>
                <w:rFonts w:hint="default" w:ascii="Arial" w:hAnsi="宋体"/>
                <w:b w:val="0"/>
                <w:i w:val="0"/>
                <w:color w:val="000000"/>
                <w:sz w:val="18"/>
                <w:szCs w:val="18"/>
                <w:u w:val="none"/>
              </w:rPr>
            </w:pPr>
          </w:p>
        </w:tc>
        <w:tc>
          <w:tcPr>
            <w:tcW w:w="1631"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78"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57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本年支出合计</w:t>
            </w:r>
          </w:p>
        </w:tc>
        <w:tc>
          <w:tcPr>
            <w:tcW w:w="1904"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87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57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上缴上级支出</w:t>
            </w:r>
          </w:p>
        </w:tc>
        <w:tc>
          <w:tcPr>
            <w:tcW w:w="95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经营支出</w:t>
            </w:r>
          </w:p>
        </w:tc>
        <w:tc>
          <w:tcPr>
            <w:tcW w:w="67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93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5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90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5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67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15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90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5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67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15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90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5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5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67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5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90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8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5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9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67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68.84</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65.90</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2.94</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60.46</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2.94</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水利</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60.46</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2.94</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2130304</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水利行业业务管理</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60.46</w:t>
            </w: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2.94</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738"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szCs w:val="22"/>
                <w:u w:val="none"/>
                <w:lang w:eastAsia="zh-CN"/>
              </w:rPr>
              <w:t>注：本表反映</w:t>
            </w:r>
            <w:r>
              <w:rPr>
                <w:rFonts w:hint="eastAsia" w:ascii="宋体" w:hAnsi="宋体"/>
                <w:b w:val="0"/>
                <w:i w:val="0"/>
                <w:color w:val="000000"/>
                <w:sz w:val="22"/>
                <w:szCs w:val="22"/>
                <w:u w:val="none"/>
                <w:lang w:val="en-US" w:eastAsia="zh-CN"/>
              </w:rPr>
              <w:t>单位</w:t>
            </w:r>
            <w:r>
              <w:rPr>
                <w:rFonts w:hint="default" w:ascii="宋体" w:hAnsi="宋体" w:eastAsia="宋体"/>
                <w:b w:val="0"/>
                <w:i w:val="0"/>
                <w:color w:val="000000"/>
                <w:sz w:val="22"/>
                <w:szCs w:val="22"/>
                <w:u w:val="none"/>
                <w:lang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tbl>
      <w:tblPr>
        <w:tblW w:w="146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418"/>
        <w:gridCol w:w="446"/>
        <w:gridCol w:w="2418"/>
        <w:gridCol w:w="3147"/>
        <w:gridCol w:w="446"/>
        <w:gridCol w:w="986"/>
        <w:gridCol w:w="1315"/>
        <w:gridCol w:w="1139"/>
        <w:gridCol w:w="2318"/>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420" w:hRule="atLeast"/>
        </w:trPr>
        <w:tc>
          <w:tcPr>
            <w:tcW w:w="14633"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85" w:hRule="atLeast"/>
        </w:trPr>
        <w:tc>
          <w:tcPr>
            <w:tcW w:w="2418" w:type="dxa"/>
            <w:vAlign w:val="bottom"/>
          </w:tcPr>
          <w:p>
            <w:pPr>
              <w:autoSpaceDN w:val="0"/>
              <w:jc w:val="left"/>
              <w:textAlignment w:val="bottom"/>
              <w:rPr>
                <w:rFonts w:hint="default" w:ascii="Arial" w:hAnsi="宋体"/>
                <w:b w:val="0"/>
                <w:i w:val="0"/>
                <w:color w:val="000000"/>
                <w:sz w:val="18"/>
                <w:szCs w:val="18"/>
                <w:u w:val="none"/>
              </w:rPr>
            </w:pPr>
          </w:p>
        </w:tc>
        <w:tc>
          <w:tcPr>
            <w:tcW w:w="446" w:type="dxa"/>
            <w:vAlign w:val="bottom"/>
          </w:tcPr>
          <w:p>
            <w:pPr>
              <w:autoSpaceDN w:val="0"/>
              <w:jc w:val="left"/>
              <w:textAlignment w:val="bottom"/>
              <w:rPr>
                <w:rFonts w:hint="default" w:ascii="Arial" w:hAnsi="宋体"/>
                <w:b w:val="0"/>
                <w:i w:val="0"/>
                <w:color w:val="000000"/>
                <w:sz w:val="18"/>
                <w:szCs w:val="18"/>
                <w:u w:val="none"/>
              </w:rPr>
            </w:pPr>
          </w:p>
        </w:tc>
        <w:tc>
          <w:tcPr>
            <w:tcW w:w="2418" w:type="dxa"/>
            <w:vAlign w:val="bottom"/>
          </w:tcPr>
          <w:p>
            <w:pPr>
              <w:autoSpaceDN w:val="0"/>
              <w:jc w:val="left"/>
              <w:textAlignment w:val="bottom"/>
              <w:rPr>
                <w:rFonts w:hint="default" w:ascii="Arial" w:hAnsi="宋体"/>
                <w:b w:val="0"/>
                <w:i w:val="0"/>
                <w:color w:val="000000"/>
                <w:sz w:val="18"/>
                <w:szCs w:val="18"/>
                <w:u w:val="none"/>
              </w:rPr>
            </w:pPr>
          </w:p>
        </w:tc>
        <w:tc>
          <w:tcPr>
            <w:tcW w:w="3147" w:type="dxa"/>
            <w:vAlign w:val="bottom"/>
          </w:tcPr>
          <w:p>
            <w:pPr>
              <w:autoSpaceDN w:val="0"/>
              <w:jc w:val="left"/>
              <w:textAlignment w:val="bottom"/>
              <w:rPr>
                <w:rFonts w:hint="default" w:ascii="Arial" w:hAnsi="宋体"/>
                <w:b w:val="0"/>
                <w:i w:val="0"/>
                <w:color w:val="000000"/>
                <w:sz w:val="18"/>
                <w:szCs w:val="18"/>
                <w:u w:val="none"/>
              </w:rPr>
            </w:pPr>
          </w:p>
        </w:tc>
        <w:tc>
          <w:tcPr>
            <w:tcW w:w="446" w:type="dxa"/>
            <w:vAlign w:val="bottom"/>
          </w:tcPr>
          <w:p>
            <w:pPr>
              <w:autoSpaceDN w:val="0"/>
              <w:jc w:val="left"/>
              <w:textAlignment w:val="bottom"/>
              <w:rPr>
                <w:rFonts w:hint="default" w:ascii="Arial" w:hAnsi="宋体"/>
                <w:b w:val="0"/>
                <w:i w:val="0"/>
                <w:color w:val="000000"/>
                <w:sz w:val="18"/>
                <w:szCs w:val="18"/>
                <w:u w:val="none"/>
              </w:rPr>
            </w:pPr>
          </w:p>
        </w:tc>
        <w:tc>
          <w:tcPr>
            <w:tcW w:w="986" w:type="dxa"/>
            <w:vAlign w:val="bottom"/>
          </w:tcPr>
          <w:p>
            <w:pPr>
              <w:autoSpaceDN w:val="0"/>
              <w:jc w:val="left"/>
              <w:textAlignment w:val="bottom"/>
              <w:rPr>
                <w:rFonts w:hint="default" w:ascii="Arial" w:hAnsi="宋体"/>
                <w:b w:val="0"/>
                <w:i w:val="0"/>
                <w:color w:val="000000"/>
                <w:sz w:val="18"/>
                <w:szCs w:val="18"/>
                <w:u w:val="none"/>
              </w:rPr>
            </w:pPr>
          </w:p>
        </w:tc>
        <w:tc>
          <w:tcPr>
            <w:tcW w:w="1315" w:type="dxa"/>
            <w:vAlign w:val="bottom"/>
          </w:tcPr>
          <w:p>
            <w:pPr>
              <w:autoSpaceDN w:val="0"/>
              <w:jc w:val="left"/>
              <w:textAlignment w:val="bottom"/>
              <w:rPr>
                <w:rFonts w:hint="default" w:ascii="Arial" w:hAnsi="宋体"/>
                <w:b w:val="0"/>
                <w:i w:val="0"/>
                <w:color w:val="000000"/>
                <w:sz w:val="18"/>
                <w:szCs w:val="18"/>
                <w:u w:val="none"/>
              </w:rPr>
            </w:pPr>
          </w:p>
        </w:tc>
        <w:tc>
          <w:tcPr>
            <w:tcW w:w="3457"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85" w:hRule="atLeast"/>
        </w:trPr>
        <w:tc>
          <w:tcPr>
            <w:tcW w:w="8429" w:type="dxa"/>
            <w:gridSpan w:val="4"/>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val="en-US" w:eastAsia="zh-CN"/>
              </w:rPr>
              <w:t>单位</w:t>
            </w:r>
            <w:r>
              <w:rPr>
                <w:rFonts w:hint="default" w:ascii="宋体" w:hAnsi="宋体" w:eastAsia="宋体"/>
                <w:b w:val="0"/>
                <w:i w:val="0"/>
                <w:color w:val="000000"/>
                <w:sz w:val="18"/>
                <w:szCs w:val="18"/>
                <w:u w:val="none"/>
                <w:lang w:eastAsia="zh-CN"/>
              </w:rPr>
              <w:t>：许昌市河湖管理中心</w:t>
            </w:r>
          </w:p>
        </w:tc>
        <w:tc>
          <w:tcPr>
            <w:tcW w:w="446" w:type="dxa"/>
            <w:vAlign w:val="bottom"/>
          </w:tcPr>
          <w:p>
            <w:pPr>
              <w:autoSpaceDN w:val="0"/>
              <w:jc w:val="left"/>
              <w:textAlignment w:val="bottom"/>
              <w:rPr>
                <w:rFonts w:hint="default" w:ascii="Arial" w:hAnsi="宋体"/>
                <w:b w:val="0"/>
                <w:i w:val="0"/>
                <w:color w:val="000000"/>
                <w:sz w:val="18"/>
                <w:szCs w:val="18"/>
                <w:u w:val="none"/>
              </w:rPr>
            </w:pPr>
          </w:p>
        </w:tc>
        <w:tc>
          <w:tcPr>
            <w:tcW w:w="986" w:type="dxa"/>
            <w:vAlign w:val="bottom"/>
          </w:tcPr>
          <w:p>
            <w:pPr>
              <w:autoSpaceDN w:val="0"/>
              <w:jc w:val="left"/>
              <w:textAlignment w:val="bottom"/>
              <w:rPr>
                <w:rFonts w:hint="default" w:ascii="Arial" w:hAnsi="宋体"/>
                <w:b w:val="0"/>
                <w:i w:val="0"/>
                <w:color w:val="000000"/>
                <w:sz w:val="18"/>
                <w:szCs w:val="18"/>
                <w:u w:val="none"/>
              </w:rPr>
            </w:pPr>
          </w:p>
        </w:tc>
        <w:tc>
          <w:tcPr>
            <w:tcW w:w="1315" w:type="dxa"/>
            <w:vAlign w:val="bottom"/>
          </w:tcPr>
          <w:p>
            <w:pPr>
              <w:autoSpaceDN w:val="0"/>
              <w:jc w:val="left"/>
              <w:textAlignment w:val="bottom"/>
              <w:rPr>
                <w:rFonts w:hint="default" w:ascii="Arial" w:hAnsi="宋体"/>
                <w:b w:val="0"/>
                <w:i w:val="0"/>
                <w:color w:val="000000"/>
                <w:sz w:val="18"/>
                <w:szCs w:val="18"/>
                <w:u w:val="none"/>
              </w:rPr>
            </w:pPr>
          </w:p>
        </w:tc>
        <w:tc>
          <w:tcPr>
            <w:tcW w:w="3457"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300" w:hRule="atLeast"/>
        </w:trPr>
        <w:tc>
          <w:tcPr>
            <w:tcW w:w="528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     入</w:t>
            </w:r>
          </w:p>
        </w:tc>
        <w:tc>
          <w:tcPr>
            <w:tcW w:w="9351"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85" w:hRule="atLeast"/>
        </w:trPr>
        <w:tc>
          <w:tcPr>
            <w:tcW w:w="2418"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241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14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98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31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一般公共预算财政拨款</w:t>
            </w:r>
          </w:p>
        </w:tc>
        <w:tc>
          <w:tcPr>
            <w:tcW w:w="113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政府性基金预算财政拨款</w:t>
            </w:r>
          </w:p>
        </w:tc>
        <w:tc>
          <w:tcPr>
            <w:tcW w:w="231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highlight w:val="none"/>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615" w:hRule="atLeast"/>
        </w:trPr>
        <w:tc>
          <w:tcPr>
            <w:tcW w:w="2418"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446" w:type="dxa"/>
            <w:vMerge w:val="continue"/>
            <w:tcBorders>
              <w:bottom w:val="single" w:color="000000" w:sz="4" w:space="0"/>
              <w:right w:val="single" w:color="000000" w:sz="4" w:space="0"/>
            </w:tcBorders>
            <w:vAlign w:val="center"/>
          </w:tcPr>
          <w:p>
            <w:pPr>
              <w:rPr>
                <w:rFonts w:hint="default" w:ascii="宋体" w:hAnsi="宋体"/>
                <w:sz w:val="24"/>
              </w:rPr>
            </w:pPr>
          </w:p>
        </w:tc>
        <w:tc>
          <w:tcPr>
            <w:tcW w:w="2418" w:type="dxa"/>
            <w:vMerge w:val="continue"/>
            <w:tcBorders>
              <w:bottom w:val="single" w:color="000000" w:sz="4" w:space="0"/>
              <w:right w:val="single" w:color="000000" w:sz="4" w:space="0"/>
            </w:tcBorders>
            <w:vAlign w:val="center"/>
          </w:tcPr>
          <w:p>
            <w:pPr>
              <w:rPr>
                <w:rFonts w:hint="default" w:ascii="宋体" w:hAnsi="宋体"/>
                <w:sz w:val="24"/>
              </w:rPr>
            </w:pPr>
          </w:p>
        </w:tc>
        <w:tc>
          <w:tcPr>
            <w:tcW w:w="3147" w:type="dxa"/>
            <w:vMerge w:val="continue"/>
            <w:tcBorders>
              <w:bottom w:val="single" w:color="000000" w:sz="4" w:space="0"/>
              <w:right w:val="single" w:color="000000" w:sz="4" w:space="0"/>
            </w:tcBorders>
            <w:vAlign w:val="center"/>
          </w:tcPr>
          <w:p>
            <w:pPr>
              <w:rPr>
                <w:rFonts w:hint="default" w:ascii="宋体" w:hAnsi="宋体"/>
                <w:sz w:val="24"/>
              </w:rPr>
            </w:pPr>
          </w:p>
        </w:tc>
        <w:tc>
          <w:tcPr>
            <w:tcW w:w="446" w:type="dxa"/>
            <w:vMerge w:val="continue"/>
            <w:tcBorders>
              <w:bottom w:val="single" w:color="000000" w:sz="4" w:space="0"/>
              <w:right w:val="single" w:color="000000" w:sz="4" w:space="0"/>
            </w:tcBorders>
            <w:vAlign w:val="center"/>
          </w:tcPr>
          <w:p>
            <w:pPr>
              <w:rPr>
                <w:rFonts w:hint="default" w:ascii="宋体" w:hAnsi="宋体"/>
                <w:sz w:val="24"/>
              </w:rPr>
            </w:pPr>
          </w:p>
        </w:tc>
        <w:tc>
          <w:tcPr>
            <w:tcW w:w="986" w:type="dxa"/>
            <w:vMerge w:val="continue"/>
            <w:tcBorders>
              <w:bottom w:val="single" w:color="000000" w:sz="4" w:space="0"/>
              <w:right w:val="single" w:color="000000" w:sz="4" w:space="0"/>
            </w:tcBorders>
            <w:vAlign w:val="center"/>
          </w:tcPr>
          <w:p>
            <w:pPr>
              <w:rPr>
                <w:rFonts w:hint="default" w:ascii="宋体" w:hAnsi="宋体"/>
                <w:sz w:val="24"/>
              </w:rPr>
            </w:pPr>
          </w:p>
        </w:tc>
        <w:tc>
          <w:tcPr>
            <w:tcW w:w="1315" w:type="dxa"/>
            <w:vMerge w:val="continue"/>
            <w:tcBorders>
              <w:bottom w:val="single" w:color="000000" w:sz="4" w:space="0"/>
              <w:right w:val="single" w:color="000000" w:sz="4" w:space="0"/>
            </w:tcBorders>
            <w:vAlign w:val="center"/>
          </w:tcPr>
          <w:p>
            <w:pPr>
              <w:rPr>
                <w:rFonts w:hint="default" w:ascii="宋体" w:hAnsi="宋体"/>
                <w:sz w:val="24"/>
              </w:rPr>
            </w:pPr>
          </w:p>
        </w:tc>
        <w:tc>
          <w:tcPr>
            <w:tcW w:w="1139" w:type="dxa"/>
            <w:vMerge w:val="continue"/>
            <w:tcBorders>
              <w:bottom w:val="single" w:color="000000" w:sz="4" w:space="0"/>
              <w:right w:val="single" w:color="000000" w:sz="4" w:space="0"/>
            </w:tcBorders>
            <w:vAlign w:val="center"/>
          </w:tcPr>
          <w:p>
            <w:pPr>
              <w:rPr>
                <w:rFonts w:hint="default" w:ascii="宋体" w:hAnsi="宋体"/>
                <w:sz w:val="24"/>
              </w:rPr>
            </w:pPr>
          </w:p>
        </w:tc>
        <w:tc>
          <w:tcPr>
            <w:tcW w:w="2318"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300" w:hRule="atLeast"/>
        </w:trPr>
        <w:tc>
          <w:tcPr>
            <w:tcW w:w="2418"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24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1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31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3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30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61.74</w:t>
            </w: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30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30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三、国有资本经营财政拨款</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9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55" w:hRule="atLeast"/>
        </w:trPr>
        <w:tc>
          <w:tcPr>
            <w:tcW w:w="241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2418"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986"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5" w:type="dxa"/>
          <w:trHeight w:val="255" w:hRule="atLeast"/>
        </w:trPr>
        <w:tc>
          <w:tcPr>
            <w:tcW w:w="241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2418"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986"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8"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67" w:hRule="atLeast"/>
        </w:trPr>
        <w:tc>
          <w:tcPr>
            <w:tcW w:w="241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2418"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446"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986"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5"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418"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61.74</w:t>
            </w:r>
          </w:p>
        </w:tc>
        <w:tc>
          <w:tcPr>
            <w:tcW w:w="31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68.84</w:t>
            </w: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68.84</w:t>
            </w: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年初财政拨款结转和结余</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7.10</w:t>
            </w: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年末财政拨款结转和结余</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一般公共预算财政拨款</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7.10</w:t>
            </w: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政府性基金预算财政拨款</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国有资本经营预算财政拨款</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4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418"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6"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24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68.84</w:t>
            </w:r>
          </w:p>
        </w:tc>
        <w:tc>
          <w:tcPr>
            <w:tcW w:w="314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w:t>
            </w:r>
          </w:p>
        </w:tc>
        <w:tc>
          <w:tcPr>
            <w:tcW w:w="9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68.84</w:t>
            </w:r>
          </w:p>
        </w:tc>
        <w:tc>
          <w:tcPr>
            <w:tcW w:w="13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68.84</w:t>
            </w:r>
          </w:p>
        </w:tc>
        <w:tc>
          <w:tcPr>
            <w:tcW w:w="11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3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20" w:hRule="atLeast"/>
        </w:trPr>
        <w:tc>
          <w:tcPr>
            <w:tcW w:w="14648" w:type="dxa"/>
            <w:gridSpan w:val="10"/>
            <w:vAlign w:val="center"/>
          </w:tcPr>
          <w:p>
            <w:pPr>
              <w:autoSpaceDN w:val="0"/>
              <w:jc w:val="left"/>
              <w:textAlignment w:val="center"/>
              <w:rPr>
                <w:rFonts w:hint="default" w:ascii="宋体" w:hAnsi="宋体" w:eastAsia="宋体"/>
                <w:b w:val="0"/>
                <w:i w:val="0"/>
                <w:color w:val="000000"/>
                <w:sz w:val="20"/>
                <w:szCs w:val="20"/>
                <w:highlight w:val="none"/>
                <w:u w:val="none"/>
                <w:lang w:eastAsia="zh-CN"/>
              </w:rPr>
            </w:pPr>
            <w:r>
              <w:rPr>
                <w:rFonts w:hint="default" w:ascii="宋体" w:hAnsi="宋体" w:eastAsia="宋体"/>
                <w:b w:val="0"/>
                <w:i w:val="0"/>
                <w:color w:val="auto"/>
                <w:sz w:val="22"/>
                <w:szCs w:val="22"/>
                <w:highlight w:val="none"/>
                <w:u w:val="none"/>
                <w:lang w:eastAsia="zh-CN"/>
              </w:rPr>
              <w:t>注：本表反映</w:t>
            </w:r>
            <w:r>
              <w:rPr>
                <w:rFonts w:hint="eastAsia" w:ascii="宋体" w:hAnsi="宋体"/>
                <w:b w:val="0"/>
                <w:i w:val="0"/>
                <w:color w:val="auto"/>
                <w:sz w:val="22"/>
                <w:szCs w:val="22"/>
                <w:highlight w:val="none"/>
                <w:u w:val="none"/>
                <w:lang w:val="en-US" w:eastAsia="zh-CN"/>
              </w:rPr>
              <w:t>单位</w:t>
            </w:r>
            <w:r>
              <w:rPr>
                <w:rFonts w:hint="default" w:ascii="宋体" w:hAnsi="宋体" w:eastAsia="宋体"/>
                <w:b w:val="0"/>
                <w:i w:val="0"/>
                <w:color w:val="auto"/>
                <w:sz w:val="22"/>
                <w:szCs w:val="22"/>
                <w:highlight w:val="none"/>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417" w:right="1440" w:bottom="1417"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tbl>
      <w:tblPr>
        <w:tblW w:w="147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0"/>
        <w:gridCol w:w="959"/>
        <w:gridCol w:w="959"/>
        <w:gridCol w:w="3930"/>
        <w:gridCol w:w="2955"/>
        <w:gridCol w:w="2715"/>
        <w:gridCol w:w="2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0" w:hRule="atLeast"/>
        </w:trPr>
        <w:tc>
          <w:tcPr>
            <w:tcW w:w="14723" w:type="dxa"/>
            <w:gridSpan w:val="7"/>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330" w:type="dxa"/>
            <w:vAlign w:val="bottom"/>
          </w:tcPr>
          <w:p>
            <w:pPr>
              <w:autoSpaceDN w:val="0"/>
              <w:jc w:val="left"/>
              <w:textAlignment w:val="bottom"/>
              <w:rPr>
                <w:rFonts w:hint="default" w:ascii="Arial" w:hAnsi="宋体"/>
                <w:b w:val="0"/>
                <w:i w:val="0"/>
                <w:color w:val="000000"/>
                <w:sz w:val="20"/>
                <w:u w:val="none"/>
              </w:rPr>
            </w:pPr>
          </w:p>
        </w:tc>
        <w:tc>
          <w:tcPr>
            <w:tcW w:w="959" w:type="dxa"/>
            <w:vAlign w:val="bottom"/>
          </w:tcPr>
          <w:p>
            <w:pPr>
              <w:autoSpaceDN w:val="0"/>
              <w:jc w:val="left"/>
              <w:textAlignment w:val="bottom"/>
              <w:rPr>
                <w:rFonts w:hint="default" w:ascii="Arial" w:hAnsi="宋体"/>
                <w:b w:val="0"/>
                <w:i w:val="0"/>
                <w:color w:val="000000"/>
                <w:sz w:val="20"/>
                <w:u w:val="none"/>
              </w:rPr>
            </w:pPr>
          </w:p>
        </w:tc>
        <w:tc>
          <w:tcPr>
            <w:tcW w:w="959" w:type="dxa"/>
            <w:vAlign w:val="bottom"/>
          </w:tcPr>
          <w:p>
            <w:pPr>
              <w:autoSpaceDN w:val="0"/>
              <w:jc w:val="left"/>
              <w:textAlignment w:val="bottom"/>
              <w:rPr>
                <w:rFonts w:hint="default" w:ascii="Arial" w:hAnsi="宋体"/>
                <w:b w:val="0"/>
                <w:i w:val="0"/>
                <w:color w:val="000000"/>
                <w:sz w:val="20"/>
                <w:u w:val="none"/>
              </w:rPr>
            </w:pPr>
          </w:p>
        </w:tc>
        <w:tc>
          <w:tcPr>
            <w:tcW w:w="3930" w:type="dxa"/>
            <w:vAlign w:val="bottom"/>
          </w:tcPr>
          <w:p>
            <w:pPr>
              <w:autoSpaceDN w:val="0"/>
              <w:jc w:val="left"/>
              <w:textAlignment w:val="bottom"/>
              <w:rPr>
                <w:rFonts w:hint="default" w:ascii="Arial" w:hAnsi="宋体"/>
                <w:b w:val="0"/>
                <w:i w:val="0"/>
                <w:color w:val="000000"/>
                <w:sz w:val="20"/>
                <w:u w:val="none"/>
              </w:rPr>
            </w:pPr>
          </w:p>
        </w:tc>
        <w:tc>
          <w:tcPr>
            <w:tcW w:w="2955" w:type="dxa"/>
            <w:vAlign w:val="bottom"/>
          </w:tcPr>
          <w:p>
            <w:pPr>
              <w:autoSpaceDN w:val="0"/>
              <w:jc w:val="left"/>
              <w:textAlignment w:val="bottom"/>
              <w:rPr>
                <w:rFonts w:hint="default" w:ascii="Arial" w:hAnsi="宋体"/>
                <w:b w:val="0"/>
                <w:i w:val="0"/>
                <w:color w:val="000000"/>
                <w:sz w:val="20"/>
                <w:u w:val="none"/>
              </w:rPr>
            </w:pPr>
          </w:p>
        </w:tc>
        <w:tc>
          <w:tcPr>
            <w:tcW w:w="559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18"/>
                <w:szCs w:val="18"/>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9133" w:type="dxa"/>
            <w:gridSpan w:val="5"/>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val="en-US" w:eastAsia="zh-CN"/>
              </w:rPr>
              <w:t>单位</w:t>
            </w:r>
            <w:r>
              <w:rPr>
                <w:rFonts w:hint="default" w:ascii="宋体" w:hAnsi="宋体" w:eastAsia="宋体"/>
                <w:b w:val="0"/>
                <w:i w:val="0"/>
                <w:color w:val="000000"/>
                <w:sz w:val="18"/>
                <w:szCs w:val="18"/>
                <w:u w:val="none"/>
                <w:lang w:eastAsia="zh-CN"/>
              </w:rPr>
              <w:t>：许昌市河湖管理中心</w:t>
            </w:r>
          </w:p>
        </w:tc>
        <w:tc>
          <w:tcPr>
            <w:tcW w:w="5590"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78"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8545"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93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95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271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287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0" w:hRule="atLeast"/>
        </w:trPr>
        <w:tc>
          <w:tcPr>
            <w:tcW w:w="224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2955" w:type="dxa"/>
            <w:vMerge w:val="continue"/>
            <w:tcBorders>
              <w:bottom w:val="single" w:color="000000" w:sz="4" w:space="0"/>
              <w:right w:val="single" w:color="000000" w:sz="4" w:space="0"/>
            </w:tcBorders>
            <w:vAlign w:val="center"/>
          </w:tcPr>
          <w:p>
            <w:pPr>
              <w:rPr>
                <w:rFonts w:hint="default" w:ascii="宋体" w:hAnsi="宋体"/>
                <w:sz w:val="24"/>
              </w:rPr>
            </w:pPr>
          </w:p>
        </w:tc>
        <w:tc>
          <w:tcPr>
            <w:tcW w:w="2715" w:type="dxa"/>
            <w:vMerge w:val="continue"/>
            <w:tcBorders>
              <w:bottom w:val="single" w:color="000000" w:sz="4" w:space="0"/>
              <w:right w:val="single" w:color="000000" w:sz="4" w:space="0"/>
            </w:tcBorders>
            <w:vAlign w:val="center"/>
          </w:tcPr>
          <w:p>
            <w:pPr>
              <w:rPr>
                <w:rFonts w:hint="default" w:ascii="宋体" w:hAnsi="宋体"/>
                <w:sz w:val="24"/>
              </w:rPr>
            </w:pPr>
          </w:p>
        </w:tc>
        <w:tc>
          <w:tcPr>
            <w:tcW w:w="2875"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930" w:type="dxa"/>
            <w:vMerge w:val="continue"/>
            <w:tcBorders>
              <w:bottom w:val="single" w:color="000000" w:sz="4" w:space="0"/>
              <w:right w:val="single" w:color="000000" w:sz="4" w:space="0"/>
            </w:tcBorders>
            <w:vAlign w:val="center"/>
          </w:tcPr>
          <w:p>
            <w:pPr>
              <w:rPr>
                <w:rFonts w:hint="default" w:ascii="宋体" w:hAnsi="宋体"/>
                <w:sz w:val="24"/>
              </w:rPr>
            </w:pPr>
          </w:p>
        </w:tc>
        <w:tc>
          <w:tcPr>
            <w:tcW w:w="2955" w:type="dxa"/>
            <w:vMerge w:val="continue"/>
            <w:tcBorders>
              <w:bottom w:val="single" w:color="000000" w:sz="4" w:space="0"/>
              <w:right w:val="single" w:color="000000" w:sz="4" w:space="0"/>
            </w:tcBorders>
            <w:vAlign w:val="center"/>
          </w:tcPr>
          <w:p>
            <w:pPr>
              <w:rPr>
                <w:rFonts w:hint="default" w:ascii="宋体" w:hAnsi="宋体"/>
                <w:sz w:val="24"/>
              </w:rPr>
            </w:pPr>
          </w:p>
        </w:tc>
        <w:tc>
          <w:tcPr>
            <w:tcW w:w="2715" w:type="dxa"/>
            <w:vMerge w:val="continue"/>
            <w:tcBorders>
              <w:bottom w:val="single" w:color="000000" w:sz="4" w:space="0"/>
              <w:right w:val="single" w:color="000000" w:sz="4" w:space="0"/>
            </w:tcBorders>
            <w:vAlign w:val="center"/>
          </w:tcPr>
          <w:p>
            <w:pPr>
              <w:rPr>
                <w:rFonts w:hint="default" w:ascii="宋体" w:hAnsi="宋体"/>
                <w:sz w:val="24"/>
              </w:rPr>
            </w:pPr>
          </w:p>
        </w:tc>
        <w:tc>
          <w:tcPr>
            <w:tcW w:w="2875"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95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71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8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68.84</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65.90</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3.55</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60.46</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21303</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水利</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60.46</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2130304</w:t>
            </w: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水利行业业务管理</w:t>
            </w: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63.40</w:t>
            </w: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60.46</w:t>
            </w: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93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7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723" w:type="dxa"/>
            <w:gridSpan w:val="7"/>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szCs w:val="22"/>
                <w:u w:val="none"/>
                <w:lang w:eastAsia="zh-CN"/>
              </w:rPr>
              <w:t>注：本表反映</w:t>
            </w:r>
            <w:r>
              <w:rPr>
                <w:rFonts w:hint="eastAsia" w:ascii="宋体" w:hAnsi="宋体"/>
                <w:b w:val="0"/>
                <w:i w:val="0"/>
                <w:color w:val="000000"/>
                <w:sz w:val="22"/>
                <w:szCs w:val="22"/>
                <w:u w:val="none"/>
                <w:lang w:val="en-US" w:eastAsia="zh-CN"/>
              </w:rPr>
              <w:t>单位</w:t>
            </w:r>
            <w:r>
              <w:rPr>
                <w:rFonts w:hint="default" w:ascii="宋体" w:hAnsi="宋体" w:eastAsia="宋体"/>
                <w:b w:val="0"/>
                <w:i w:val="0"/>
                <w:color w:val="000000"/>
                <w:sz w:val="22"/>
                <w:szCs w:val="22"/>
                <w:u w:val="none"/>
                <w:lang w:eastAsia="zh-CN"/>
              </w:rPr>
              <w:t>本年度一般公共预算财政拨款支出情况。</w:t>
            </w:r>
            <w:r>
              <w:rPr>
                <w:rFonts w:hint="eastAsia" w:ascii="宋体" w:hAnsi="宋体" w:eastAsia="宋体"/>
                <w:b w:val="0"/>
                <w:i w:val="0"/>
                <w:color w:val="000000"/>
                <w:sz w:val="22"/>
                <w:szCs w:val="22"/>
                <w:u w:val="none"/>
                <w:lang w:eastAsia="zh-CN"/>
              </w:rPr>
              <w:t>本表金额转换为万元时，因四舍五入可能存在尾差</w:t>
            </w:r>
            <w:r>
              <w:rPr>
                <w:rFonts w:hint="default" w:ascii="宋体" w:hAnsi="宋体" w:eastAsia="宋体"/>
                <w:b w:val="0"/>
                <w:i w:val="0"/>
                <w:color w:val="000000"/>
                <w:sz w:val="22"/>
                <w:szCs w:val="22"/>
                <w:u w:val="none"/>
                <w:lang w:eastAsia="zh-CN"/>
              </w:rPr>
              <w:t>。</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tbl>
      <w:tblPr>
        <w:tblW w:w="147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29"/>
        <w:gridCol w:w="2532"/>
        <w:gridCol w:w="1015"/>
        <w:gridCol w:w="629"/>
        <w:gridCol w:w="2159"/>
        <w:gridCol w:w="1066"/>
        <w:gridCol w:w="629"/>
        <w:gridCol w:w="3033"/>
        <w:gridCol w:w="3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0" w:hRule="atLeast"/>
        </w:trPr>
        <w:tc>
          <w:tcPr>
            <w:tcW w:w="14725"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一般公共预算财政拨款基本支出决算</w:t>
            </w:r>
            <w:r>
              <w:rPr>
                <w:rFonts w:hint="eastAsia" w:ascii="宋体" w:hAnsi="宋体"/>
                <w:b w:val="0"/>
                <w:i w:val="0"/>
                <w:color w:val="000000"/>
                <w:sz w:val="30"/>
                <w:szCs w:val="30"/>
                <w:u w:val="none"/>
                <w:lang w:val="en-US" w:eastAsia="zh-CN"/>
              </w:rPr>
              <w:t>明细</w:t>
            </w:r>
            <w:r>
              <w:rPr>
                <w:rFonts w:hint="default" w:ascii="宋体" w:hAnsi="宋体" w:eastAsia="宋体"/>
                <w:b w:val="0"/>
                <w:i w:val="0"/>
                <w:color w:val="000000"/>
                <w:sz w:val="30"/>
                <w:szCs w:val="30"/>
                <w:u w:val="none"/>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629" w:type="dxa"/>
            <w:vAlign w:val="bottom"/>
          </w:tcPr>
          <w:p>
            <w:pPr>
              <w:autoSpaceDN w:val="0"/>
              <w:jc w:val="left"/>
              <w:textAlignment w:val="bottom"/>
              <w:rPr>
                <w:rFonts w:hint="default" w:ascii="Arial" w:hAnsi="宋体"/>
                <w:b w:val="0"/>
                <w:i w:val="0"/>
                <w:color w:val="000000"/>
                <w:sz w:val="18"/>
                <w:szCs w:val="18"/>
                <w:u w:val="none"/>
              </w:rPr>
            </w:pPr>
          </w:p>
        </w:tc>
        <w:tc>
          <w:tcPr>
            <w:tcW w:w="2532" w:type="dxa"/>
            <w:vAlign w:val="bottom"/>
          </w:tcPr>
          <w:p>
            <w:pPr>
              <w:autoSpaceDN w:val="0"/>
              <w:jc w:val="left"/>
              <w:textAlignment w:val="bottom"/>
              <w:rPr>
                <w:rFonts w:hint="default" w:ascii="Arial" w:hAnsi="宋体"/>
                <w:b w:val="0"/>
                <w:i w:val="0"/>
                <w:color w:val="000000"/>
                <w:sz w:val="18"/>
                <w:szCs w:val="18"/>
                <w:u w:val="none"/>
              </w:rPr>
            </w:pPr>
          </w:p>
        </w:tc>
        <w:tc>
          <w:tcPr>
            <w:tcW w:w="1015" w:type="dxa"/>
            <w:vAlign w:val="bottom"/>
          </w:tcPr>
          <w:p>
            <w:pPr>
              <w:autoSpaceDN w:val="0"/>
              <w:jc w:val="left"/>
              <w:textAlignment w:val="bottom"/>
              <w:rPr>
                <w:rFonts w:hint="default" w:ascii="Arial" w:hAnsi="宋体"/>
                <w:b w:val="0"/>
                <w:i w:val="0"/>
                <w:color w:val="000000"/>
                <w:sz w:val="18"/>
                <w:szCs w:val="18"/>
                <w:u w:val="none"/>
              </w:rPr>
            </w:pPr>
          </w:p>
        </w:tc>
        <w:tc>
          <w:tcPr>
            <w:tcW w:w="629" w:type="dxa"/>
            <w:vAlign w:val="bottom"/>
          </w:tcPr>
          <w:p>
            <w:pPr>
              <w:autoSpaceDN w:val="0"/>
              <w:jc w:val="left"/>
              <w:textAlignment w:val="bottom"/>
              <w:rPr>
                <w:rFonts w:hint="default" w:ascii="Arial" w:hAnsi="宋体"/>
                <w:b w:val="0"/>
                <w:i w:val="0"/>
                <w:color w:val="000000"/>
                <w:sz w:val="18"/>
                <w:szCs w:val="18"/>
                <w:u w:val="none"/>
              </w:rPr>
            </w:pPr>
          </w:p>
        </w:tc>
        <w:tc>
          <w:tcPr>
            <w:tcW w:w="2159" w:type="dxa"/>
            <w:vAlign w:val="bottom"/>
          </w:tcPr>
          <w:p>
            <w:pPr>
              <w:autoSpaceDN w:val="0"/>
              <w:jc w:val="left"/>
              <w:textAlignment w:val="bottom"/>
              <w:rPr>
                <w:rFonts w:hint="default" w:ascii="Arial" w:hAnsi="宋体"/>
                <w:b w:val="0"/>
                <w:i w:val="0"/>
                <w:color w:val="000000"/>
                <w:sz w:val="18"/>
                <w:szCs w:val="18"/>
                <w:u w:val="none"/>
              </w:rPr>
            </w:pPr>
          </w:p>
        </w:tc>
        <w:tc>
          <w:tcPr>
            <w:tcW w:w="1066" w:type="dxa"/>
            <w:vAlign w:val="bottom"/>
          </w:tcPr>
          <w:p>
            <w:pPr>
              <w:autoSpaceDN w:val="0"/>
              <w:jc w:val="left"/>
              <w:textAlignment w:val="bottom"/>
              <w:rPr>
                <w:rFonts w:hint="default" w:ascii="Arial" w:hAnsi="宋体"/>
                <w:b w:val="0"/>
                <w:i w:val="0"/>
                <w:color w:val="000000"/>
                <w:sz w:val="18"/>
                <w:szCs w:val="18"/>
                <w:u w:val="none"/>
              </w:rPr>
            </w:pPr>
          </w:p>
        </w:tc>
        <w:tc>
          <w:tcPr>
            <w:tcW w:w="629" w:type="dxa"/>
            <w:vAlign w:val="bottom"/>
          </w:tcPr>
          <w:p>
            <w:pPr>
              <w:autoSpaceDN w:val="0"/>
              <w:jc w:val="left"/>
              <w:textAlignment w:val="bottom"/>
              <w:rPr>
                <w:rFonts w:hint="default" w:ascii="Arial" w:hAnsi="宋体"/>
                <w:b w:val="0"/>
                <w:i w:val="0"/>
                <w:color w:val="000000"/>
                <w:sz w:val="18"/>
                <w:szCs w:val="18"/>
                <w:u w:val="none"/>
              </w:rPr>
            </w:pPr>
          </w:p>
        </w:tc>
        <w:tc>
          <w:tcPr>
            <w:tcW w:w="6066"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4805" w:type="dxa"/>
            <w:gridSpan w:val="4"/>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val="en-US" w:eastAsia="zh-CN"/>
              </w:rPr>
              <w:t>单位</w:t>
            </w:r>
            <w:r>
              <w:rPr>
                <w:rFonts w:hint="default" w:ascii="宋体" w:hAnsi="宋体" w:eastAsia="宋体"/>
                <w:b w:val="0"/>
                <w:i w:val="0"/>
                <w:color w:val="000000"/>
                <w:sz w:val="18"/>
                <w:szCs w:val="18"/>
                <w:u w:val="none"/>
                <w:lang w:eastAsia="zh-CN"/>
              </w:rPr>
              <w:t>：许昌市河湖管理中心</w:t>
            </w:r>
          </w:p>
        </w:tc>
        <w:tc>
          <w:tcPr>
            <w:tcW w:w="2159" w:type="dxa"/>
            <w:vAlign w:val="bottom"/>
          </w:tcPr>
          <w:p>
            <w:pPr>
              <w:autoSpaceDN w:val="0"/>
              <w:jc w:val="left"/>
              <w:textAlignment w:val="bottom"/>
              <w:rPr>
                <w:rFonts w:hint="default" w:ascii="Arial" w:hAnsi="宋体"/>
                <w:b w:val="0"/>
                <w:i w:val="0"/>
                <w:color w:val="000000"/>
                <w:sz w:val="18"/>
                <w:szCs w:val="18"/>
                <w:u w:val="none"/>
              </w:rPr>
            </w:pPr>
          </w:p>
        </w:tc>
        <w:tc>
          <w:tcPr>
            <w:tcW w:w="1066" w:type="dxa"/>
            <w:vAlign w:val="bottom"/>
          </w:tcPr>
          <w:p>
            <w:pPr>
              <w:autoSpaceDN w:val="0"/>
              <w:jc w:val="left"/>
              <w:textAlignment w:val="bottom"/>
              <w:rPr>
                <w:rFonts w:hint="default" w:ascii="Arial" w:hAnsi="宋体"/>
                <w:b w:val="0"/>
                <w:i w:val="0"/>
                <w:color w:val="000000"/>
                <w:sz w:val="18"/>
                <w:szCs w:val="18"/>
                <w:u w:val="none"/>
              </w:rPr>
            </w:pPr>
          </w:p>
        </w:tc>
        <w:tc>
          <w:tcPr>
            <w:tcW w:w="629" w:type="dxa"/>
            <w:vAlign w:val="bottom"/>
          </w:tcPr>
          <w:p>
            <w:pPr>
              <w:autoSpaceDN w:val="0"/>
              <w:jc w:val="left"/>
              <w:textAlignment w:val="bottom"/>
              <w:rPr>
                <w:rFonts w:hint="default" w:ascii="Arial" w:hAnsi="宋体"/>
                <w:b w:val="0"/>
                <w:i w:val="0"/>
                <w:color w:val="000000"/>
                <w:sz w:val="18"/>
                <w:szCs w:val="18"/>
                <w:u w:val="none"/>
              </w:rPr>
            </w:pPr>
          </w:p>
        </w:tc>
        <w:tc>
          <w:tcPr>
            <w:tcW w:w="6066" w:type="dxa"/>
            <w:gridSpan w:val="2"/>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w:t>
            </w:r>
          </w:p>
        </w:tc>
        <w:tc>
          <w:tcPr>
            <w:tcW w:w="10549"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53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01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62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15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06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62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303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303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532" w:type="dxa"/>
            <w:vMerge w:val="continue"/>
            <w:tcBorders>
              <w:bottom w:val="single" w:color="000000" w:sz="4" w:space="0"/>
              <w:right w:val="single" w:color="000000" w:sz="4" w:space="0"/>
            </w:tcBorders>
            <w:vAlign w:val="center"/>
          </w:tcPr>
          <w:p>
            <w:pPr>
              <w:rPr>
                <w:rFonts w:hint="default" w:ascii="宋体" w:hAnsi="宋体"/>
                <w:sz w:val="24"/>
              </w:rPr>
            </w:pPr>
          </w:p>
        </w:tc>
        <w:tc>
          <w:tcPr>
            <w:tcW w:w="1015" w:type="dxa"/>
            <w:vMerge w:val="continue"/>
            <w:tcBorders>
              <w:bottom w:val="single" w:color="000000" w:sz="4" w:space="0"/>
              <w:right w:val="single" w:color="000000" w:sz="4" w:space="0"/>
            </w:tcBorders>
            <w:vAlign w:val="center"/>
          </w:tcPr>
          <w:p>
            <w:pPr>
              <w:rPr>
                <w:rFonts w:hint="default" w:ascii="宋体" w:hAnsi="宋体"/>
                <w:sz w:val="24"/>
              </w:rPr>
            </w:pPr>
          </w:p>
        </w:tc>
        <w:tc>
          <w:tcPr>
            <w:tcW w:w="629" w:type="dxa"/>
            <w:vMerge w:val="continue"/>
            <w:tcBorders>
              <w:bottom w:val="single" w:color="000000" w:sz="4" w:space="0"/>
              <w:right w:val="single" w:color="000000" w:sz="4" w:space="0"/>
            </w:tcBorders>
            <w:vAlign w:val="center"/>
          </w:tcPr>
          <w:p>
            <w:pPr>
              <w:rPr>
                <w:rFonts w:hint="default" w:ascii="宋体" w:hAnsi="宋体"/>
                <w:sz w:val="24"/>
              </w:rPr>
            </w:pPr>
          </w:p>
        </w:tc>
        <w:tc>
          <w:tcPr>
            <w:tcW w:w="2159" w:type="dxa"/>
            <w:vMerge w:val="continue"/>
            <w:tcBorders>
              <w:bottom w:val="single" w:color="000000" w:sz="4" w:space="0"/>
              <w:right w:val="single" w:color="000000" w:sz="4" w:space="0"/>
            </w:tcBorders>
            <w:vAlign w:val="center"/>
          </w:tcPr>
          <w:p>
            <w:pPr>
              <w:rPr>
                <w:rFonts w:hint="default" w:ascii="宋体" w:hAnsi="宋体"/>
                <w:sz w:val="24"/>
              </w:rPr>
            </w:pPr>
          </w:p>
        </w:tc>
        <w:tc>
          <w:tcPr>
            <w:tcW w:w="1066" w:type="dxa"/>
            <w:vMerge w:val="continue"/>
            <w:tcBorders>
              <w:bottom w:val="single" w:color="000000" w:sz="4" w:space="0"/>
              <w:right w:val="single" w:color="000000" w:sz="4" w:space="0"/>
            </w:tcBorders>
            <w:vAlign w:val="center"/>
          </w:tcPr>
          <w:p>
            <w:pPr>
              <w:rPr>
                <w:rFonts w:hint="default" w:ascii="宋体" w:hAnsi="宋体"/>
                <w:sz w:val="24"/>
              </w:rPr>
            </w:pPr>
          </w:p>
        </w:tc>
        <w:tc>
          <w:tcPr>
            <w:tcW w:w="629" w:type="dxa"/>
            <w:vMerge w:val="continue"/>
            <w:tcBorders>
              <w:bottom w:val="single" w:color="000000" w:sz="4" w:space="0"/>
              <w:right w:val="single" w:color="000000" w:sz="4" w:space="0"/>
            </w:tcBorders>
            <w:vAlign w:val="center"/>
          </w:tcPr>
          <w:p>
            <w:pPr>
              <w:rPr>
                <w:rFonts w:hint="default" w:ascii="宋体" w:hAnsi="宋体"/>
                <w:sz w:val="24"/>
              </w:rPr>
            </w:pPr>
          </w:p>
        </w:tc>
        <w:tc>
          <w:tcPr>
            <w:tcW w:w="3033" w:type="dxa"/>
            <w:vMerge w:val="continue"/>
            <w:tcBorders>
              <w:bottom w:val="single" w:color="000000" w:sz="4" w:space="0"/>
              <w:right w:val="single" w:color="000000" w:sz="4" w:space="0"/>
            </w:tcBorders>
            <w:vAlign w:val="center"/>
          </w:tcPr>
          <w:p>
            <w:pPr>
              <w:rPr>
                <w:rFonts w:hint="default" w:ascii="宋体" w:hAnsi="宋体"/>
                <w:sz w:val="24"/>
              </w:rPr>
            </w:pPr>
          </w:p>
        </w:tc>
        <w:tc>
          <w:tcPr>
            <w:tcW w:w="3033"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工资福利支出</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56.57</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商品和服务支出</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8.81</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债务利息及费用支出</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30101</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基本工资</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15.75</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30201</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30701</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国内债务付息</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30102</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津贴补贴</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6.07</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30202</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印刷费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2.09</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30702</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国外债务付息</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30103</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奖金</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8.50</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30203</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咨询费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资本性支出</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30106</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伙食补助费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30204</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手续费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31001</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房屋建筑物购建</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30107</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绩效工资</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17.55</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30205</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0.02</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31002</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办公设备购置</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30108</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30206</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电费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0.14</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31003</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专用设备购置</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30109</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职业年金缴费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30207</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邮电费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31005</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基础设施建设</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30110</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职工基本医疗保险缴费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30208</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取暖费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0.11</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31006</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大型修缮</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30111</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公务员医疗补助缴费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30209</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物业管理费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0.34</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31007</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信息网络及软件购置更新</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30112</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其他社会保障缴费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0.20</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30211</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差旅费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0.36</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31008</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物资储备</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30113</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3.22</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30212</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因公出国（境）费用</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31009</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土地补偿</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30114</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30213</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维修（护）费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0.17</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31010</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安置补助</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30199</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其他工资福利支出</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30214</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租赁费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31011</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地上附着物和青苗补偿</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对个人和家庭的补助</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30215</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会议费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0.54</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31012</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拆迁补偿</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30301</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离休费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30216</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培训费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0.01</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31013</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公务用车购置</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30302</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退休费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30217</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公务接待费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31019</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其他交通工具购置</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253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退职（役）费</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30218</w:t>
            </w:r>
          </w:p>
        </w:tc>
        <w:tc>
          <w:tcPr>
            <w:tcW w:w="21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专用材料费</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31021</w:t>
            </w:r>
          </w:p>
        </w:tc>
        <w:tc>
          <w:tcPr>
            <w:tcW w:w="30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文物和陈列品购置</w:t>
            </w:r>
          </w:p>
        </w:tc>
        <w:tc>
          <w:tcPr>
            <w:tcW w:w="303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30304</w:t>
            </w:r>
          </w:p>
        </w:tc>
        <w:tc>
          <w:tcPr>
            <w:tcW w:w="253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抚恤金</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30224</w:t>
            </w:r>
          </w:p>
        </w:tc>
        <w:tc>
          <w:tcPr>
            <w:tcW w:w="21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被装购置费</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31022</w:t>
            </w:r>
          </w:p>
        </w:tc>
        <w:tc>
          <w:tcPr>
            <w:tcW w:w="30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无形资产购置</w:t>
            </w:r>
          </w:p>
        </w:tc>
        <w:tc>
          <w:tcPr>
            <w:tcW w:w="303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30305</w:t>
            </w:r>
          </w:p>
        </w:tc>
        <w:tc>
          <w:tcPr>
            <w:tcW w:w="2532"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生活补助</w:t>
            </w:r>
          </w:p>
        </w:tc>
        <w:tc>
          <w:tcPr>
            <w:tcW w:w="1015"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30225</w:t>
            </w:r>
          </w:p>
        </w:tc>
        <w:tc>
          <w:tcPr>
            <w:tcW w:w="2159"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专用燃料费</w:t>
            </w:r>
          </w:p>
        </w:tc>
        <w:tc>
          <w:tcPr>
            <w:tcW w:w="1066"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31099</w:t>
            </w:r>
          </w:p>
        </w:tc>
        <w:tc>
          <w:tcPr>
            <w:tcW w:w="3033"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其他资本性支出</w:t>
            </w:r>
          </w:p>
        </w:tc>
        <w:tc>
          <w:tcPr>
            <w:tcW w:w="3033"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30306</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救济费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30226</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劳务费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30307</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医疗费补助</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30227</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委托业务费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39906</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赠与</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30308</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助学金</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30228</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工会经费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0.28</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39907</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国家赔偿费用支出</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30309</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奖励金</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福利费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0.29</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39908</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对民间非营利组织和群众性自治组织补贴</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30310</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个人农业生产补贴</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30231</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公务用车运行维护费</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39999</w:t>
            </w: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其他支出</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30311</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代缴社会保险费</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30239</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其他交通费用</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w:t>
            </w: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30399</w:t>
            </w: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其他对个人和家庭的补助</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30240</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税金及附加费用</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53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30299</w:t>
            </w:r>
          </w:p>
        </w:tc>
        <w:tc>
          <w:tcPr>
            <w:tcW w:w="215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其他商品和服务支出</w:t>
            </w:r>
          </w:p>
        </w:tc>
        <w:tc>
          <w:tcPr>
            <w:tcW w:w="10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29"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 w:hRule="atLeast"/>
        </w:trPr>
        <w:tc>
          <w:tcPr>
            <w:tcW w:w="3161"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人员经费合计</w:t>
            </w:r>
          </w:p>
        </w:tc>
        <w:tc>
          <w:tcPr>
            <w:tcW w:w="1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56.57</w:t>
            </w:r>
          </w:p>
        </w:tc>
        <w:tc>
          <w:tcPr>
            <w:tcW w:w="75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公用经费合计</w:t>
            </w:r>
          </w:p>
        </w:tc>
        <w:tc>
          <w:tcPr>
            <w:tcW w:w="303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725"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szCs w:val="22"/>
                <w:u w:val="none"/>
                <w:lang w:eastAsia="zh-CN"/>
              </w:rPr>
              <w:t>注：本表反映</w:t>
            </w:r>
            <w:r>
              <w:rPr>
                <w:rFonts w:hint="eastAsia" w:ascii="宋体" w:hAnsi="宋体"/>
                <w:b w:val="0"/>
                <w:i w:val="0"/>
                <w:color w:val="000000"/>
                <w:sz w:val="22"/>
                <w:szCs w:val="22"/>
                <w:u w:val="none"/>
                <w:lang w:val="en-US" w:eastAsia="zh-CN"/>
              </w:rPr>
              <w:t>单位</w:t>
            </w:r>
            <w:r>
              <w:rPr>
                <w:rFonts w:hint="default" w:ascii="宋体" w:hAnsi="宋体" w:eastAsia="宋体"/>
                <w:b w:val="0"/>
                <w:i w:val="0"/>
                <w:color w:val="000000"/>
                <w:sz w:val="22"/>
                <w:szCs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tbl>
      <w:tblPr>
        <w:tblW w:w="14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368"/>
        <w:gridCol w:w="931"/>
        <w:gridCol w:w="931"/>
        <w:gridCol w:w="1615"/>
        <w:gridCol w:w="1731"/>
        <w:gridCol w:w="1659"/>
        <w:gridCol w:w="1368"/>
        <w:gridCol w:w="931"/>
        <w:gridCol w:w="931"/>
        <w:gridCol w:w="931"/>
        <w:gridCol w:w="931"/>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40" w:hRule="atLeast"/>
        </w:trPr>
        <w:tc>
          <w:tcPr>
            <w:tcW w:w="14695" w:type="dxa"/>
            <w:gridSpan w:val="12"/>
            <w:vAlign w:val="bottom"/>
          </w:tcPr>
          <w:p>
            <w:pPr>
              <w:autoSpaceDN w:val="0"/>
              <w:jc w:val="center"/>
              <w:textAlignment w:val="bottom"/>
              <w:rPr>
                <w:rFonts w:hint="default" w:ascii="宋体" w:hAnsi="宋体" w:eastAsia="宋体"/>
                <w:b w:val="0"/>
                <w:i w:val="0"/>
                <w:color w:val="000000"/>
                <w:sz w:val="44"/>
                <w:highlight w:val="none"/>
                <w:u w:val="none"/>
                <w:lang w:eastAsia="zh-CN"/>
              </w:rPr>
            </w:pPr>
            <w:r>
              <w:rPr>
                <w:rFonts w:hint="default" w:ascii="宋体" w:hAnsi="宋体" w:eastAsia="宋体"/>
                <w:b w:val="0"/>
                <w:i w:val="0"/>
                <w:color w:val="000000"/>
                <w:sz w:val="30"/>
                <w:szCs w:val="30"/>
                <w:highlight w:val="none"/>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368" w:type="dxa"/>
            <w:vAlign w:val="bottom"/>
          </w:tcPr>
          <w:p>
            <w:pPr>
              <w:autoSpaceDN w:val="0"/>
              <w:jc w:val="left"/>
              <w:textAlignment w:val="bottom"/>
              <w:rPr>
                <w:rFonts w:hint="default" w:ascii="Arial" w:hAnsi="宋体"/>
                <w:b w:val="0"/>
                <w:i w:val="0"/>
                <w:color w:val="000000"/>
                <w:sz w:val="18"/>
                <w:szCs w:val="18"/>
                <w:highlight w:val="none"/>
                <w:u w:val="none"/>
              </w:rPr>
            </w:pPr>
          </w:p>
        </w:tc>
        <w:tc>
          <w:tcPr>
            <w:tcW w:w="931" w:type="dxa"/>
            <w:vAlign w:val="bottom"/>
          </w:tcPr>
          <w:p>
            <w:pPr>
              <w:autoSpaceDN w:val="0"/>
              <w:jc w:val="left"/>
              <w:textAlignment w:val="bottom"/>
              <w:rPr>
                <w:rFonts w:hint="default" w:ascii="Arial" w:hAnsi="宋体"/>
                <w:b w:val="0"/>
                <w:i w:val="0"/>
                <w:color w:val="000000"/>
                <w:sz w:val="18"/>
                <w:szCs w:val="18"/>
                <w:highlight w:val="none"/>
                <w:u w:val="none"/>
              </w:rPr>
            </w:pPr>
          </w:p>
        </w:tc>
        <w:tc>
          <w:tcPr>
            <w:tcW w:w="931" w:type="dxa"/>
            <w:vAlign w:val="bottom"/>
          </w:tcPr>
          <w:p>
            <w:pPr>
              <w:autoSpaceDN w:val="0"/>
              <w:jc w:val="left"/>
              <w:textAlignment w:val="bottom"/>
              <w:rPr>
                <w:rFonts w:hint="default" w:ascii="Arial" w:hAnsi="宋体"/>
                <w:b w:val="0"/>
                <w:i w:val="0"/>
                <w:color w:val="000000"/>
                <w:sz w:val="18"/>
                <w:szCs w:val="18"/>
                <w:highlight w:val="none"/>
                <w:u w:val="none"/>
              </w:rPr>
            </w:pPr>
          </w:p>
        </w:tc>
        <w:tc>
          <w:tcPr>
            <w:tcW w:w="1615" w:type="dxa"/>
            <w:vAlign w:val="bottom"/>
          </w:tcPr>
          <w:p>
            <w:pPr>
              <w:autoSpaceDN w:val="0"/>
              <w:jc w:val="left"/>
              <w:textAlignment w:val="bottom"/>
              <w:rPr>
                <w:rFonts w:hint="default" w:ascii="Arial" w:hAnsi="宋体"/>
                <w:b w:val="0"/>
                <w:i w:val="0"/>
                <w:color w:val="000000"/>
                <w:sz w:val="18"/>
                <w:szCs w:val="18"/>
                <w:highlight w:val="none"/>
                <w:u w:val="none"/>
              </w:rPr>
            </w:pPr>
          </w:p>
        </w:tc>
        <w:tc>
          <w:tcPr>
            <w:tcW w:w="1731" w:type="dxa"/>
            <w:vAlign w:val="bottom"/>
          </w:tcPr>
          <w:p>
            <w:pPr>
              <w:autoSpaceDN w:val="0"/>
              <w:jc w:val="left"/>
              <w:textAlignment w:val="bottom"/>
              <w:rPr>
                <w:rFonts w:hint="default" w:ascii="Arial" w:hAnsi="宋体"/>
                <w:b w:val="0"/>
                <w:i w:val="0"/>
                <w:color w:val="000000"/>
                <w:sz w:val="18"/>
                <w:szCs w:val="18"/>
                <w:highlight w:val="none"/>
                <w:u w:val="none"/>
              </w:rPr>
            </w:pPr>
          </w:p>
        </w:tc>
        <w:tc>
          <w:tcPr>
            <w:tcW w:w="1659" w:type="dxa"/>
            <w:vAlign w:val="bottom"/>
          </w:tcPr>
          <w:p>
            <w:pPr>
              <w:autoSpaceDN w:val="0"/>
              <w:jc w:val="left"/>
              <w:textAlignment w:val="bottom"/>
              <w:rPr>
                <w:rFonts w:hint="default" w:ascii="Arial" w:hAnsi="宋体"/>
                <w:b w:val="0"/>
                <w:i w:val="0"/>
                <w:color w:val="000000"/>
                <w:sz w:val="18"/>
                <w:szCs w:val="18"/>
                <w:highlight w:val="none"/>
                <w:u w:val="none"/>
              </w:rPr>
            </w:pPr>
          </w:p>
        </w:tc>
        <w:tc>
          <w:tcPr>
            <w:tcW w:w="1368" w:type="dxa"/>
            <w:vAlign w:val="bottom"/>
          </w:tcPr>
          <w:p>
            <w:pPr>
              <w:autoSpaceDN w:val="0"/>
              <w:jc w:val="left"/>
              <w:textAlignment w:val="bottom"/>
              <w:rPr>
                <w:rFonts w:hint="default" w:ascii="Arial" w:hAnsi="宋体"/>
                <w:b w:val="0"/>
                <w:i w:val="0"/>
                <w:color w:val="000000"/>
                <w:sz w:val="18"/>
                <w:szCs w:val="18"/>
                <w:highlight w:val="none"/>
                <w:u w:val="none"/>
              </w:rPr>
            </w:pPr>
          </w:p>
        </w:tc>
        <w:tc>
          <w:tcPr>
            <w:tcW w:w="931" w:type="dxa"/>
            <w:vAlign w:val="bottom"/>
          </w:tcPr>
          <w:p>
            <w:pPr>
              <w:autoSpaceDN w:val="0"/>
              <w:jc w:val="left"/>
              <w:textAlignment w:val="bottom"/>
              <w:rPr>
                <w:rFonts w:hint="default" w:ascii="Arial" w:hAnsi="宋体"/>
                <w:b w:val="0"/>
                <w:i w:val="0"/>
                <w:color w:val="000000"/>
                <w:sz w:val="18"/>
                <w:szCs w:val="18"/>
                <w:highlight w:val="none"/>
                <w:u w:val="none"/>
              </w:rPr>
            </w:pPr>
          </w:p>
        </w:tc>
        <w:tc>
          <w:tcPr>
            <w:tcW w:w="931" w:type="dxa"/>
            <w:vAlign w:val="bottom"/>
          </w:tcPr>
          <w:p>
            <w:pPr>
              <w:autoSpaceDN w:val="0"/>
              <w:jc w:val="left"/>
              <w:textAlignment w:val="bottom"/>
              <w:rPr>
                <w:rFonts w:hint="default" w:ascii="Arial" w:hAnsi="宋体"/>
                <w:b w:val="0"/>
                <w:i w:val="0"/>
                <w:color w:val="000000"/>
                <w:sz w:val="18"/>
                <w:szCs w:val="18"/>
                <w:highlight w:val="none"/>
                <w:u w:val="none"/>
              </w:rPr>
            </w:pPr>
          </w:p>
        </w:tc>
        <w:tc>
          <w:tcPr>
            <w:tcW w:w="3230" w:type="dxa"/>
            <w:gridSpan w:val="3"/>
            <w:vAlign w:val="bottom"/>
          </w:tcPr>
          <w:p>
            <w:pPr>
              <w:autoSpaceDN w:val="0"/>
              <w:jc w:val="right"/>
              <w:textAlignment w:val="bottom"/>
              <w:rPr>
                <w:rFonts w:hint="default" w:ascii="宋体" w:hAnsi="宋体" w:eastAsia="宋体"/>
                <w:b w:val="0"/>
                <w:i w:val="0"/>
                <w:color w:val="000000"/>
                <w:sz w:val="18"/>
                <w:szCs w:val="18"/>
                <w:highlight w:val="none"/>
                <w:u w:val="none"/>
                <w:lang w:eastAsia="zh-CN"/>
              </w:rPr>
            </w:pPr>
            <w:r>
              <w:rPr>
                <w:rFonts w:hint="default" w:ascii="宋体" w:hAnsi="宋体" w:eastAsia="宋体"/>
                <w:b w:val="0"/>
                <w:i w:val="0"/>
                <w:color w:val="000000"/>
                <w:sz w:val="18"/>
                <w:szCs w:val="18"/>
                <w:highlight w:val="none"/>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6576" w:type="dxa"/>
            <w:gridSpan w:val="5"/>
            <w:vAlign w:val="bottom"/>
          </w:tcPr>
          <w:p>
            <w:pPr>
              <w:autoSpaceDN w:val="0"/>
              <w:jc w:val="left"/>
              <w:textAlignment w:val="bottom"/>
              <w:rPr>
                <w:rFonts w:hint="default" w:ascii="宋体" w:hAnsi="宋体" w:eastAsia="宋体"/>
                <w:b w:val="0"/>
                <w:i w:val="0"/>
                <w:color w:val="000000"/>
                <w:sz w:val="18"/>
                <w:szCs w:val="18"/>
                <w:highlight w:val="none"/>
                <w:u w:val="none"/>
                <w:lang w:eastAsia="zh-CN"/>
              </w:rPr>
            </w:pPr>
            <w:r>
              <w:rPr>
                <w:rFonts w:hint="eastAsia" w:ascii="宋体" w:hAnsi="宋体"/>
                <w:b w:val="0"/>
                <w:i w:val="0"/>
                <w:color w:val="000000"/>
                <w:sz w:val="18"/>
                <w:szCs w:val="18"/>
                <w:highlight w:val="none"/>
                <w:u w:val="none"/>
                <w:lang w:val="en-US" w:eastAsia="zh-CN"/>
              </w:rPr>
              <w:t>单位</w:t>
            </w:r>
            <w:r>
              <w:rPr>
                <w:rFonts w:hint="default" w:ascii="宋体" w:hAnsi="宋体" w:eastAsia="宋体"/>
                <w:b w:val="0"/>
                <w:i w:val="0"/>
                <w:color w:val="000000"/>
                <w:sz w:val="18"/>
                <w:szCs w:val="18"/>
                <w:highlight w:val="none"/>
                <w:u w:val="none"/>
                <w:lang w:eastAsia="zh-CN"/>
              </w:rPr>
              <w:t>：许昌市河湖管理中心</w:t>
            </w:r>
          </w:p>
        </w:tc>
        <w:tc>
          <w:tcPr>
            <w:tcW w:w="1659" w:type="dxa"/>
            <w:vAlign w:val="bottom"/>
          </w:tcPr>
          <w:p>
            <w:pPr>
              <w:autoSpaceDN w:val="0"/>
              <w:jc w:val="left"/>
              <w:textAlignment w:val="bottom"/>
              <w:rPr>
                <w:rFonts w:hint="default" w:ascii="Arial" w:hAnsi="宋体"/>
                <w:b w:val="0"/>
                <w:i w:val="0"/>
                <w:color w:val="000000"/>
                <w:sz w:val="18"/>
                <w:szCs w:val="18"/>
                <w:highlight w:val="none"/>
                <w:u w:val="none"/>
              </w:rPr>
            </w:pPr>
          </w:p>
        </w:tc>
        <w:tc>
          <w:tcPr>
            <w:tcW w:w="1368" w:type="dxa"/>
            <w:vAlign w:val="bottom"/>
          </w:tcPr>
          <w:p>
            <w:pPr>
              <w:autoSpaceDN w:val="0"/>
              <w:jc w:val="left"/>
              <w:textAlignment w:val="bottom"/>
              <w:rPr>
                <w:rFonts w:hint="default" w:ascii="Arial" w:hAnsi="宋体"/>
                <w:b w:val="0"/>
                <w:i w:val="0"/>
                <w:color w:val="000000"/>
                <w:sz w:val="18"/>
                <w:szCs w:val="18"/>
                <w:highlight w:val="none"/>
                <w:u w:val="none"/>
              </w:rPr>
            </w:pPr>
          </w:p>
        </w:tc>
        <w:tc>
          <w:tcPr>
            <w:tcW w:w="931" w:type="dxa"/>
            <w:vAlign w:val="bottom"/>
          </w:tcPr>
          <w:p>
            <w:pPr>
              <w:autoSpaceDN w:val="0"/>
              <w:jc w:val="left"/>
              <w:textAlignment w:val="bottom"/>
              <w:rPr>
                <w:rFonts w:hint="default" w:ascii="Arial" w:hAnsi="宋体"/>
                <w:b w:val="0"/>
                <w:i w:val="0"/>
                <w:color w:val="000000"/>
                <w:sz w:val="18"/>
                <w:szCs w:val="18"/>
                <w:highlight w:val="none"/>
                <w:u w:val="none"/>
              </w:rPr>
            </w:pPr>
          </w:p>
        </w:tc>
        <w:tc>
          <w:tcPr>
            <w:tcW w:w="931" w:type="dxa"/>
            <w:vAlign w:val="bottom"/>
          </w:tcPr>
          <w:p>
            <w:pPr>
              <w:autoSpaceDN w:val="0"/>
              <w:jc w:val="left"/>
              <w:textAlignment w:val="bottom"/>
              <w:rPr>
                <w:rFonts w:hint="default" w:ascii="Arial" w:hAnsi="宋体"/>
                <w:b w:val="0"/>
                <w:i w:val="0"/>
                <w:color w:val="000000"/>
                <w:sz w:val="18"/>
                <w:szCs w:val="18"/>
                <w:highlight w:val="none"/>
                <w:u w:val="none"/>
              </w:rPr>
            </w:pPr>
          </w:p>
        </w:tc>
        <w:tc>
          <w:tcPr>
            <w:tcW w:w="3230" w:type="dxa"/>
            <w:gridSpan w:val="3"/>
            <w:vAlign w:val="bottom"/>
          </w:tcPr>
          <w:p>
            <w:pPr>
              <w:autoSpaceDN w:val="0"/>
              <w:jc w:val="right"/>
              <w:textAlignment w:val="bottom"/>
              <w:rPr>
                <w:rFonts w:hint="default" w:ascii="宋体" w:hAnsi="宋体" w:eastAsia="宋体"/>
                <w:b w:val="0"/>
                <w:i w:val="0"/>
                <w:color w:val="000000"/>
                <w:sz w:val="18"/>
                <w:szCs w:val="18"/>
                <w:highlight w:val="none"/>
                <w:u w:val="none"/>
                <w:lang w:eastAsia="zh-CN"/>
              </w:rPr>
            </w:pPr>
            <w:r>
              <w:rPr>
                <w:rFonts w:hint="default" w:ascii="宋体" w:hAnsi="宋体" w:eastAsia="宋体"/>
                <w:b w:val="0"/>
                <w:i w:val="0"/>
                <w:color w:val="000000"/>
                <w:sz w:val="18"/>
                <w:szCs w:val="18"/>
                <w:highlight w:val="none"/>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8235"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预算数</w:t>
            </w:r>
          </w:p>
        </w:tc>
        <w:tc>
          <w:tcPr>
            <w:tcW w:w="6460"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368"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合计</w:t>
            </w:r>
          </w:p>
        </w:tc>
        <w:tc>
          <w:tcPr>
            <w:tcW w:w="93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因公出国（境）费</w:t>
            </w:r>
          </w:p>
        </w:tc>
        <w:tc>
          <w:tcPr>
            <w:tcW w:w="427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公务用车购置及运行费</w:t>
            </w:r>
          </w:p>
        </w:tc>
        <w:tc>
          <w:tcPr>
            <w:tcW w:w="165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公务接待费</w:t>
            </w:r>
          </w:p>
        </w:tc>
        <w:tc>
          <w:tcPr>
            <w:tcW w:w="136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合计</w:t>
            </w:r>
          </w:p>
        </w:tc>
        <w:tc>
          <w:tcPr>
            <w:tcW w:w="93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因公出国（境）费</w:t>
            </w:r>
          </w:p>
        </w:tc>
        <w:tc>
          <w:tcPr>
            <w:tcW w:w="2793"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公务用车购置及运行费</w:t>
            </w:r>
          </w:p>
        </w:tc>
        <w:tc>
          <w:tcPr>
            <w:tcW w:w="136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5" w:hRule="atLeast"/>
        </w:trPr>
        <w:tc>
          <w:tcPr>
            <w:tcW w:w="1368" w:type="dxa"/>
            <w:vMerge w:val="continue"/>
            <w:tcBorders>
              <w:left w:val="single" w:color="000000" w:sz="4" w:space="0"/>
              <w:bottom w:val="single" w:color="000000" w:sz="4" w:space="0"/>
              <w:right w:val="single" w:color="000000" w:sz="4" w:space="0"/>
            </w:tcBorders>
            <w:vAlign w:val="center"/>
          </w:tcPr>
          <w:p>
            <w:pPr>
              <w:rPr>
                <w:rFonts w:hint="default" w:ascii="宋体" w:hAnsi="宋体"/>
                <w:sz w:val="24"/>
                <w:highlight w:val="none"/>
              </w:rPr>
            </w:pPr>
          </w:p>
        </w:tc>
        <w:tc>
          <w:tcPr>
            <w:tcW w:w="931" w:type="dxa"/>
            <w:vMerge w:val="continue"/>
            <w:tcBorders>
              <w:bottom w:val="single" w:color="000000" w:sz="4" w:space="0"/>
              <w:right w:val="single" w:color="000000" w:sz="4" w:space="0"/>
            </w:tcBorders>
            <w:vAlign w:val="center"/>
          </w:tcPr>
          <w:p>
            <w:pPr>
              <w:autoSpaceDN w:val="0"/>
              <w:textAlignment w:val="auto"/>
              <w:rPr>
                <w:rFonts w:hint="default" w:ascii="宋体" w:hAnsi="宋体"/>
                <w:sz w:val="24"/>
                <w:highlight w:val="none"/>
              </w:rPr>
            </w:pP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小计</w:t>
            </w:r>
          </w:p>
        </w:tc>
        <w:tc>
          <w:tcPr>
            <w:tcW w:w="161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公务用车购置费</w:t>
            </w:r>
          </w:p>
        </w:tc>
        <w:tc>
          <w:tcPr>
            <w:tcW w:w="17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公务用车运行费</w:t>
            </w:r>
          </w:p>
        </w:tc>
        <w:tc>
          <w:tcPr>
            <w:tcW w:w="1659" w:type="dxa"/>
            <w:vMerge w:val="continue"/>
            <w:tcBorders>
              <w:bottom w:val="single" w:color="000000" w:sz="4" w:space="0"/>
              <w:right w:val="single" w:color="000000" w:sz="4" w:space="0"/>
            </w:tcBorders>
            <w:vAlign w:val="center"/>
          </w:tcPr>
          <w:p>
            <w:pPr>
              <w:rPr>
                <w:rFonts w:hint="default" w:ascii="宋体" w:hAnsi="宋体"/>
                <w:sz w:val="24"/>
                <w:highlight w:val="none"/>
              </w:rPr>
            </w:pPr>
          </w:p>
        </w:tc>
        <w:tc>
          <w:tcPr>
            <w:tcW w:w="1368"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highlight w:val="none"/>
              </w:rPr>
            </w:pPr>
          </w:p>
        </w:tc>
        <w:tc>
          <w:tcPr>
            <w:tcW w:w="931"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highlight w:val="none"/>
              </w:rPr>
            </w:pP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小计</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公务用车购置费</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公务用车运行费</w:t>
            </w:r>
          </w:p>
        </w:tc>
        <w:tc>
          <w:tcPr>
            <w:tcW w:w="1368"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42" w:hRule="atLeast"/>
        </w:trPr>
        <w:tc>
          <w:tcPr>
            <w:tcW w:w="1368"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1</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2</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3</w:t>
            </w:r>
          </w:p>
        </w:tc>
        <w:tc>
          <w:tcPr>
            <w:tcW w:w="161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4</w:t>
            </w:r>
          </w:p>
        </w:tc>
        <w:tc>
          <w:tcPr>
            <w:tcW w:w="17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5</w:t>
            </w:r>
          </w:p>
        </w:tc>
        <w:tc>
          <w:tcPr>
            <w:tcW w:w="16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6</w:t>
            </w:r>
          </w:p>
        </w:tc>
        <w:tc>
          <w:tcPr>
            <w:tcW w:w="136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7</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8</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9</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10</w:t>
            </w:r>
          </w:p>
        </w:tc>
        <w:tc>
          <w:tcPr>
            <w:tcW w:w="93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11</w:t>
            </w:r>
          </w:p>
        </w:tc>
        <w:tc>
          <w:tcPr>
            <w:tcW w:w="136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highlight w:val="none"/>
                <w:u w:val="none"/>
                <w:lang w:eastAsia="zh-CN"/>
              </w:rPr>
            </w:pPr>
            <w:r>
              <w:rPr>
                <w:rFonts w:hint="default" w:ascii="宋体" w:hAnsi="宋体" w:eastAsia="宋体"/>
                <w:b w:val="0"/>
                <w:i w:val="0"/>
                <w:color w:val="000000"/>
                <w:sz w:val="22"/>
                <w:highlight w:val="none"/>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368" w:type="dxa"/>
            <w:tcBorders>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val="en-US" w:eastAsia="zh-CN"/>
              </w:rPr>
            </w:pPr>
            <w:r>
              <w:rPr>
                <w:rFonts w:hint="eastAsia" w:ascii="宋体" w:hAnsi="宋体" w:eastAsia="宋体"/>
                <w:b w:val="0"/>
                <w:i w:val="0"/>
                <w:color w:val="000000"/>
                <w:sz w:val="22"/>
                <w:highlight w:val="none"/>
                <w:u w:val="none"/>
                <w:lang w:val="en-US" w:eastAsia="zh-CN"/>
              </w:rPr>
              <w:t>0.10</w:t>
            </w: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16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17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165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val="en-US" w:eastAsia="zh-CN"/>
              </w:rPr>
            </w:pPr>
            <w:r>
              <w:rPr>
                <w:rFonts w:hint="eastAsia" w:ascii="宋体" w:hAnsi="宋体" w:eastAsia="宋体"/>
                <w:b w:val="0"/>
                <w:i w:val="0"/>
                <w:color w:val="000000"/>
                <w:sz w:val="22"/>
                <w:highlight w:val="none"/>
                <w:u w:val="none"/>
                <w:lang w:val="en-US" w:eastAsia="zh-CN"/>
              </w:rPr>
              <w:t>0.10</w:t>
            </w:r>
          </w:p>
        </w:tc>
        <w:tc>
          <w:tcPr>
            <w:tcW w:w="13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93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c>
          <w:tcPr>
            <w:tcW w:w="13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5" w:hRule="atLeast"/>
        </w:trPr>
        <w:tc>
          <w:tcPr>
            <w:tcW w:w="14695" w:type="dxa"/>
            <w:gridSpan w:val="12"/>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szCs w:val="22"/>
                <w:u w:val="none"/>
                <w:lang w:eastAsia="zh-CN"/>
              </w:rPr>
              <w:t>注：本表反映</w:t>
            </w:r>
            <w:r>
              <w:rPr>
                <w:rFonts w:hint="eastAsia" w:ascii="宋体" w:hAnsi="宋体"/>
                <w:b w:val="0"/>
                <w:i w:val="0"/>
                <w:color w:val="000000"/>
                <w:sz w:val="22"/>
                <w:szCs w:val="22"/>
                <w:u w:val="none"/>
                <w:lang w:val="en-US" w:eastAsia="zh-CN"/>
              </w:rPr>
              <w:t>单位</w:t>
            </w:r>
            <w:r>
              <w:rPr>
                <w:rFonts w:hint="default" w:ascii="宋体" w:hAnsi="宋体" w:eastAsia="宋体"/>
                <w:b w:val="0"/>
                <w:i w:val="0"/>
                <w:color w:val="000000"/>
                <w:sz w:val="22"/>
                <w:szCs w:val="22"/>
                <w:u w:val="none"/>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tbl>
      <w:tblPr>
        <w:tblW w:w="14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14"/>
        <w:gridCol w:w="915"/>
        <w:gridCol w:w="915"/>
        <w:gridCol w:w="3748"/>
        <w:gridCol w:w="2060"/>
        <w:gridCol w:w="1903"/>
        <w:gridCol w:w="1602"/>
        <w:gridCol w:w="915"/>
        <w:gridCol w:w="1602"/>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0" w:hRule="atLeast"/>
        </w:trPr>
        <w:tc>
          <w:tcPr>
            <w:tcW w:w="14889"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314" w:type="dxa"/>
            <w:vAlign w:val="bottom"/>
          </w:tcPr>
          <w:p>
            <w:pPr>
              <w:autoSpaceDN w:val="0"/>
              <w:jc w:val="left"/>
              <w:textAlignment w:val="bottom"/>
              <w:rPr>
                <w:rFonts w:hint="default" w:ascii="Arial" w:hAnsi="宋体"/>
                <w:b w:val="0"/>
                <w:i w:val="0"/>
                <w:color w:val="000000"/>
                <w:sz w:val="18"/>
                <w:szCs w:val="18"/>
                <w:u w:val="none"/>
              </w:rPr>
            </w:pPr>
          </w:p>
        </w:tc>
        <w:tc>
          <w:tcPr>
            <w:tcW w:w="915" w:type="dxa"/>
            <w:vAlign w:val="bottom"/>
          </w:tcPr>
          <w:p>
            <w:pPr>
              <w:autoSpaceDN w:val="0"/>
              <w:jc w:val="left"/>
              <w:textAlignment w:val="bottom"/>
              <w:rPr>
                <w:rFonts w:hint="default" w:ascii="Arial" w:hAnsi="宋体"/>
                <w:b w:val="0"/>
                <w:i w:val="0"/>
                <w:color w:val="000000"/>
                <w:sz w:val="18"/>
                <w:szCs w:val="18"/>
                <w:u w:val="none"/>
              </w:rPr>
            </w:pPr>
          </w:p>
        </w:tc>
        <w:tc>
          <w:tcPr>
            <w:tcW w:w="915" w:type="dxa"/>
            <w:vAlign w:val="bottom"/>
          </w:tcPr>
          <w:p>
            <w:pPr>
              <w:autoSpaceDN w:val="0"/>
              <w:jc w:val="left"/>
              <w:textAlignment w:val="bottom"/>
              <w:rPr>
                <w:rFonts w:hint="default" w:ascii="Arial" w:hAnsi="宋体"/>
                <w:b w:val="0"/>
                <w:i w:val="0"/>
                <w:color w:val="000000"/>
                <w:sz w:val="18"/>
                <w:szCs w:val="18"/>
                <w:u w:val="none"/>
              </w:rPr>
            </w:pPr>
          </w:p>
        </w:tc>
        <w:tc>
          <w:tcPr>
            <w:tcW w:w="3748" w:type="dxa"/>
            <w:vAlign w:val="bottom"/>
          </w:tcPr>
          <w:p>
            <w:pPr>
              <w:autoSpaceDN w:val="0"/>
              <w:jc w:val="left"/>
              <w:textAlignment w:val="bottom"/>
              <w:rPr>
                <w:rFonts w:hint="default" w:ascii="Arial" w:hAnsi="宋体"/>
                <w:b w:val="0"/>
                <w:i w:val="0"/>
                <w:color w:val="000000"/>
                <w:sz w:val="18"/>
                <w:szCs w:val="18"/>
                <w:u w:val="none"/>
              </w:rPr>
            </w:pPr>
          </w:p>
        </w:tc>
        <w:tc>
          <w:tcPr>
            <w:tcW w:w="2060" w:type="dxa"/>
            <w:vAlign w:val="bottom"/>
          </w:tcPr>
          <w:p>
            <w:pPr>
              <w:autoSpaceDN w:val="0"/>
              <w:jc w:val="left"/>
              <w:textAlignment w:val="bottom"/>
              <w:rPr>
                <w:rFonts w:hint="default" w:ascii="Arial" w:hAnsi="宋体"/>
                <w:b w:val="0"/>
                <w:i w:val="0"/>
                <w:color w:val="000000"/>
                <w:sz w:val="18"/>
                <w:szCs w:val="18"/>
                <w:u w:val="none"/>
              </w:rPr>
            </w:pPr>
          </w:p>
        </w:tc>
        <w:tc>
          <w:tcPr>
            <w:tcW w:w="1903" w:type="dxa"/>
            <w:vAlign w:val="bottom"/>
          </w:tcPr>
          <w:p>
            <w:pPr>
              <w:autoSpaceDN w:val="0"/>
              <w:jc w:val="left"/>
              <w:textAlignment w:val="bottom"/>
              <w:rPr>
                <w:rFonts w:hint="default" w:ascii="Arial" w:hAnsi="宋体"/>
                <w:b w:val="0"/>
                <w:i w:val="0"/>
                <w:color w:val="000000"/>
                <w:sz w:val="18"/>
                <w:szCs w:val="18"/>
                <w:u w:val="none"/>
              </w:rPr>
            </w:pPr>
          </w:p>
        </w:tc>
        <w:tc>
          <w:tcPr>
            <w:tcW w:w="1602" w:type="dxa"/>
            <w:vAlign w:val="bottom"/>
          </w:tcPr>
          <w:p>
            <w:pPr>
              <w:autoSpaceDN w:val="0"/>
              <w:jc w:val="left"/>
              <w:textAlignment w:val="bottom"/>
              <w:rPr>
                <w:rFonts w:hint="default" w:ascii="Arial" w:hAnsi="宋体"/>
                <w:b w:val="0"/>
                <w:i w:val="0"/>
                <w:color w:val="000000"/>
                <w:sz w:val="18"/>
                <w:szCs w:val="18"/>
                <w:u w:val="none"/>
              </w:rPr>
            </w:pPr>
          </w:p>
        </w:tc>
        <w:tc>
          <w:tcPr>
            <w:tcW w:w="3432" w:type="dxa"/>
            <w:gridSpan w:val="3"/>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7952" w:type="dxa"/>
            <w:gridSpan w:val="5"/>
            <w:vAlign w:val="bottom"/>
          </w:tcPr>
          <w:p>
            <w:pPr>
              <w:autoSpaceDN w:val="0"/>
              <w:jc w:val="left"/>
              <w:textAlignment w:val="bottom"/>
              <w:rPr>
                <w:rFonts w:hint="default" w:ascii="宋体" w:hAnsi="宋体" w:eastAsia="宋体"/>
                <w:b w:val="0"/>
                <w:i w:val="0"/>
                <w:color w:val="000000"/>
                <w:sz w:val="18"/>
                <w:szCs w:val="18"/>
                <w:u w:val="none"/>
                <w:lang w:eastAsia="zh-CN"/>
              </w:rPr>
            </w:pPr>
            <w:r>
              <w:rPr>
                <w:rFonts w:hint="eastAsia" w:ascii="宋体" w:hAnsi="宋体"/>
                <w:b w:val="0"/>
                <w:i w:val="0"/>
                <w:color w:val="000000"/>
                <w:sz w:val="18"/>
                <w:szCs w:val="18"/>
                <w:u w:val="none"/>
                <w:lang w:val="en-US" w:eastAsia="zh-CN"/>
              </w:rPr>
              <w:t>单位</w:t>
            </w:r>
            <w:r>
              <w:rPr>
                <w:rFonts w:hint="default" w:ascii="宋体" w:hAnsi="宋体" w:eastAsia="宋体"/>
                <w:b w:val="0"/>
                <w:i w:val="0"/>
                <w:color w:val="000000"/>
                <w:sz w:val="18"/>
                <w:szCs w:val="18"/>
                <w:u w:val="none"/>
                <w:lang w:eastAsia="zh-CN"/>
              </w:rPr>
              <w:t>：许昌市河湖管理中心</w:t>
            </w:r>
          </w:p>
        </w:tc>
        <w:tc>
          <w:tcPr>
            <w:tcW w:w="1903" w:type="dxa"/>
            <w:vAlign w:val="bottom"/>
          </w:tcPr>
          <w:p>
            <w:pPr>
              <w:autoSpaceDN w:val="0"/>
              <w:jc w:val="left"/>
              <w:textAlignment w:val="bottom"/>
              <w:rPr>
                <w:rFonts w:hint="default" w:ascii="Arial" w:hAnsi="宋体"/>
                <w:b w:val="0"/>
                <w:i w:val="0"/>
                <w:color w:val="000000"/>
                <w:sz w:val="18"/>
                <w:szCs w:val="18"/>
                <w:u w:val="none"/>
              </w:rPr>
            </w:pPr>
          </w:p>
        </w:tc>
        <w:tc>
          <w:tcPr>
            <w:tcW w:w="1602" w:type="dxa"/>
            <w:vAlign w:val="bottom"/>
          </w:tcPr>
          <w:p>
            <w:pPr>
              <w:autoSpaceDN w:val="0"/>
              <w:jc w:val="left"/>
              <w:textAlignment w:val="bottom"/>
              <w:rPr>
                <w:rFonts w:hint="default" w:ascii="Arial" w:hAnsi="宋体"/>
                <w:b w:val="0"/>
                <w:i w:val="0"/>
                <w:color w:val="000000"/>
                <w:sz w:val="18"/>
                <w:szCs w:val="18"/>
                <w:u w:val="none"/>
              </w:rPr>
            </w:pPr>
          </w:p>
        </w:tc>
        <w:tc>
          <w:tcPr>
            <w:tcW w:w="3432" w:type="dxa"/>
            <w:gridSpan w:val="3"/>
            <w:vAlign w:val="bottom"/>
          </w:tcPr>
          <w:p>
            <w:pPr>
              <w:autoSpaceDN w:val="0"/>
              <w:jc w:val="right"/>
              <w:textAlignment w:val="bottom"/>
              <w:rPr>
                <w:rFonts w:hint="default" w:ascii="宋体" w:hAnsi="宋体" w:eastAsia="宋体"/>
                <w:b w:val="0"/>
                <w:i w:val="0"/>
                <w:color w:val="000000"/>
                <w:sz w:val="18"/>
                <w:szCs w:val="18"/>
                <w:u w:val="none"/>
                <w:lang w:eastAsia="zh-CN"/>
              </w:rPr>
            </w:pPr>
            <w:r>
              <w:rPr>
                <w:rFonts w:hint="default" w:ascii="宋体" w:hAnsi="宋体" w:eastAsia="宋体"/>
                <w:b w:val="0"/>
                <w:i w:val="0"/>
                <w:color w:val="000000"/>
                <w:sz w:val="18"/>
                <w:szCs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589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20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1903"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w:t>
            </w:r>
          </w:p>
        </w:tc>
        <w:tc>
          <w:tcPr>
            <w:tcW w:w="4119"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c>
          <w:tcPr>
            <w:tcW w:w="91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144"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74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0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903"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60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91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60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915"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144"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748"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206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903"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02"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1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02"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15"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144"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748"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206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903"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02"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1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02"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915"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5892"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0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90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60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91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60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91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5892"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0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6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6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214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214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214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4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889"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szCs w:val="22"/>
                <w:u w:val="none"/>
                <w:lang w:eastAsia="zh-CN"/>
              </w:rPr>
              <w:t>注：本表反映</w:t>
            </w:r>
            <w:r>
              <w:rPr>
                <w:rFonts w:hint="eastAsia" w:ascii="宋体" w:hAnsi="宋体"/>
                <w:b w:val="0"/>
                <w:i w:val="0"/>
                <w:color w:val="000000"/>
                <w:sz w:val="22"/>
                <w:szCs w:val="22"/>
                <w:u w:val="none"/>
                <w:lang w:val="en-US" w:eastAsia="zh-CN"/>
              </w:rPr>
              <w:t>单位</w:t>
            </w:r>
            <w:r>
              <w:rPr>
                <w:rFonts w:hint="default" w:ascii="宋体" w:hAnsi="宋体" w:eastAsia="宋体"/>
                <w:b w:val="0"/>
                <w:i w:val="0"/>
                <w:color w:val="000000"/>
                <w:sz w:val="22"/>
                <w:szCs w:val="22"/>
                <w:u w:val="none"/>
                <w:lang w:eastAsia="zh-CN"/>
              </w:rPr>
              <w:t>本年度政府性基金预算财政拨款收入、支出及结转和结余情况。</w:t>
            </w:r>
            <w:r>
              <w:rPr>
                <w:rFonts w:hint="eastAsia" w:ascii="宋体" w:hAnsi="宋体"/>
                <w:b w:val="0"/>
                <w:i w:val="0"/>
                <w:color w:val="000000"/>
                <w:sz w:val="22"/>
                <w:szCs w:val="22"/>
                <w:u w:val="none"/>
                <w:lang w:eastAsia="zh-CN"/>
              </w:rPr>
              <w:t>本表金额转换为万元时，因四舍五入可能存在尾差。</w:t>
            </w:r>
          </w:p>
        </w:tc>
      </w:tr>
    </w:tbl>
    <w:p>
      <w:pPr>
        <w:autoSpaceDN w:val="0"/>
        <w:jc w:val="left"/>
        <w:textAlignment w:val="center"/>
        <w:rPr>
          <w:rFonts w:hint="eastAsia" w:ascii="宋体" w:hAnsi="宋体" w:eastAsia="宋体"/>
          <w:b w:val="0"/>
          <w:i w:val="0"/>
          <w:color w:val="000000"/>
          <w:sz w:val="22"/>
          <w:szCs w:val="22"/>
          <w:u w:val="none"/>
          <w:lang w:eastAsia="zh-CN"/>
        </w:rPr>
        <w:sectPr>
          <w:pgSz w:w="16838" w:h="11906" w:orient="landscape"/>
          <w:pgMar w:top="1800" w:right="1440" w:bottom="1800" w:left="144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r>
        <w:rPr>
          <w:rFonts w:hint="eastAsia" w:ascii="宋体" w:hAnsi="宋体" w:eastAsia="宋体"/>
          <w:b w:val="0"/>
          <w:i w:val="0"/>
          <w:color w:val="000000"/>
          <w:sz w:val="22"/>
          <w:szCs w:val="22"/>
          <w:u w:val="none"/>
          <w:lang w:eastAsia="zh-CN"/>
        </w:rPr>
        <w:t>说明：我</w:t>
      </w:r>
      <w:r>
        <w:rPr>
          <w:rFonts w:hint="eastAsia" w:ascii="宋体" w:hAnsi="宋体"/>
          <w:b w:val="0"/>
          <w:i w:val="0"/>
          <w:color w:val="000000"/>
          <w:sz w:val="22"/>
          <w:szCs w:val="22"/>
          <w:u w:val="none"/>
          <w:lang w:val="en-US" w:eastAsia="zh-CN"/>
        </w:rPr>
        <w:t>单位</w:t>
      </w:r>
      <w:bookmarkStart w:id="0" w:name="_GoBack"/>
      <w:bookmarkEnd w:id="0"/>
      <w:r>
        <w:rPr>
          <w:rFonts w:hint="eastAsia" w:ascii="宋体" w:hAnsi="宋体" w:eastAsia="宋体"/>
          <w:b w:val="0"/>
          <w:i w:val="0"/>
          <w:color w:val="000000"/>
          <w:sz w:val="22"/>
          <w:szCs w:val="22"/>
          <w:u w:val="none"/>
          <w:lang w:eastAsia="zh-CN"/>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68.84</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123.86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64.28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经费与上年相比减少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61.74</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61.74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68.84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65.90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95.73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2.94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4.27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68.84</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123.86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64.28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经费与上年相比减少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68.84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117.42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63.04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经费与上年相比减少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68.84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0.28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3.55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5.16</w:t>
      </w:r>
      <w:r>
        <w:rPr>
          <w:rFonts w:hint="eastAsia" w:ascii="仿宋_GB2312" w:hAnsi="仿宋_GB2312" w:eastAsia="仿宋_GB2312" w:cs="仿宋_GB2312"/>
          <w:sz w:val="32"/>
          <w:szCs w:val="32"/>
        </w:rPr>
        <w:t>%；卫生健康（类）支出1.</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2.34</w:t>
      </w:r>
      <w:r>
        <w:rPr>
          <w:rFonts w:hint="eastAsia" w:ascii="仿宋_GB2312" w:hAnsi="仿宋_GB2312" w:eastAsia="仿宋_GB2312" w:cs="仿宋_GB2312"/>
          <w:sz w:val="32"/>
          <w:szCs w:val="32"/>
        </w:rPr>
        <w:t>%；农林水（类）支出</w:t>
      </w:r>
      <w:r>
        <w:rPr>
          <w:rFonts w:hint="eastAsia" w:ascii="仿宋_GB2312" w:hAnsi="仿宋_GB2312" w:eastAsia="仿宋_GB2312" w:cs="仿宋_GB2312"/>
          <w:sz w:val="32"/>
          <w:szCs w:val="32"/>
          <w:lang w:val="en-US" w:eastAsia="zh-CN"/>
        </w:rPr>
        <w:t>63.40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92.10</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60.87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68.84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113.10</w:t>
      </w:r>
      <w:r>
        <w:rPr>
          <w:rFonts w:hint="eastAsia" w:ascii="仿宋_GB2312" w:hAnsi="仿宋_GB2312" w:eastAsia="仿宋_GB2312" w:cs="仿宋_GB2312"/>
          <w:sz w:val="32"/>
          <w:szCs w:val="32"/>
          <w:highlight w:val="none"/>
        </w:rPr>
        <w:t>%。其中：</w:t>
      </w:r>
    </w:p>
    <w:p>
      <w:pPr>
        <w:widowControl/>
        <w:numPr>
          <w:numId w:val="0"/>
        </w:num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（类）群众团体事务（款）工会事务（项）。</w:t>
      </w:r>
      <w:r>
        <w:rPr>
          <w:rFonts w:hint="eastAsia" w:ascii="仿宋_GB2312" w:hAnsi="仿宋_GB2312" w:eastAsia="仿宋_GB2312" w:cs="仿宋_GB2312"/>
          <w:sz w:val="32"/>
          <w:szCs w:val="32"/>
        </w:rPr>
        <w:t>年初预算为0.</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color w:val="auto"/>
          <w:sz w:val="32"/>
          <w:szCs w:val="32"/>
          <w:lang w:val="en-US" w:eastAsia="zh-CN"/>
        </w:rPr>
        <w:t>0.28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决算数与</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数不存在</w:t>
      </w:r>
      <w:r>
        <w:rPr>
          <w:rFonts w:hint="eastAsia" w:ascii="仿宋_GB2312" w:hAnsi="仿宋_GB2312" w:eastAsia="仿宋_GB2312" w:cs="仿宋_GB2312"/>
          <w:sz w:val="32"/>
          <w:szCs w:val="32"/>
        </w:rPr>
        <w:t>差异。</w:t>
      </w:r>
    </w:p>
    <w:p>
      <w:pPr>
        <w:pStyle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rPr>
        <w:t>社会保障和就业</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（类）行政事业单位养老</w:t>
      </w:r>
      <w:r>
        <w:rPr>
          <w:rFonts w:hint="eastAsia" w:ascii="仿宋_GB2312" w:hAnsi="仿宋_GB2312" w:eastAsia="仿宋_GB2312" w:cs="仿宋_GB2312"/>
          <w:b/>
          <w:bCs/>
          <w:sz w:val="32"/>
          <w:szCs w:val="32"/>
          <w:lang w:val="en-US" w:eastAsia="zh-CN"/>
        </w:rPr>
        <w:t>支出</w:t>
      </w:r>
      <w:r>
        <w:rPr>
          <w:rFonts w:hint="eastAsia" w:ascii="仿宋_GB2312" w:hAnsi="仿宋_GB2312" w:eastAsia="仿宋_GB2312" w:cs="仿宋_GB2312"/>
          <w:b/>
          <w:bCs/>
          <w:sz w:val="32"/>
          <w:szCs w:val="32"/>
        </w:rPr>
        <w:t>（款）机关事业单位基本养老保险缴费支出（项）。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3.61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color w:val="auto"/>
          <w:sz w:val="32"/>
          <w:szCs w:val="32"/>
          <w:lang w:val="en-US" w:eastAsia="zh-CN"/>
        </w:rPr>
        <w:t>3.55</w:t>
      </w:r>
      <w:r>
        <w:rPr>
          <w:rFonts w:hint="eastAsia" w:ascii="仿宋_GB2312" w:hAnsi="仿宋_GB2312" w:eastAsia="仿宋_GB2312" w:cs="仿宋_GB2312"/>
          <w:sz w:val="32"/>
          <w:szCs w:val="32"/>
        </w:rPr>
        <w:t>万元，完</w:t>
      </w:r>
      <w:r>
        <w:rPr>
          <w:rFonts w:hint="eastAsia" w:ascii="仿宋_GB2312" w:hAnsi="仿宋_GB2312" w:eastAsia="仿宋_GB2312" w:cs="仿宋_GB2312"/>
          <w:color w:val="auto"/>
          <w:sz w:val="32"/>
          <w:szCs w:val="32"/>
          <w:highlight w:val="none"/>
        </w:rPr>
        <w:t>成年初预算的</w:t>
      </w:r>
      <w:r>
        <w:rPr>
          <w:rFonts w:hint="eastAsia" w:ascii="仿宋_GB2312" w:hAnsi="仿宋_GB2312" w:eastAsia="仿宋_GB2312" w:cs="仿宋_GB2312"/>
          <w:color w:val="auto"/>
          <w:sz w:val="32"/>
          <w:szCs w:val="32"/>
          <w:highlight w:val="none"/>
          <w:lang w:val="en-US" w:eastAsia="zh-CN"/>
        </w:rPr>
        <w:t>98.34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预算数存在差异的主要原因是部分</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用上年度结转资金。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3.卫生健康支出（类）行政事业单位医疗（款）事业单位医疗（项）。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1.70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1.61</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94.71</w:t>
      </w:r>
      <w:r>
        <w:rPr>
          <w:rFonts w:hint="eastAsia" w:ascii="仿宋_GB2312" w:hAnsi="仿宋_GB2312" w:eastAsia="仿宋_GB2312" w:cs="仿宋_GB2312"/>
          <w:color w:val="auto"/>
          <w:sz w:val="32"/>
          <w:szCs w:val="32"/>
          <w:highlight w:val="none"/>
        </w:rPr>
        <w:t>%。决算数与年初预算数存在差异的主要原因是部分</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用上年度结转资金。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4.农林水支出（类）水利（款）水利行业业务管理（项）。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55.28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color w:val="auto"/>
          <w:sz w:val="32"/>
          <w:szCs w:val="32"/>
          <w:lang w:val="en-US" w:eastAsia="zh-CN"/>
        </w:rPr>
        <w:t>63.40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114.69</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人员经费增加</w:t>
      </w:r>
      <w:r>
        <w:rPr>
          <w:rFonts w:hint="eastAsia" w:ascii="仿宋_GB2312" w:hAnsi="仿宋_GB2312" w:eastAsia="仿宋_GB2312" w:cs="仿宋_GB2312"/>
          <w:sz w:val="32"/>
          <w:szCs w:val="32"/>
        </w:rPr>
        <w:t>。</w:t>
      </w:r>
    </w:p>
    <w:p>
      <w:pPr>
        <w:widowControl/>
        <w:spacing w:line="590" w:lineRule="exact"/>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65.90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56.57</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其他社会保障缴费、住房公积金；公用经费</w:t>
      </w:r>
      <w:r>
        <w:rPr>
          <w:rFonts w:hint="eastAsia" w:ascii="仿宋_GB2312" w:hAnsi="仿宋_GB2312" w:eastAsia="仿宋_GB2312" w:cs="仿宋_GB2312"/>
          <w:sz w:val="32"/>
          <w:szCs w:val="32"/>
          <w:highlight w:val="none"/>
          <w:lang w:val="en-US" w:eastAsia="zh-CN"/>
        </w:rPr>
        <w:t>9.33</w:t>
      </w:r>
      <w:r>
        <w:rPr>
          <w:rFonts w:hint="eastAsia" w:ascii="仿宋_GB2312" w:hAnsi="仿宋_GB2312" w:eastAsia="仿宋_GB2312" w:cs="仿宋_GB2312"/>
          <w:sz w:val="32"/>
          <w:szCs w:val="32"/>
          <w:highlight w:val="none"/>
        </w:rPr>
        <w:t>万元，主要包括：办公费、印刷费、水费、电费、取暖费、物业管理费、差旅费、维修（护）费、会议费、培训费、工会经费、福利费、其他交通费用、办公设备购置。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2021年没有发生“三公”经费支出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rPr>
        <w:t>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因公出国（境）团组0个，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rPr>
        <w:t>0人</w:t>
      </w:r>
      <w:r>
        <w:rPr>
          <w:rFonts w:hint="eastAsia" w:ascii="仿宋_GB2312" w:hAnsi="仿宋_GB2312" w:eastAsia="仿宋_GB2312" w:cs="仿宋_GB2312"/>
          <w:sz w:val="32"/>
          <w:szCs w:val="32"/>
          <w:highlight w:val="none"/>
          <w:lang w:eastAsia="zh-CN"/>
        </w:rPr>
        <w:t>次</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rPr>
        <w:t>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b w:val="0"/>
          <w:bCs w:val="0"/>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w:t>
      </w:r>
      <w:r>
        <w:rPr>
          <w:rFonts w:hint="eastAsia" w:ascii="仿宋_GB2312" w:hAnsi="仿宋_GB2312" w:eastAsia="仿宋_GB2312" w:cs="仿宋_GB2312"/>
          <w:color w:val="auto"/>
          <w:sz w:val="32"/>
          <w:szCs w:val="32"/>
          <w:highlight w:val="none"/>
        </w:rPr>
        <w:t>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我单位2021年12月划拨入车辆一辆，当年无费用支出。</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2021年没有公务接待任务</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，完成</w:t>
      </w:r>
      <w:r>
        <w:rPr>
          <w:rFonts w:hint="eastAsia" w:ascii="仿宋_GB2312" w:hAnsi="仿宋_GB2312" w:eastAsia="仿宋_GB2312" w:cs="仿宋_GB2312"/>
          <w:sz w:val="32"/>
          <w:szCs w:val="32"/>
          <w:highlight w:val="none"/>
          <w:lang w:val="en-US" w:eastAsia="zh-CN"/>
        </w:rPr>
        <w:t>预算的0.00%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不存在项目年末结转和结余资金数较大。</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我单位根据预算绩效管理要求，加强组织领导，充分认识绩效管理工作的重要性，积极配合相关工作人员做好相关工作，不断增强支出责任和效率意识，严格按照预算绩效管理工作相关要求，在规定时间内完成了各项工作任务，保障单位日常工作有效运行，不断提高财政资金使用效率。</w:t>
      </w:r>
    </w:p>
    <w:p>
      <w:pPr>
        <w:widowControl/>
        <w:numPr>
          <w:numId w:val="0"/>
        </w:numPr>
        <w:wordWrap/>
        <w:adjustRightInd/>
        <w:snapToGrid/>
        <w:spacing w:line="360" w:lineRule="auto"/>
        <w:ind w:right="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（二）单位整体和项目绩效自评结果。</w:t>
      </w:r>
    </w:p>
    <w:p>
      <w:pPr>
        <w:widowControl/>
        <w:numPr>
          <w:numId w:val="0"/>
        </w:numPr>
        <w:wordWrap/>
        <w:adjustRightInd/>
        <w:snapToGrid/>
        <w:spacing w:line="360" w:lineRule="auto"/>
        <w:ind w:right="0" w:firstLine="64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我单位认真落实市委、市政府关于全面推行河湖长制工作的决策部署，扎实推进河湖保护治理，持续推动河湖面貌改善。市、县、乡、村各级河湖长积极履职，市河长办开展6轮74次暗访核查，全市各级河湖长巡河19.82万次，巡河执行率99.9%，在全省排名第一。“河湖长+网格长”、“河湖长+检察长”、“河湖长+警长”、“河湖长+监督员”实现市、县两级全面覆盖。完成“四乱”重点问题治理157个，基层检察院向有关行政机关发送诉前检察建议34件，全市范围内规模以上私挖滥采河砂全面杜绝，规模以下零星盗采得到有效管控。2021年，许昌市河湖管理中心被水利部评为“全面推行河长制湖长制先进集体”。评价结果为优。二是项目绩效自评情况:我单位共有0个项目批复了绩效目标，项目金额0.00万元。</w:t>
      </w:r>
    </w:p>
    <w:p>
      <w:pPr>
        <w:widowControl/>
        <w:numPr>
          <w:numId w:val="0"/>
        </w:numPr>
        <w:wordWrap/>
        <w:adjustRightInd/>
        <w:snapToGrid/>
        <w:spacing w:line="360" w:lineRule="auto"/>
        <w:ind w:right="0" w:firstLine="640"/>
        <w:jc w:val="both"/>
        <w:textAlignment w:val="auto"/>
        <w:outlineLvl w:val="2"/>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基于项目预期目标的实现程度，对2021年度项目支出绩效进行自评，绩效自评平均得分为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分。其中：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个项目评价等级为“优”、</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个项目评价等级为“良”、</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个项目评价等级为“差”。</w:t>
      </w:r>
    </w:p>
    <w:p>
      <w:pPr>
        <w:ind w:firstLine="321" w:firstLineChars="100"/>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 xml:space="preserve">       </w:t>
      </w: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 xml:space="preserve">       </w:t>
      </w: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lang w:val="en-US" w:eastAsia="zh-CN"/>
        </w:rPr>
      </w:pPr>
    </w:p>
    <w:p>
      <w:pPr>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lang w:val="en-US" w:eastAsia="zh-CN"/>
        </w:rPr>
        <w:t xml:space="preserve">        </w:t>
      </w: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9"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10"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0626455">
    <w:nsid w:val="5971BE17"/>
    <w:multiLevelType w:val="singleLevel"/>
    <w:tmpl w:val="5971BE17"/>
    <w:lvl w:ilvl="0" w:tentative="1">
      <w:start w:val="1"/>
      <w:numFmt w:val="chineseCounting"/>
      <w:suff w:val="nothing"/>
      <w:lvlText w:val="%1、"/>
      <w:lvlJc w:val="left"/>
    </w:lvl>
  </w:abstractNum>
  <w:num w:numId="1">
    <w:abstractNumId w:val="1500626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15"/>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800080"/>
      <w:u w:val="single"/>
    </w:rPr>
  </w:style>
  <w:style w:type="character" w:styleId="7">
    <w:name w:val="Hyperlink"/>
    <w:unhideWhenUsed/>
    <w:qFormat/>
    <w:uiPriority w:val="99"/>
    <w:rPr>
      <w:color w:val="0000FF"/>
      <w:u w:val="single"/>
    </w:rPr>
  </w:style>
  <w:style w:type="paragraph" w:customStyle="1" w:styleId="8">
    <w:name w:val="p0"/>
    <w:qFormat/>
    <w:uiPriority w:val="0"/>
    <w:pPr>
      <w:widowControl/>
    </w:pPr>
    <w:rPr>
      <w:rFonts w:ascii="Calibri" w:hAnsi="Calibri" w:eastAsia="宋体" w:cs="宋体"/>
      <w:kern w:val="0"/>
      <w:szCs w:val="21"/>
      <w:lang w:val="en-US" w:eastAsia="zh-CN" w:bidi="ar-SA"/>
    </w:rPr>
  </w:style>
  <w:style w:type="character" w:customStyle="1" w:styleId="9">
    <w:name w:val="font01"/>
    <w:qFormat/>
    <w:uiPriority w:val="0"/>
    <w:rPr>
      <w:rFonts w:hint="eastAsia" w:ascii="宋体" w:hAnsi="宋体" w:eastAsia="宋体" w:cs="宋体"/>
      <w:color w:val="000000"/>
      <w:sz w:val="22"/>
      <w:szCs w:val="22"/>
      <w:u w:val="none"/>
    </w:rPr>
  </w:style>
  <w:style w:type="character" w:customStyle="1" w:styleId="10">
    <w:name w:val="font51"/>
    <w:qFormat/>
    <w:uiPriority w:val="0"/>
    <w:rPr>
      <w:rFonts w:hint="eastAsia" w:ascii="宋体" w:hAnsi="宋体" w:eastAsia="宋体" w:cs="宋体"/>
      <w:color w:val="000000"/>
      <w:sz w:val="24"/>
      <w:szCs w:val="24"/>
      <w:u w:val="none"/>
    </w:rPr>
  </w:style>
  <w:style w:type="character" w:customStyle="1" w:styleId="11">
    <w:name w:val="font11"/>
    <w:qFormat/>
    <w:uiPriority w:val="0"/>
    <w:rPr>
      <w:rFonts w:hint="eastAsia" w:ascii="宋体" w:hAnsi="宋体" w:eastAsia="宋体" w:cs="宋体"/>
      <w:color w:val="000000"/>
      <w:sz w:val="20"/>
      <w:szCs w:val="20"/>
      <w:u w:val="none"/>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页脚 Char Char Char"/>
    <w:link w:val="3"/>
    <w:uiPriority w:val="99"/>
    <w:rPr>
      <w:kern w:val="2"/>
      <w:sz w:val="18"/>
      <w:szCs w:val="18"/>
    </w:rPr>
  </w:style>
  <w:style w:type="character" w:customStyle="1" w:styleId="14">
    <w:name w:val="页眉 Char Char Char"/>
    <w:link w:val="4"/>
    <w:uiPriority w:val="99"/>
    <w:rPr>
      <w:kern w:val="2"/>
      <w:sz w:val="18"/>
      <w:szCs w:val="18"/>
    </w:rPr>
  </w:style>
  <w:style w:type="character" w:customStyle="1" w:styleId="15">
    <w:name w:val="批注框文本 Char Char Char"/>
    <w:link w:val="2"/>
    <w:uiPriority w:val="99"/>
    <w:rPr>
      <w:kern w:val="2"/>
      <w:sz w:val="18"/>
      <w:szCs w:val="18"/>
    </w:rPr>
  </w:style>
  <w:style w:type="character" w:customStyle="1" w:styleId="16">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7712</Words>
  <Characters>9227</Characters>
  <Lines>60</Lines>
  <Paragraphs>16</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lenovo</cp:lastModifiedBy>
  <cp:lastPrinted>2023-02-14T03:58:00Z</cp:lastPrinted>
  <dcterms:modified xsi:type="dcterms:W3CDTF">2023-05-11T08:18:02Z</dcterms:modified>
  <dc:title>2021年度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66F161B87D754029A7C19E4B16F8B39D</vt:lpwstr>
  </property>
</Properties>
</file>