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rPr>
      </w:pPr>
      <w:bookmarkStart w:id="0" w:name="_GoBack"/>
      <w:bookmarkEnd w:id="0"/>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52"/>
          <w:szCs w:val="52"/>
        </w:rPr>
      </w:pPr>
    </w:p>
    <w:p>
      <w:pPr>
        <w:jc w:val="center"/>
        <w:rPr>
          <w:rFonts w:hint="eastAsia" w:ascii="黑体" w:hAnsi="黑体" w:eastAsia="黑体" w:cs="黑体"/>
          <w:sz w:val="52"/>
          <w:szCs w:val="52"/>
        </w:rPr>
      </w:pPr>
      <w:r>
        <w:rPr>
          <w:rFonts w:hint="eastAsia" w:ascii="黑体" w:hAnsi="黑体" w:eastAsia="黑体" w:cs="黑体"/>
          <w:sz w:val="52"/>
          <w:szCs w:val="52"/>
        </w:rPr>
        <w:t>20</w:t>
      </w:r>
      <w:r>
        <w:rPr>
          <w:rFonts w:ascii="黑体" w:hAnsi="黑体" w:eastAsia="黑体" w:cs="黑体"/>
          <w:sz w:val="52"/>
          <w:szCs w:val="52"/>
        </w:rPr>
        <w:t>21</w:t>
      </w:r>
      <w:r>
        <w:rPr>
          <w:rFonts w:hint="eastAsia" w:ascii="黑体" w:hAnsi="黑体" w:eastAsia="黑体" w:cs="黑体"/>
          <w:sz w:val="52"/>
          <w:szCs w:val="52"/>
        </w:rPr>
        <w:t>年度</w:t>
      </w:r>
    </w:p>
    <w:p>
      <w:pPr>
        <w:jc w:val="center"/>
        <w:rPr>
          <w:rFonts w:hint="eastAsia" w:ascii="黑体" w:hAnsi="黑体" w:eastAsia="黑体" w:cs="黑体"/>
          <w:sz w:val="52"/>
          <w:szCs w:val="52"/>
        </w:rPr>
      </w:pPr>
      <w:r>
        <w:rPr>
          <w:rFonts w:hint="eastAsia" w:ascii="黑体" w:hAnsi="黑体" w:eastAsia="黑体" w:cs="黑体"/>
          <w:sz w:val="52"/>
          <w:szCs w:val="52"/>
        </w:rPr>
        <w:t>许昌市污水处理费征收中心</w:t>
      </w:r>
      <w:r>
        <w:rPr>
          <w:rFonts w:hint="eastAsia" w:ascii="黑体" w:hAnsi="黑体" w:eastAsia="黑体" w:cs="黑体"/>
          <w:sz w:val="52"/>
          <w:szCs w:val="52"/>
          <w:lang w:eastAsia="zh-CN"/>
        </w:rPr>
        <w:t>单位</w:t>
      </w:r>
      <w:r>
        <w:rPr>
          <w:rFonts w:hint="eastAsia" w:ascii="黑体" w:hAnsi="黑体" w:eastAsia="黑体" w:cs="黑体"/>
          <w:sz w:val="52"/>
          <w:szCs w:val="52"/>
        </w:rPr>
        <w:t>决算</w:t>
      </w:r>
    </w:p>
    <w:p>
      <w:pPr>
        <w:jc w:val="center"/>
        <w:rPr>
          <w:rFonts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二〇二二年九月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许昌市污水处理费征收中心概况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lang w:eastAsia="zh-CN"/>
        </w:rPr>
        <w:t>单位</w:t>
      </w:r>
      <w:r>
        <w:rPr>
          <w:rFonts w:hint="eastAsia" w:ascii="宋体" w:hAnsi="宋体" w:cs="宋体"/>
          <w:sz w:val="32"/>
          <w:szCs w:val="32"/>
        </w:rPr>
        <w:t>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2021年度</w:t>
      </w:r>
      <w:r>
        <w:rPr>
          <w:rFonts w:hint="eastAsia" w:ascii="黑体" w:hAnsi="黑体" w:eastAsia="黑体" w:cs="黑体"/>
          <w:sz w:val="32"/>
          <w:szCs w:val="32"/>
          <w:lang w:eastAsia="zh-CN"/>
        </w:rPr>
        <w:t>单位</w:t>
      </w:r>
      <w:r>
        <w:rPr>
          <w:rFonts w:hint="eastAsia" w:ascii="黑体" w:hAnsi="黑体" w:eastAsia="黑体" w:cs="黑体"/>
          <w:sz w:val="32"/>
          <w:szCs w:val="32"/>
        </w:rPr>
        <w:t>决算表</w:t>
      </w:r>
    </w:p>
    <w:p>
      <w:pPr>
        <w:ind w:firstLine="640" w:firstLineChars="200"/>
        <w:jc w:val="left"/>
        <w:rPr>
          <w:rFonts w:hint="eastAsia" w:ascii="宋体" w:hAnsi="宋体" w:cs="黑体"/>
          <w:sz w:val="32"/>
          <w:szCs w:val="32"/>
        </w:rPr>
      </w:pPr>
      <w:r>
        <w:rPr>
          <w:rFonts w:hint="eastAsia" w:ascii="宋体" w:hAnsi="宋体" w:cs="黑体"/>
          <w:sz w:val="32"/>
          <w:szCs w:val="32"/>
        </w:rPr>
        <w:t>一、收入支出决算总表</w:t>
      </w:r>
    </w:p>
    <w:p>
      <w:pPr>
        <w:ind w:firstLine="640" w:firstLineChars="200"/>
        <w:jc w:val="left"/>
        <w:rPr>
          <w:rFonts w:hint="eastAsia" w:ascii="宋体" w:hAnsi="宋体" w:cs="黑体"/>
          <w:sz w:val="32"/>
          <w:szCs w:val="32"/>
        </w:rPr>
      </w:pPr>
      <w:r>
        <w:rPr>
          <w:rFonts w:hint="eastAsia" w:ascii="宋体" w:hAnsi="宋体" w:cs="黑体"/>
          <w:sz w:val="32"/>
          <w:szCs w:val="32"/>
        </w:rPr>
        <w:t>二、收入决算表</w:t>
      </w:r>
    </w:p>
    <w:p>
      <w:pPr>
        <w:ind w:firstLine="640" w:firstLineChars="200"/>
        <w:jc w:val="left"/>
        <w:rPr>
          <w:rFonts w:hint="eastAsia"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hint="eastAsia"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hint="eastAsia" w:ascii="宋体" w:hAns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hint="eastAsia" w:ascii="宋体" w:hAnsi="宋体" w:cs="黑体"/>
          <w:sz w:val="32"/>
          <w:szCs w:val="32"/>
        </w:rPr>
      </w:pPr>
      <w:r>
        <w:rPr>
          <w:rFonts w:hint="eastAsia" w:ascii="宋体" w:hAnsi="宋体" w:cs="黑体"/>
          <w:sz w:val="32"/>
          <w:szCs w:val="32"/>
        </w:rPr>
        <w:t>八、政府性基金预算财政拨款收入支出决算表</w:t>
      </w:r>
    </w:p>
    <w:p>
      <w:pPr>
        <w:jc w:val="left"/>
        <w:rPr>
          <w:rFonts w:hint="eastAsia"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w:t>
      </w:r>
      <w:r>
        <w:rPr>
          <w:rFonts w:hint="eastAsia" w:ascii="黑体" w:hAnsi="黑体" w:eastAsia="黑体" w:cs="黑体"/>
          <w:sz w:val="32"/>
          <w:szCs w:val="32"/>
          <w:lang w:eastAsia="zh-CN"/>
        </w:rPr>
        <w:t>单位</w:t>
      </w:r>
      <w:r>
        <w:rPr>
          <w:rFonts w:hint="eastAsia" w:ascii="黑体" w:hAnsi="黑体" w:eastAsia="黑体" w:cs="黑体"/>
          <w:sz w:val="32"/>
          <w:szCs w:val="32"/>
        </w:rPr>
        <w:t>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二、收入决算情况说明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三、支出决算情况说明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九、机关运行经费支出情况说明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十一、国有资产占用情况说明</w:t>
      </w:r>
    </w:p>
    <w:p>
      <w:pPr>
        <w:ind w:firstLine="640" w:firstLineChars="200"/>
        <w:jc w:val="left"/>
        <w:rPr>
          <w:rFonts w:hint="eastAsia" w:ascii="宋体" w:hAnsi="宋体" w:cs="宋体"/>
          <w:sz w:val="32"/>
          <w:szCs w:val="32"/>
        </w:rPr>
      </w:pPr>
      <w:r>
        <w:rPr>
          <w:rFonts w:hint="eastAsia" w:ascii="宋体" w:hAnsi="宋体" w:cs="宋体"/>
          <w:sz w:val="32"/>
          <w:szCs w:val="32"/>
        </w:rPr>
        <w:t>十二、预算绩效情况说明</w:t>
      </w:r>
    </w:p>
    <w:p>
      <w:pPr>
        <w:jc w:val="left"/>
        <w:rPr>
          <w:rFonts w:hint="eastAsia"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tabs>
          <w:tab w:val="left" w:pos="630"/>
        </w:tabs>
        <w:jc w:val="center"/>
        <w:outlineLvl w:val="0"/>
        <w:rPr>
          <w:rFonts w:hint="eastAsia" w:ascii="黑体" w:hAnsi="宋体" w:eastAsia="黑体" w:cs="宋体"/>
          <w:kern w:val="0"/>
          <w:sz w:val="48"/>
          <w:szCs w:val="48"/>
        </w:rPr>
      </w:pPr>
      <w:r>
        <w:rPr>
          <w:rFonts w:hint="eastAsia" w:ascii="黑体" w:hAnsi="黑体" w:eastAsia="黑体" w:cs="黑体"/>
          <w:sz w:val="48"/>
          <w:szCs w:val="48"/>
        </w:rPr>
        <w:t>第一部分 许昌市污水处理费征收中心概况</w:t>
      </w: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jc w:val="left"/>
        <w:outlineLvl w:val="1"/>
        <w:rPr>
          <w:rFonts w:ascii="黑体" w:hAnsi="黑体" w:eastAsia="黑体" w:cs="黑体"/>
          <w:kern w:val="0"/>
          <w:sz w:val="32"/>
          <w:szCs w:val="32"/>
        </w:rPr>
      </w:pPr>
    </w:p>
    <w:p>
      <w:pPr>
        <w:widowControl/>
        <w:ind w:firstLine="640" w:firstLineChars="200"/>
        <w:jc w:val="left"/>
        <w:outlineLvl w:val="1"/>
        <w:rPr>
          <w:rFonts w:hint="eastAsia" w:ascii="黑体" w:hAnsi="黑体" w:eastAsia="黑体" w:cs="黑体"/>
          <w:kern w:val="0"/>
          <w:sz w:val="32"/>
          <w:szCs w:val="32"/>
          <w:u w:val="none"/>
        </w:rPr>
      </w:pPr>
      <w:r>
        <w:rPr>
          <w:rFonts w:hint="eastAsia" w:ascii="黑体" w:hAnsi="黑体" w:eastAsia="黑体" w:cs="黑体"/>
          <w:kern w:val="0"/>
          <w:sz w:val="32"/>
          <w:szCs w:val="32"/>
          <w:u w:val="none"/>
        </w:rPr>
        <w:t>一、</w:t>
      </w:r>
      <w:r>
        <w:rPr>
          <w:rFonts w:hint="eastAsia" w:ascii="黑体" w:hAnsi="黑体" w:eastAsia="黑体" w:cs="黑体"/>
          <w:kern w:val="0"/>
          <w:sz w:val="32"/>
          <w:szCs w:val="32"/>
          <w:u w:val="none"/>
          <w:lang w:eastAsia="zh-CN"/>
        </w:rPr>
        <w:t>单位</w:t>
      </w:r>
      <w:r>
        <w:rPr>
          <w:rFonts w:hint="eastAsia" w:ascii="黑体" w:hAnsi="黑体" w:eastAsia="黑体" w:cs="黑体"/>
          <w:bCs/>
          <w:sz w:val="32"/>
          <w:szCs w:val="32"/>
          <w:u w:val="none"/>
        </w:rPr>
        <w:t>职责</w:t>
      </w:r>
    </w:p>
    <w:p>
      <w:pPr>
        <w:widowControl/>
        <w:ind w:firstLine="640" w:firstLineChars="200"/>
        <w:jc w:val="left"/>
        <w:outlineLvl w:val="1"/>
        <w:rPr>
          <w:rFonts w:hint="eastAsia" w:ascii="仿宋_GB2312" w:hAnsi="宋体" w:eastAsia="仿宋_GB2312" w:cs="宋体"/>
          <w:kern w:val="0"/>
          <w:sz w:val="32"/>
          <w:szCs w:val="32"/>
        </w:rPr>
      </w:pPr>
      <w:r>
        <w:rPr>
          <w:rFonts w:hint="eastAsia" w:ascii="仿宋_GB2312" w:hAnsi="仿宋_GB2312" w:eastAsia="仿宋_GB2312" w:cs="仿宋_GB2312"/>
          <w:sz w:val="32"/>
          <w:szCs w:val="32"/>
        </w:rPr>
        <w:t>根据《许昌市机构编制委员会关于明确许昌市污水处理费征收中心机构编制等有关问题的通知》（许编[2009]9号），许昌市污水处理费征收中心主要职责是：负责城市规划区内污水处理费的征收及管理工作。</w:t>
      </w: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二、机构设置</w:t>
      </w:r>
    </w:p>
    <w:p>
      <w:pPr>
        <w:ind w:firstLine="640" w:firstLineChars="200"/>
        <w:rPr>
          <w:rFonts w:hint="eastAsia" w:ascii="仿宋_GB2312" w:hAnsi="仿宋_GB2312" w:eastAsia="仿宋_GB2312" w:cs="仿宋_GB2312"/>
          <w:sz w:val="32"/>
          <w:szCs w:val="32"/>
        </w:rPr>
      </w:pPr>
      <w:r>
        <w:rPr>
          <w:rFonts w:hint="eastAsia" w:ascii="仿宋_GB2312" w:eastAsia="仿宋_GB2312"/>
          <w:sz w:val="32"/>
          <w:szCs w:val="32"/>
        </w:rPr>
        <w:t>许昌市污水处理费征收中心内设机构4个，包括:办公室、计统科、征收管理科、排水管理科。</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从决算单位构成看，许昌市污水处理费征收中心</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决算包括：本级决算</w:t>
      </w:r>
      <w:r>
        <w:rPr>
          <w:rFonts w:hint="eastAsia" w:ascii="仿宋_GB2312" w:hAnsi="仿宋_GB2312" w:eastAsia="仿宋_GB2312" w:cs="仿宋_GB2312"/>
          <w:sz w:val="32"/>
          <w:szCs w:val="32"/>
          <w:lang w:val="en-US" w:eastAsia="zh-CN"/>
        </w:rPr>
        <w:t>(1个)</w:t>
      </w:r>
      <w:r>
        <w:rPr>
          <w:rFonts w:hint="eastAsia" w:ascii="仿宋_GB2312" w:hAnsi="仿宋_GB2312" w:eastAsia="仿宋_GB2312" w:cs="仿宋_GB2312"/>
          <w:sz w:val="32"/>
          <w:szCs w:val="32"/>
        </w:rPr>
        <w:t>。</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纳入本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决算编制范围的单位共1个，具体是：</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许昌市污水处理费征收中心</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宋体" w:eastAsia="黑体" w:cs="宋体"/>
          <w:kern w:val="0"/>
          <w:sz w:val="48"/>
          <w:szCs w:val="4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r>
        <w:rPr>
          <w:rFonts w:hint="eastAsia" w:ascii="黑体" w:hAnsi="黑体" w:eastAsia="黑体" w:cs="黑体"/>
          <w:sz w:val="48"/>
          <w:szCs w:val="48"/>
        </w:rPr>
        <w:t>第二部分  2021年度</w:t>
      </w:r>
      <w:r>
        <w:rPr>
          <w:rFonts w:hint="eastAsia" w:ascii="黑体" w:hAnsi="黑体" w:eastAsia="黑体" w:cs="黑体"/>
          <w:sz w:val="48"/>
          <w:szCs w:val="48"/>
          <w:lang w:eastAsia="zh-CN"/>
        </w:rPr>
        <w:t>单位</w:t>
      </w:r>
      <w:r>
        <w:rPr>
          <w:rFonts w:hint="eastAsia" w:ascii="黑体" w:hAnsi="黑体" w:eastAsia="黑体" w:cs="黑体"/>
          <w:sz w:val="48"/>
          <w:szCs w:val="48"/>
        </w:rPr>
        <w:t>决算表</w:t>
      </w:r>
    </w:p>
    <w:p>
      <w:pPr>
        <w:rPr>
          <w:rFonts w:hint="eastAsia" w:ascii="仿宋_GB2312" w:hAnsi="仿宋_GB2312" w:eastAsia="仿宋_GB2312" w:cs="仿宋_GB2312"/>
          <w:sz w:val="32"/>
          <w:szCs w:val="32"/>
        </w:rPr>
      </w:pPr>
    </w:p>
    <w:tbl>
      <w:tblPr>
        <w:tblStyle w:val="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67"/>
        <w:gridCol w:w="820"/>
        <w:gridCol w:w="1026"/>
        <w:gridCol w:w="4392"/>
        <w:gridCol w:w="820"/>
        <w:gridCol w:w="1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750" w:type="dxa"/>
            <w:gridSpan w:val="6"/>
            <w:tcBorders>
              <w:top w:val="nil"/>
              <w:left w:val="nil"/>
              <w:bottom w:val="nil"/>
              <w:right w:val="nil"/>
            </w:tcBorders>
            <w:noWrap w:val="0"/>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667" w:type="dxa"/>
            <w:tcBorders>
              <w:top w:val="nil"/>
              <w:left w:val="nil"/>
              <w:bottom w:val="nil"/>
              <w:right w:val="nil"/>
            </w:tcBorders>
            <w:noWrap w:val="0"/>
            <w:vAlign w:val="bottom"/>
          </w:tcPr>
          <w:p>
            <w:pPr>
              <w:rPr>
                <w:rFonts w:hint="eastAsia" w:ascii="Arial" w:hAnsi="Arial" w:cs="Arial"/>
                <w:color w:val="000000"/>
                <w:sz w:val="18"/>
                <w:szCs w:val="18"/>
              </w:rPr>
            </w:pPr>
          </w:p>
        </w:tc>
        <w:tc>
          <w:tcPr>
            <w:tcW w:w="820" w:type="dxa"/>
            <w:tcBorders>
              <w:top w:val="nil"/>
              <w:left w:val="nil"/>
              <w:bottom w:val="nil"/>
              <w:right w:val="nil"/>
            </w:tcBorders>
            <w:noWrap w:val="0"/>
            <w:vAlign w:val="bottom"/>
          </w:tcPr>
          <w:p>
            <w:pPr>
              <w:rPr>
                <w:rFonts w:ascii="Arial" w:hAnsi="Arial" w:cs="Arial"/>
                <w:color w:val="000000"/>
                <w:sz w:val="18"/>
                <w:szCs w:val="18"/>
              </w:rPr>
            </w:pPr>
          </w:p>
        </w:tc>
        <w:tc>
          <w:tcPr>
            <w:tcW w:w="1026" w:type="dxa"/>
            <w:tcBorders>
              <w:top w:val="nil"/>
              <w:left w:val="nil"/>
              <w:bottom w:val="nil"/>
              <w:right w:val="nil"/>
            </w:tcBorders>
            <w:noWrap w:val="0"/>
            <w:vAlign w:val="bottom"/>
          </w:tcPr>
          <w:p>
            <w:pPr>
              <w:rPr>
                <w:rFonts w:ascii="Arial" w:hAnsi="Arial" w:cs="Arial"/>
                <w:color w:val="000000"/>
                <w:sz w:val="18"/>
                <w:szCs w:val="18"/>
              </w:rPr>
            </w:pPr>
          </w:p>
        </w:tc>
        <w:tc>
          <w:tcPr>
            <w:tcW w:w="4392" w:type="dxa"/>
            <w:tcBorders>
              <w:top w:val="nil"/>
              <w:left w:val="nil"/>
              <w:bottom w:val="nil"/>
              <w:right w:val="nil"/>
            </w:tcBorders>
            <w:noWrap w:val="0"/>
            <w:vAlign w:val="bottom"/>
          </w:tcPr>
          <w:p>
            <w:pPr>
              <w:rPr>
                <w:rFonts w:ascii="Arial" w:hAnsi="Arial" w:cs="Arial"/>
                <w:color w:val="000000"/>
                <w:sz w:val="18"/>
                <w:szCs w:val="18"/>
              </w:rPr>
            </w:pPr>
          </w:p>
        </w:tc>
        <w:tc>
          <w:tcPr>
            <w:tcW w:w="1845" w:type="dxa"/>
            <w:gridSpan w:val="2"/>
            <w:tcBorders>
              <w:top w:val="nil"/>
              <w:left w:val="nil"/>
              <w:bottom w:val="nil"/>
              <w:right w:val="nil"/>
            </w:tcBorders>
            <w:noWrap w:val="0"/>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13" w:type="dxa"/>
            <w:gridSpan w:val="3"/>
            <w:tcBorders>
              <w:top w:val="nil"/>
              <w:left w:val="nil"/>
              <w:bottom w:val="nil"/>
              <w:right w:val="nil"/>
            </w:tcBorders>
            <w:noWrap w:val="0"/>
            <w:vAlign w:val="bottom"/>
          </w:tcPr>
          <w:p>
            <w:pPr>
              <w:widowControl/>
              <w:jc w:val="left"/>
              <w:textAlignment w:val="bottom"/>
              <w:rPr>
                <w:rFonts w:hint="eastAsia" w:ascii="宋体" w:hAnsi="宋体" w:cs="宋体"/>
                <w:color w:val="000000"/>
                <w:sz w:val="18"/>
                <w:szCs w:val="18"/>
              </w:rPr>
            </w:pPr>
            <w:r>
              <w:rPr>
                <w:rFonts w:hint="eastAsia" w:ascii="宋体" w:hAnsi="宋体" w:cs="宋体"/>
                <w:color w:val="000000"/>
                <w:kern w:val="0"/>
                <w:sz w:val="18"/>
                <w:szCs w:val="18"/>
                <w:lang w:eastAsia="zh-CN"/>
              </w:rPr>
              <w:t>单位</w:t>
            </w:r>
            <w:r>
              <w:rPr>
                <w:rFonts w:hint="eastAsia" w:ascii="宋体" w:hAnsi="宋体" w:cs="宋体"/>
                <w:color w:val="000000"/>
                <w:kern w:val="0"/>
                <w:sz w:val="18"/>
                <w:szCs w:val="18"/>
              </w:rPr>
              <w:t>：许昌市污水处理费征收中心</w:t>
            </w:r>
          </w:p>
        </w:tc>
        <w:tc>
          <w:tcPr>
            <w:tcW w:w="4392" w:type="dxa"/>
            <w:tcBorders>
              <w:top w:val="nil"/>
              <w:left w:val="nil"/>
              <w:bottom w:val="nil"/>
              <w:right w:val="nil"/>
            </w:tcBorders>
            <w:noWrap w:val="0"/>
            <w:vAlign w:val="bottom"/>
          </w:tcPr>
          <w:p>
            <w:pPr>
              <w:rPr>
                <w:rFonts w:ascii="Arial" w:hAnsi="Arial" w:cs="Arial"/>
                <w:color w:val="000000"/>
                <w:sz w:val="18"/>
                <w:szCs w:val="18"/>
              </w:rPr>
            </w:pPr>
          </w:p>
        </w:tc>
        <w:tc>
          <w:tcPr>
            <w:tcW w:w="1845" w:type="dxa"/>
            <w:gridSpan w:val="2"/>
            <w:tcBorders>
              <w:top w:val="nil"/>
              <w:left w:val="nil"/>
              <w:bottom w:val="nil"/>
              <w:right w:val="nil"/>
            </w:tcBorders>
            <w:noWrap w:val="0"/>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51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收入</w:t>
            </w:r>
          </w:p>
        </w:tc>
        <w:tc>
          <w:tcPr>
            <w:tcW w:w="6237" w:type="dxa"/>
            <w:gridSpan w:val="3"/>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项目</w:t>
            </w: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行次</w:t>
            </w:r>
          </w:p>
        </w:tc>
        <w:tc>
          <w:tcPr>
            <w:tcW w:w="10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金额</w:t>
            </w:r>
          </w:p>
        </w:tc>
        <w:tc>
          <w:tcPr>
            <w:tcW w:w="439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项目</w:t>
            </w: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行次</w:t>
            </w:r>
          </w:p>
        </w:tc>
        <w:tc>
          <w:tcPr>
            <w:tcW w:w="1025"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栏次</w:t>
            </w:r>
          </w:p>
        </w:tc>
        <w:tc>
          <w:tcPr>
            <w:tcW w:w="820" w:type="dxa"/>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10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439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栏次</w:t>
            </w:r>
          </w:p>
        </w:tc>
        <w:tc>
          <w:tcPr>
            <w:tcW w:w="820" w:type="dxa"/>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1025"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一、一般公共预算财政拨款收入</w:t>
            </w: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1026"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397.53</w:t>
            </w:r>
          </w:p>
        </w:tc>
        <w:tc>
          <w:tcPr>
            <w:tcW w:w="43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一、一般公共服务支出</w:t>
            </w: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32</w:t>
            </w:r>
          </w:p>
        </w:tc>
        <w:tc>
          <w:tcPr>
            <w:tcW w:w="1025"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二、政府性基金预算财政拨款收入</w:t>
            </w: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1026"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二、外交支出</w:t>
            </w: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33</w:t>
            </w:r>
          </w:p>
        </w:tc>
        <w:tc>
          <w:tcPr>
            <w:tcW w:w="1025"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三、国有资本经营预算财政拨款收入</w:t>
            </w: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w:t>
            </w:r>
          </w:p>
        </w:tc>
        <w:tc>
          <w:tcPr>
            <w:tcW w:w="1026"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三、国防支出</w:t>
            </w: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34</w:t>
            </w:r>
          </w:p>
        </w:tc>
        <w:tc>
          <w:tcPr>
            <w:tcW w:w="1025"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四、上级补助收入</w:t>
            </w: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w:t>
            </w:r>
          </w:p>
        </w:tc>
        <w:tc>
          <w:tcPr>
            <w:tcW w:w="1026"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四、公共安全支出</w:t>
            </w: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35</w:t>
            </w:r>
          </w:p>
        </w:tc>
        <w:tc>
          <w:tcPr>
            <w:tcW w:w="1025"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五、事业收入</w:t>
            </w: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w:t>
            </w:r>
          </w:p>
        </w:tc>
        <w:tc>
          <w:tcPr>
            <w:tcW w:w="1026"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五、教育支出</w:t>
            </w: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36</w:t>
            </w:r>
          </w:p>
        </w:tc>
        <w:tc>
          <w:tcPr>
            <w:tcW w:w="1025"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六、经营收入</w:t>
            </w: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w:t>
            </w:r>
          </w:p>
        </w:tc>
        <w:tc>
          <w:tcPr>
            <w:tcW w:w="1026"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六、科学技术支出</w:t>
            </w: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37</w:t>
            </w:r>
          </w:p>
        </w:tc>
        <w:tc>
          <w:tcPr>
            <w:tcW w:w="1025"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七、附属单位上缴收入</w:t>
            </w: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w:t>
            </w:r>
          </w:p>
        </w:tc>
        <w:tc>
          <w:tcPr>
            <w:tcW w:w="1026"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七、文化旅游体育与传媒支出</w:t>
            </w: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38</w:t>
            </w:r>
          </w:p>
        </w:tc>
        <w:tc>
          <w:tcPr>
            <w:tcW w:w="1025"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八、其他收入</w:t>
            </w: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8</w:t>
            </w:r>
          </w:p>
        </w:tc>
        <w:tc>
          <w:tcPr>
            <w:tcW w:w="1026"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八、社会保障和就业支出</w:t>
            </w: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39</w:t>
            </w:r>
          </w:p>
        </w:tc>
        <w:tc>
          <w:tcPr>
            <w:tcW w:w="1025"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29.18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szCs w:val="22"/>
              </w:rPr>
            </w:pP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9</w:t>
            </w:r>
          </w:p>
        </w:tc>
        <w:tc>
          <w:tcPr>
            <w:tcW w:w="1026"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九、卫生健康支出</w:t>
            </w: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40</w:t>
            </w:r>
          </w:p>
        </w:tc>
        <w:tc>
          <w:tcPr>
            <w:tcW w:w="1025"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12.23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szCs w:val="22"/>
              </w:rPr>
            </w:pP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w:t>
            </w:r>
          </w:p>
        </w:tc>
        <w:tc>
          <w:tcPr>
            <w:tcW w:w="1026"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十、节能环保支出</w:t>
            </w: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41</w:t>
            </w:r>
          </w:p>
        </w:tc>
        <w:tc>
          <w:tcPr>
            <w:tcW w:w="1025"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szCs w:val="22"/>
              </w:rPr>
            </w:pP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11</w:t>
            </w:r>
          </w:p>
        </w:tc>
        <w:tc>
          <w:tcPr>
            <w:tcW w:w="1026"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十一、城乡社区支出</w:t>
            </w: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42</w:t>
            </w:r>
          </w:p>
        </w:tc>
        <w:tc>
          <w:tcPr>
            <w:tcW w:w="1025"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szCs w:val="22"/>
              </w:rPr>
            </w:pP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12</w:t>
            </w:r>
          </w:p>
        </w:tc>
        <w:tc>
          <w:tcPr>
            <w:tcW w:w="1026"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十二、农林水支出</w:t>
            </w: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43</w:t>
            </w:r>
          </w:p>
        </w:tc>
        <w:tc>
          <w:tcPr>
            <w:tcW w:w="1025"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389.54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szCs w:val="22"/>
              </w:rPr>
            </w:pP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13</w:t>
            </w:r>
          </w:p>
        </w:tc>
        <w:tc>
          <w:tcPr>
            <w:tcW w:w="1026"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十三、交通运输支出</w:t>
            </w: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44</w:t>
            </w:r>
          </w:p>
        </w:tc>
        <w:tc>
          <w:tcPr>
            <w:tcW w:w="1025"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szCs w:val="22"/>
              </w:rPr>
            </w:pP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14</w:t>
            </w:r>
          </w:p>
        </w:tc>
        <w:tc>
          <w:tcPr>
            <w:tcW w:w="1026"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十四、资源勘探工业信息等支出</w:t>
            </w: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45</w:t>
            </w:r>
          </w:p>
        </w:tc>
        <w:tc>
          <w:tcPr>
            <w:tcW w:w="1025"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szCs w:val="22"/>
              </w:rPr>
            </w:pP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15</w:t>
            </w:r>
          </w:p>
        </w:tc>
        <w:tc>
          <w:tcPr>
            <w:tcW w:w="1026"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十五、商业服务业等支出</w:t>
            </w: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46</w:t>
            </w:r>
          </w:p>
        </w:tc>
        <w:tc>
          <w:tcPr>
            <w:tcW w:w="1025"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auto" w:sz="4" w:space="0"/>
              <w:right w:val="single" w:color="000000" w:sz="4" w:space="0"/>
            </w:tcBorders>
            <w:noWrap w:val="0"/>
            <w:vAlign w:val="center"/>
          </w:tcPr>
          <w:p>
            <w:pPr>
              <w:jc w:val="left"/>
              <w:rPr>
                <w:rFonts w:hint="eastAsia" w:ascii="宋体" w:hAnsi="宋体" w:cs="宋体"/>
                <w:color w:val="000000"/>
                <w:sz w:val="22"/>
                <w:szCs w:val="22"/>
              </w:rPr>
            </w:pPr>
          </w:p>
        </w:tc>
        <w:tc>
          <w:tcPr>
            <w:tcW w:w="820" w:type="dxa"/>
            <w:tcBorders>
              <w:top w:val="nil"/>
              <w:left w:val="nil"/>
              <w:bottom w:val="single" w:color="auto"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16</w:t>
            </w:r>
          </w:p>
        </w:tc>
        <w:tc>
          <w:tcPr>
            <w:tcW w:w="1026" w:type="dxa"/>
            <w:tcBorders>
              <w:top w:val="nil"/>
              <w:left w:val="nil"/>
              <w:bottom w:val="single" w:color="auto" w:sz="4" w:space="0"/>
              <w:right w:val="single" w:color="000000" w:sz="4" w:space="0"/>
            </w:tcBorders>
            <w:noWrap w:val="0"/>
            <w:vAlign w:val="center"/>
          </w:tcPr>
          <w:p>
            <w:pPr>
              <w:jc w:val="right"/>
              <w:rPr>
                <w:rFonts w:hint="eastAsia" w:ascii="宋体" w:hAnsi="宋体" w:cs="宋体"/>
                <w:color w:val="000000"/>
                <w:sz w:val="22"/>
                <w:szCs w:val="22"/>
              </w:rPr>
            </w:pPr>
          </w:p>
        </w:tc>
        <w:tc>
          <w:tcPr>
            <w:tcW w:w="4392" w:type="dxa"/>
            <w:tcBorders>
              <w:top w:val="nil"/>
              <w:left w:val="nil"/>
              <w:bottom w:val="single" w:color="auto"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十六、金融支出</w:t>
            </w:r>
          </w:p>
        </w:tc>
        <w:tc>
          <w:tcPr>
            <w:tcW w:w="820" w:type="dxa"/>
            <w:tcBorders>
              <w:top w:val="nil"/>
              <w:left w:val="nil"/>
              <w:bottom w:val="single" w:color="auto"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47</w:t>
            </w:r>
          </w:p>
        </w:tc>
        <w:tc>
          <w:tcPr>
            <w:tcW w:w="1025" w:type="dxa"/>
            <w:tcBorders>
              <w:top w:val="nil"/>
              <w:left w:val="nil"/>
              <w:bottom w:val="single" w:color="auto"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 w:val="22"/>
                <w:szCs w:val="22"/>
              </w:rPr>
            </w:pPr>
          </w:p>
        </w:tc>
        <w:tc>
          <w:tcPr>
            <w:tcW w:w="82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17</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2"/>
                <w:szCs w:val="22"/>
              </w:rPr>
            </w:pPr>
          </w:p>
        </w:tc>
        <w:tc>
          <w:tcPr>
            <w:tcW w:w="43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十七、援助其他地区支出</w:t>
            </w:r>
          </w:p>
        </w:tc>
        <w:tc>
          <w:tcPr>
            <w:tcW w:w="82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48</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single" w:color="auto"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szCs w:val="22"/>
              </w:rPr>
            </w:pPr>
          </w:p>
        </w:tc>
        <w:tc>
          <w:tcPr>
            <w:tcW w:w="820" w:type="dxa"/>
            <w:tcBorders>
              <w:top w:val="single" w:color="auto"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18</w:t>
            </w:r>
          </w:p>
        </w:tc>
        <w:tc>
          <w:tcPr>
            <w:tcW w:w="1026" w:type="dxa"/>
            <w:tcBorders>
              <w:top w:val="single" w:color="auto" w:sz="4" w:space="0"/>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4392" w:type="dxa"/>
            <w:tcBorders>
              <w:top w:val="single" w:color="auto" w:sz="4" w:space="0"/>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十八、自然资源海洋气象等支出</w:t>
            </w:r>
          </w:p>
        </w:tc>
        <w:tc>
          <w:tcPr>
            <w:tcW w:w="820" w:type="dxa"/>
            <w:tcBorders>
              <w:top w:val="single" w:color="auto"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49</w:t>
            </w:r>
          </w:p>
        </w:tc>
        <w:tc>
          <w:tcPr>
            <w:tcW w:w="1025" w:type="dxa"/>
            <w:tcBorders>
              <w:top w:val="single" w:color="auto" w:sz="4" w:space="0"/>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szCs w:val="22"/>
              </w:rPr>
            </w:pP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19</w:t>
            </w:r>
          </w:p>
        </w:tc>
        <w:tc>
          <w:tcPr>
            <w:tcW w:w="1026"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十九、住房保障支出</w:t>
            </w: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w:t>
            </w:r>
          </w:p>
        </w:tc>
        <w:tc>
          <w:tcPr>
            <w:tcW w:w="1025"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szCs w:val="22"/>
              </w:rPr>
            </w:pP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w:t>
            </w:r>
          </w:p>
        </w:tc>
        <w:tc>
          <w:tcPr>
            <w:tcW w:w="1026"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二十、粮油物资储备支出</w:t>
            </w: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51</w:t>
            </w:r>
          </w:p>
        </w:tc>
        <w:tc>
          <w:tcPr>
            <w:tcW w:w="1025"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szCs w:val="22"/>
              </w:rPr>
            </w:pP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21</w:t>
            </w:r>
          </w:p>
        </w:tc>
        <w:tc>
          <w:tcPr>
            <w:tcW w:w="1026"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二十一、国有资本经营预算支出</w:t>
            </w: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52</w:t>
            </w:r>
          </w:p>
        </w:tc>
        <w:tc>
          <w:tcPr>
            <w:tcW w:w="1025"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szCs w:val="22"/>
              </w:rPr>
            </w:pP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22</w:t>
            </w:r>
          </w:p>
        </w:tc>
        <w:tc>
          <w:tcPr>
            <w:tcW w:w="1026"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二十二、灾害防治及应急管理支出</w:t>
            </w: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53</w:t>
            </w:r>
          </w:p>
        </w:tc>
        <w:tc>
          <w:tcPr>
            <w:tcW w:w="1025"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szCs w:val="22"/>
              </w:rPr>
            </w:pP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23</w:t>
            </w:r>
          </w:p>
        </w:tc>
        <w:tc>
          <w:tcPr>
            <w:tcW w:w="1026"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二十三、其他支出</w:t>
            </w: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54</w:t>
            </w:r>
          </w:p>
        </w:tc>
        <w:tc>
          <w:tcPr>
            <w:tcW w:w="1025"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000000"/>
                <w:sz w:val="22"/>
                <w:szCs w:val="22"/>
              </w:rPr>
            </w:pP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24</w:t>
            </w:r>
          </w:p>
        </w:tc>
        <w:tc>
          <w:tcPr>
            <w:tcW w:w="1026"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二十四、债务还本支出</w:t>
            </w: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55</w:t>
            </w:r>
          </w:p>
        </w:tc>
        <w:tc>
          <w:tcPr>
            <w:tcW w:w="1025"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szCs w:val="22"/>
              </w:rPr>
            </w:pP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25</w:t>
            </w:r>
          </w:p>
        </w:tc>
        <w:tc>
          <w:tcPr>
            <w:tcW w:w="1026"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二十五、债务付息支出</w:t>
            </w: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56</w:t>
            </w:r>
          </w:p>
        </w:tc>
        <w:tc>
          <w:tcPr>
            <w:tcW w:w="1025"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szCs w:val="22"/>
              </w:rPr>
            </w:pP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26</w:t>
            </w:r>
          </w:p>
        </w:tc>
        <w:tc>
          <w:tcPr>
            <w:tcW w:w="1026"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二十六、抗疫特别国债安排的支出</w:t>
            </w: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57</w:t>
            </w:r>
          </w:p>
        </w:tc>
        <w:tc>
          <w:tcPr>
            <w:tcW w:w="1025"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本年收入合计</w:t>
            </w: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27</w:t>
            </w:r>
          </w:p>
        </w:tc>
        <w:tc>
          <w:tcPr>
            <w:tcW w:w="1026"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397.53</w:t>
            </w:r>
          </w:p>
        </w:tc>
        <w:tc>
          <w:tcPr>
            <w:tcW w:w="439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本年支出合计</w:t>
            </w: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58</w:t>
            </w:r>
          </w:p>
        </w:tc>
        <w:tc>
          <w:tcPr>
            <w:tcW w:w="1025"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433.07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使用非财政拨款结余</w:t>
            </w: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28</w:t>
            </w:r>
          </w:p>
        </w:tc>
        <w:tc>
          <w:tcPr>
            <w:tcW w:w="1026"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结余分配</w:t>
            </w: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59</w:t>
            </w:r>
          </w:p>
        </w:tc>
        <w:tc>
          <w:tcPr>
            <w:tcW w:w="1025"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年初结转和结余</w:t>
            </w: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29</w:t>
            </w:r>
          </w:p>
        </w:tc>
        <w:tc>
          <w:tcPr>
            <w:tcW w:w="1026"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35.54</w:t>
            </w:r>
          </w:p>
        </w:tc>
        <w:tc>
          <w:tcPr>
            <w:tcW w:w="43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年末结转和结余</w:t>
            </w: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60</w:t>
            </w:r>
          </w:p>
        </w:tc>
        <w:tc>
          <w:tcPr>
            <w:tcW w:w="1025"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szCs w:val="22"/>
              </w:rPr>
            </w:pP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w:t>
            </w:r>
          </w:p>
        </w:tc>
        <w:tc>
          <w:tcPr>
            <w:tcW w:w="1026"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noWrap w:val="0"/>
            <w:vAlign w:val="center"/>
          </w:tcPr>
          <w:p>
            <w:pPr>
              <w:jc w:val="left"/>
              <w:rPr>
                <w:rFonts w:hint="eastAsia" w:ascii="宋体" w:hAnsi="宋体" w:cs="宋体"/>
                <w:color w:val="000000"/>
                <w:sz w:val="22"/>
                <w:szCs w:val="22"/>
              </w:rPr>
            </w:pP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61</w:t>
            </w:r>
          </w:p>
        </w:tc>
        <w:tc>
          <w:tcPr>
            <w:tcW w:w="1025" w:type="dxa"/>
            <w:tcBorders>
              <w:top w:val="nil"/>
              <w:left w:val="nil"/>
              <w:bottom w:val="single" w:color="000000" w:sz="4" w:space="0"/>
              <w:right w:val="single" w:color="000000" w:sz="4" w:space="0"/>
            </w:tcBorders>
            <w:noWrap w:val="0"/>
            <w:vAlign w:val="center"/>
          </w:tcPr>
          <w:p>
            <w:pPr>
              <w:jc w:val="lef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总计</w:t>
            </w:r>
          </w:p>
        </w:tc>
        <w:tc>
          <w:tcPr>
            <w:tcW w:w="820" w:type="dxa"/>
            <w:tcBorders>
              <w:top w:val="nil"/>
              <w:left w:val="nil"/>
              <w:bottom w:val="single" w:color="000000" w:sz="8"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31</w:t>
            </w:r>
          </w:p>
        </w:tc>
        <w:tc>
          <w:tcPr>
            <w:tcW w:w="1026"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433.07</w:t>
            </w:r>
          </w:p>
        </w:tc>
        <w:tc>
          <w:tcPr>
            <w:tcW w:w="439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总计</w:t>
            </w:r>
          </w:p>
        </w:tc>
        <w:tc>
          <w:tcPr>
            <w:tcW w:w="8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62</w:t>
            </w:r>
          </w:p>
        </w:tc>
        <w:tc>
          <w:tcPr>
            <w:tcW w:w="1025"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433.07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50" w:type="dxa"/>
            <w:gridSpan w:val="6"/>
            <w:tcBorders>
              <w:top w:val="nil"/>
              <w:left w:val="nil"/>
              <w:bottom w:val="nil"/>
              <w:right w:val="nil"/>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注：本表反映</w:t>
            </w:r>
            <w:r>
              <w:rPr>
                <w:rFonts w:hint="eastAsia" w:ascii="宋体" w:hAnsi="宋体" w:cs="宋体"/>
                <w:color w:val="000000"/>
                <w:kern w:val="0"/>
                <w:sz w:val="22"/>
                <w:szCs w:val="22"/>
                <w:lang w:eastAsia="zh-CN"/>
              </w:rPr>
              <w:t>单位</w:t>
            </w:r>
            <w:r>
              <w:rPr>
                <w:rFonts w:hint="eastAsia" w:ascii="宋体" w:hAnsi="宋体" w:cs="宋体"/>
                <w:color w:val="000000"/>
                <w:kern w:val="0"/>
                <w:sz w:val="22"/>
                <w:szCs w:val="22"/>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3"/>
        <w:tblpPr w:leftFromText="180" w:rightFromText="180" w:vertAnchor="text" w:horzAnchor="page" w:tblpX="1497" w:tblpY="11"/>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9"/>
        <w:gridCol w:w="329"/>
        <w:gridCol w:w="329"/>
        <w:gridCol w:w="4896"/>
        <w:gridCol w:w="1243"/>
        <w:gridCol w:w="1270"/>
        <w:gridCol w:w="967"/>
        <w:gridCol w:w="1031"/>
        <w:gridCol w:w="1078"/>
        <w:gridCol w:w="1105"/>
        <w:gridCol w:w="1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587" w:type="dxa"/>
            <w:gridSpan w:val="11"/>
            <w:tcBorders>
              <w:top w:val="nil"/>
              <w:left w:val="nil"/>
              <w:bottom w:val="nil"/>
              <w:right w:val="nil"/>
            </w:tcBorders>
            <w:noWrap w:val="0"/>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9" w:type="dxa"/>
            <w:tcBorders>
              <w:top w:val="nil"/>
              <w:left w:val="nil"/>
              <w:bottom w:val="nil"/>
              <w:right w:val="nil"/>
            </w:tcBorders>
            <w:noWrap w:val="0"/>
            <w:vAlign w:val="bottom"/>
          </w:tcPr>
          <w:p>
            <w:pPr>
              <w:rPr>
                <w:rFonts w:hint="eastAsia" w:ascii="Arial" w:hAnsi="Arial" w:cs="Arial"/>
                <w:color w:val="000000"/>
                <w:sz w:val="18"/>
                <w:szCs w:val="18"/>
              </w:rPr>
            </w:pPr>
          </w:p>
        </w:tc>
        <w:tc>
          <w:tcPr>
            <w:tcW w:w="329" w:type="dxa"/>
            <w:tcBorders>
              <w:top w:val="nil"/>
              <w:left w:val="nil"/>
              <w:bottom w:val="nil"/>
              <w:right w:val="nil"/>
            </w:tcBorders>
            <w:noWrap w:val="0"/>
            <w:vAlign w:val="bottom"/>
          </w:tcPr>
          <w:p>
            <w:pPr>
              <w:rPr>
                <w:rFonts w:ascii="Arial" w:hAnsi="Arial" w:cs="Arial"/>
                <w:color w:val="000000"/>
                <w:sz w:val="18"/>
                <w:szCs w:val="18"/>
              </w:rPr>
            </w:pPr>
          </w:p>
        </w:tc>
        <w:tc>
          <w:tcPr>
            <w:tcW w:w="329" w:type="dxa"/>
            <w:tcBorders>
              <w:top w:val="nil"/>
              <w:left w:val="nil"/>
              <w:bottom w:val="nil"/>
              <w:right w:val="nil"/>
            </w:tcBorders>
            <w:noWrap w:val="0"/>
            <w:vAlign w:val="bottom"/>
          </w:tcPr>
          <w:p>
            <w:pPr>
              <w:rPr>
                <w:rFonts w:ascii="Arial" w:hAnsi="Arial" w:cs="Arial"/>
                <w:color w:val="000000"/>
                <w:sz w:val="18"/>
                <w:szCs w:val="18"/>
              </w:rPr>
            </w:pPr>
          </w:p>
        </w:tc>
        <w:tc>
          <w:tcPr>
            <w:tcW w:w="4896" w:type="dxa"/>
            <w:tcBorders>
              <w:top w:val="nil"/>
              <w:left w:val="nil"/>
              <w:bottom w:val="nil"/>
              <w:right w:val="nil"/>
            </w:tcBorders>
            <w:noWrap w:val="0"/>
            <w:vAlign w:val="bottom"/>
          </w:tcPr>
          <w:p>
            <w:pPr>
              <w:rPr>
                <w:rFonts w:ascii="Arial" w:hAnsi="Arial" w:cs="Arial"/>
                <w:color w:val="000000"/>
                <w:sz w:val="18"/>
                <w:szCs w:val="18"/>
              </w:rPr>
            </w:pPr>
          </w:p>
        </w:tc>
        <w:tc>
          <w:tcPr>
            <w:tcW w:w="1243" w:type="dxa"/>
            <w:tcBorders>
              <w:top w:val="nil"/>
              <w:left w:val="nil"/>
              <w:bottom w:val="nil"/>
              <w:right w:val="nil"/>
            </w:tcBorders>
            <w:noWrap w:val="0"/>
            <w:vAlign w:val="bottom"/>
          </w:tcPr>
          <w:p>
            <w:pPr>
              <w:rPr>
                <w:rFonts w:ascii="Arial" w:hAnsi="Arial" w:cs="Arial"/>
                <w:color w:val="000000"/>
                <w:sz w:val="18"/>
                <w:szCs w:val="18"/>
              </w:rPr>
            </w:pPr>
          </w:p>
        </w:tc>
        <w:tc>
          <w:tcPr>
            <w:tcW w:w="1270" w:type="dxa"/>
            <w:tcBorders>
              <w:top w:val="nil"/>
              <w:left w:val="nil"/>
              <w:bottom w:val="nil"/>
              <w:right w:val="nil"/>
            </w:tcBorders>
            <w:noWrap w:val="0"/>
            <w:vAlign w:val="bottom"/>
          </w:tcPr>
          <w:p>
            <w:pPr>
              <w:rPr>
                <w:rFonts w:ascii="Arial" w:hAnsi="Arial" w:cs="Arial"/>
                <w:color w:val="000000"/>
                <w:sz w:val="18"/>
                <w:szCs w:val="18"/>
              </w:rPr>
            </w:pPr>
          </w:p>
        </w:tc>
        <w:tc>
          <w:tcPr>
            <w:tcW w:w="967" w:type="dxa"/>
            <w:tcBorders>
              <w:top w:val="nil"/>
              <w:left w:val="nil"/>
              <w:bottom w:val="nil"/>
              <w:right w:val="nil"/>
            </w:tcBorders>
            <w:noWrap w:val="0"/>
            <w:vAlign w:val="bottom"/>
          </w:tcPr>
          <w:p>
            <w:pPr>
              <w:rPr>
                <w:rFonts w:ascii="Arial" w:hAnsi="Arial" w:cs="Arial"/>
                <w:color w:val="000000"/>
                <w:sz w:val="18"/>
                <w:szCs w:val="18"/>
              </w:rPr>
            </w:pPr>
          </w:p>
        </w:tc>
        <w:tc>
          <w:tcPr>
            <w:tcW w:w="1031" w:type="dxa"/>
            <w:tcBorders>
              <w:top w:val="nil"/>
              <w:left w:val="nil"/>
              <w:bottom w:val="nil"/>
              <w:right w:val="nil"/>
            </w:tcBorders>
            <w:noWrap w:val="0"/>
            <w:vAlign w:val="bottom"/>
          </w:tcPr>
          <w:p>
            <w:pPr>
              <w:rPr>
                <w:rFonts w:ascii="Arial" w:hAnsi="Arial" w:cs="Arial"/>
                <w:color w:val="000000"/>
                <w:sz w:val="18"/>
                <w:szCs w:val="18"/>
              </w:rPr>
            </w:pPr>
          </w:p>
        </w:tc>
        <w:tc>
          <w:tcPr>
            <w:tcW w:w="1078" w:type="dxa"/>
            <w:tcBorders>
              <w:top w:val="nil"/>
              <w:left w:val="nil"/>
              <w:bottom w:val="nil"/>
              <w:right w:val="nil"/>
            </w:tcBorders>
            <w:noWrap w:val="0"/>
            <w:vAlign w:val="bottom"/>
          </w:tcPr>
          <w:p>
            <w:pPr>
              <w:rPr>
                <w:rFonts w:ascii="Arial" w:hAnsi="Arial" w:cs="Arial"/>
                <w:color w:val="000000"/>
                <w:sz w:val="18"/>
                <w:szCs w:val="18"/>
              </w:rPr>
            </w:pPr>
          </w:p>
        </w:tc>
        <w:tc>
          <w:tcPr>
            <w:tcW w:w="2115" w:type="dxa"/>
            <w:gridSpan w:val="2"/>
            <w:tcBorders>
              <w:top w:val="nil"/>
              <w:left w:val="nil"/>
              <w:bottom w:val="nil"/>
              <w:right w:val="nil"/>
            </w:tcBorders>
            <w:noWrap w:val="0"/>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126" w:type="dxa"/>
            <w:gridSpan w:val="5"/>
            <w:tcBorders>
              <w:top w:val="nil"/>
              <w:left w:val="nil"/>
              <w:bottom w:val="nil"/>
              <w:right w:val="nil"/>
            </w:tcBorders>
            <w:noWrap w:val="0"/>
            <w:vAlign w:val="bottom"/>
          </w:tcPr>
          <w:p>
            <w:pPr>
              <w:widowControl/>
              <w:jc w:val="left"/>
              <w:textAlignment w:val="bottom"/>
              <w:rPr>
                <w:rFonts w:hint="eastAsia" w:ascii="宋体" w:hAnsi="宋体" w:cs="宋体"/>
                <w:color w:val="000000"/>
                <w:sz w:val="18"/>
                <w:szCs w:val="18"/>
              </w:rPr>
            </w:pPr>
            <w:r>
              <w:rPr>
                <w:rFonts w:hint="eastAsia" w:ascii="宋体" w:hAnsi="宋体" w:cs="宋体"/>
                <w:color w:val="000000"/>
                <w:kern w:val="0"/>
                <w:sz w:val="18"/>
                <w:szCs w:val="18"/>
                <w:lang w:eastAsia="zh-CN"/>
              </w:rPr>
              <w:t>单位</w:t>
            </w:r>
            <w:r>
              <w:rPr>
                <w:rFonts w:hint="eastAsia" w:ascii="宋体" w:hAnsi="宋体" w:cs="宋体"/>
                <w:color w:val="000000"/>
                <w:kern w:val="0"/>
                <w:sz w:val="18"/>
                <w:szCs w:val="18"/>
              </w:rPr>
              <w:t>：许昌市污水处理费征收中心</w:t>
            </w:r>
          </w:p>
        </w:tc>
        <w:tc>
          <w:tcPr>
            <w:tcW w:w="1270" w:type="dxa"/>
            <w:tcBorders>
              <w:top w:val="nil"/>
              <w:left w:val="nil"/>
              <w:bottom w:val="nil"/>
              <w:right w:val="nil"/>
            </w:tcBorders>
            <w:noWrap w:val="0"/>
            <w:vAlign w:val="bottom"/>
          </w:tcPr>
          <w:p>
            <w:pPr>
              <w:rPr>
                <w:rFonts w:ascii="Arial" w:hAnsi="Arial" w:cs="Arial"/>
                <w:color w:val="000000"/>
                <w:sz w:val="18"/>
                <w:szCs w:val="18"/>
              </w:rPr>
            </w:pPr>
          </w:p>
        </w:tc>
        <w:tc>
          <w:tcPr>
            <w:tcW w:w="967" w:type="dxa"/>
            <w:tcBorders>
              <w:top w:val="nil"/>
              <w:left w:val="nil"/>
              <w:bottom w:val="nil"/>
              <w:right w:val="nil"/>
            </w:tcBorders>
            <w:noWrap w:val="0"/>
            <w:vAlign w:val="bottom"/>
          </w:tcPr>
          <w:p>
            <w:pPr>
              <w:rPr>
                <w:rFonts w:ascii="Arial" w:hAnsi="Arial" w:cs="Arial"/>
                <w:color w:val="000000"/>
                <w:sz w:val="18"/>
                <w:szCs w:val="18"/>
              </w:rPr>
            </w:pPr>
          </w:p>
        </w:tc>
        <w:tc>
          <w:tcPr>
            <w:tcW w:w="1031" w:type="dxa"/>
            <w:tcBorders>
              <w:top w:val="nil"/>
              <w:left w:val="nil"/>
              <w:bottom w:val="nil"/>
              <w:right w:val="nil"/>
            </w:tcBorders>
            <w:noWrap w:val="0"/>
            <w:vAlign w:val="bottom"/>
          </w:tcPr>
          <w:p>
            <w:pPr>
              <w:rPr>
                <w:rFonts w:ascii="Arial" w:hAnsi="Arial" w:cs="Arial"/>
                <w:color w:val="000000"/>
                <w:sz w:val="18"/>
                <w:szCs w:val="18"/>
              </w:rPr>
            </w:pPr>
          </w:p>
        </w:tc>
        <w:tc>
          <w:tcPr>
            <w:tcW w:w="1078" w:type="dxa"/>
            <w:tcBorders>
              <w:top w:val="nil"/>
              <w:left w:val="nil"/>
              <w:bottom w:val="nil"/>
              <w:right w:val="nil"/>
            </w:tcBorders>
            <w:noWrap w:val="0"/>
            <w:vAlign w:val="bottom"/>
          </w:tcPr>
          <w:p>
            <w:pPr>
              <w:rPr>
                <w:rFonts w:ascii="Arial" w:hAnsi="Arial" w:cs="Arial"/>
                <w:color w:val="000000"/>
                <w:sz w:val="18"/>
                <w:szCs w:val="18"/>
              </w:rPr>
            </w:pPr>
          </w:p>
        </w:tc>
        <w:tc>
          <w:tcPr>
            <w:tcW w:w="2115" w:type="dxa"/>
            <w:gridSpan w:val="2"/>
            <w:tcBorders>
              <w:top w:val="nil"/>
              <w:left w:val="nil"/>
              <w:bottom w:val="nil"/>
              <w:right w:val="nil"/>
            </w:tcBorders>
            <w:noWrap w:val="0"/>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8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项目</w:t>
            </w:r>
          </w:p>
        </w:tc>
        <w:tc>
          <w:tcPr>
            <w:tcW w:w="1243"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本年收入合计</w:t>
            </w:r>
          </w:p>
        </w:tc>
        <w:tc>
          <w:tcPr>
            <w:tcW w:w="1270"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财政拨款收入</w:t>
            </w:r>
          </w:p>
        </w:tc>
        <w:tc>
          <w:tcPr>
            <w:tcW w:w="967"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上级补助收入</w:t>
            </w:r>
          </w:p>
        </w:tc>
        <w:tc>
          <w:tcPr>
            <w:tcW w:w="1031"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事业收入</w:t>
            </w:r>
          </w:p>
        </w:tc>
        <w:tc>
          <w:tcPr>
            <w:tcW w:w="1078"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经营收入</w:t>
            </w:r>
          </w:p>
        </w:tc>
        <w:tc>
          <w:tcPr>
            <w:tcW w:w="1105"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附属单位上缴收入</w:t>
            </w:r>
          </w:p>
        </w:tc>
        <w:tc>
          <w:tcPr>
            <w:tcW w:w="1010"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87" w:type="dxa"/>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功能分类科目编码</w:t>
            </w:r>
          </w:p>
        </w:tc>
        <w:tc>
          <w:tcPr>
            <w:tcW w:w="4896"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科目名称</w:t>
            </w:r>
          </w:p>
        </w:tc>
        <w:tc>
          <w:tcPr>
            <w:tcW w:w="124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2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96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03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07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1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0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489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24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2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96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03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07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1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0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489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24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2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96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03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07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1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0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83" w:type="dxa"/>
            <w:gridSpan w:val="4"/>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栏次</w:t>
            </w:r>
          </w:p>
        </w:tc>
        <w:tc>
          <w:tcPr>
            <w:tcW w:w="1243"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w:t>
            </w:r>
          </w:p>
        </w:tc>
        <w:tc>
          <w:tcPr>
            <w:tcW w:w="127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2</w:t>
            </w:r>
          </w:p>
        </w:tc>
        <w:tc>
          <w:tcPr>
            <w:tcW w:w="96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3</w:t>
            </w:r>
          </w:p>
        </w:tc>
        <w:tc>
          <w:tcPr>
            <w:tcW w:w="1031"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4</w:t>
            </w:r>
          </w:p>
        </w:tc>
        <w:tc>
          <w:tcPr>
            <w:tcW w:w="107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5</w:t>
            </w:r>
          </w:p>
        </w:tc>
        <w:tc>
          <w:tcPr>
            <w:tcW w:w="1105"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6</w:t>
            </w:r>
          </w:p>
        </w:tc>
        <w:tc>
          <w:tcPr>
            <w:tcW w:w="101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83" w:type="dxa"/>
            <w:gridSpan w:val="4"/>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合计</w:t>
            </w:r>
          </w:p>
        </w:tc>
        <w:tc>
          <w:tcPr>
            <w:tcW w:w="124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rPr>
              <w:t>397.53</w:t>
            </w:r>
          </w:p>
        </w:tc>
        <w:tc>
          <w:tcPr>
            <w:tcW w:w="127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rPr>
              <w:t>397.53</w:t>
            </w:r>
          </w:p>
        </w:tc>
        <w:tc>
          <w:tcPr>
            <w:tcW w:w="967" w:type="dxa"/>
            <w:tcBorders>
              <w:top w:val="nil"/>
              <w:left w:val="nil"/>
              <w:bottom w:val="single" w:color="000000" w:sz="4" w:space="0"/>
              <w:right w:val="single" w:color="000000" w:sz="4" w:space="0"/>
            </w:tcBorders>
            <w:noWrap w:val="0"/>
            <w:vAlign w:val="center"/>
          </w:tcPr>
          <w:p>
            <w:pPr>
              <w:jc w:val="right"/>
              <w:rPr>
                <w:rFonts w:hint="eastAsia" w:ascii="宋体" w:hAnsi="宋体" w:cs="宋体"/>
                <w:b/>
                <w:bCs/>
                <w:color w:val="000000"/>
                <w:sz w:val="22"/>
              </w:rPr>
            </w:pPr>
          </w:p>
        </w:tc>
        <w:tc>
          <w:tcPr>
            <w:tcW w:w="1031" w:type="dxa"/>
            <w:tcBorders>
              <w:top w:val="nil"/>
              <w:left w:val="nil"/>
              <w:bottom w:val="single" w:color="000000" w:sz="4" w:space="0"/>
              <w:right w:val="single" w:color="000000" w:sz="4" w:space="0"/>
            </w:tcBorders>
            <w:noWrap w:val="0"/>
            <w:vAlign w:val="center"/>
          </w:tcPr>
          <w:p>
            <w:pPr>
              <w:jc w:val="right"/>
              <w:rPr>
                <w:rFonts w:hint="eastAsia" w:ascii="宋体" w:hAnsi="宋体" w:cs="宋体"/>
                <w:b/>
                <w:bCs/>
                <w:color w:val="000000"/>
                <w:sz w:val="22"/>
              </w:rPr>
            </w:pPr>
          </w:p>
        </w:tc>
        <w:tc>
          <w:tcPr>
            <w:tcW w:w="1078" w:type="dxa"/>
            <w:tcBorders>
              <w:top w:val="nil"/>
              <w:left w:val="nil"/>
              <w:bottom w:val="single" w:color="000000" w:sz="4" w:space="0"/>
              <w:right w:val="single" w:color="000000" w:sz="4" w:space="0"/>
            </w:tcBorders>
            <w:noWrap w:val="0"/>
            <w:vAlign w:val="center"/>
          </w:tcPr>
          <w:p>
            <w:pPr>
              <w:jc w:val="right"/>
              <w:rPr>
                <w:rFonts w:hint="eastAsia" w:ascii="宋体" w:hAnsi="宋体" w:cs="宋体"/>
                <w:b/>
                <w:bCs/>
                <w:color w:val="000000"/>
                <w:sz w:val="22"/>
              </w:rPr>
            </w:pPr>
          </w:p>
        </w:tc>
        <w:tc>
          <w:tcPr>
            <w:tcW w:w="1105" w:type="dxa"/>
            <w:tcBorders>
              <w:top w:val="nil"/>
              <w:left w:val="nil"/>
              <w:bottom w:val="single" w:color="000000" w:sz="4" w:space="0"/>
              <w:right w:val="single" w:color="000000" w:sz="4" w:space="0"/>
            </w:tcBorders>
            <w:noWrap w:val="0"/>
            <w:vAlign w:val="center"/>
          </w:tcPr>
          <w:p>
            <w:pPr>
              <w:jc w:val="right"/>
              <w:rPr>
                <w:rFonts w:hint="eastAsia" w:ascii="宋体" w:hAnsi="宋体" w:cs="宋体"/>
                <w:b/>
                <w:bCs/>
                <w:color w:val="000000"/>
                <w:sz w:val="22"/>
              </w:rPr>
            </w:pPr>
          </w:p>
        </w:tc>
        <w:tc>
          <w:tcPr>
            <w:tcW w:w="1010" w:type="dxa"/>
            <w:tcBorders>
              <w:top w:val="nil"/>
              <w:left w:val="nil"/>
              <w:bottom w:val="single" w:color="000000" w:sz="4" w:space="0"/>
              <w:right w:val="single" w:color="000000" w:sz="4" w:space="0"/>
            </w:tcBorders>
            <w:noWrap w:val="0"/>
            <w:vAlign w:val="center"/>
          </w:tcPr>
          <w:p>
            <w:pPr>
              <w:jc w:val="right"/>
              <w:rPr>
                <w:rFonts w:hint="eastAsia" w:ascii="宋体" w:hAnsi="宋体" w:cs="宋体"/>
                <w:b/>
                <w:bCs/>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201</w:t>
            </w:r>
          </w:p>
        </w:tc>
        <w:tc>
          <w:tcPr>
            <w:tcW w:w="489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一般公共服务支出</w:t>
            </w:r>
          </w:p>
        </w:tc>
        <w:tc>
          <w:tcPr>
            <w:tcW w:w="124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2.12</w:t>
            </w:r>
          </w:p>
        </w:tc>
        <w:tc>
          <w:tcPr>
            <w:tcW w:w="127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2.12</w:t>
            </w:r>
          </w:p>
        </w:tc>
        <w:tc>
          <w:tcPr>
            <w:tcW w:w="967"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31"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7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105"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10"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20129</w:t>
            </w:r>
          </w:p>
        </w:tc>
        <w:tc>
          <w:tcPr>
            <w:tcW w:w="489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群众团体事务</w:t>
            </w:r>
          </w:p>
        </w:tc>
        <w:tc>
          <w:tcPr>
            <w:tcW w:w="124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2.12</w:t>
            </w:r>
          </w:p>
        </w:tc>
        <w:tc>
          <w:tcPr>
            <w:tcW w:w="127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2.12</w:t>
            </w:r>
          </w:p>
        </w:tc>
        <w:tc>
          <w:tcPr>
            <w:tcW w:w="967"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31"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7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105"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10"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2012906</w:t>
            </w:r>
          </w:p>
        </w:tc>
        <w:tc>
          <w:tcPr>
            <w:tcW w:w="489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工会事务</w:t>
            </w:r>
          </w:p>
        </w:tc>
        <w:tc>
          <w:tcPr>
            <w:tcW w:w="124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2.12</w:t>
            </w:r>
          </w:p>
        </w:tc>
        <w:tc>
          <w:tcPr>
            <w:tcW w:w="127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2.12</w:t>
            </w:r>
          </w:p>
        </w:tc>
        <w:tc>
          <w:tcPr>
            <w:tcW w:w="967"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31"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7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105"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10"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208</w:t>
            </w:r>
          </w:p>
        </w:tc>
        <w:tc>
          <w:tcPr>
            <w:tcW w:w="489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社会保障和就业支出</w:t>
            </w:r>
          </w:p>
        </w:tc>
        <w:tc>
          <w:tcPr>
            <w:tcW w:w="124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26.27</w:t>
            </w:r>
          </w:p>
        </w:tc>
        <w:tc>
          <w:tcPr>
            <w:tcW w:w="127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26.27</w:t>
            </w:r>
          </w:p>
        </w:tc>
        <w:tc>
          <w:tcPr>
            <w:tcW w:w="967"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31"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7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105"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10"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20805</w:t>
            </w:r>
          </w:p>
        </w:tc>
        <w:tc>
          <w:tcPr>
            <w:tcW w:w="489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行政事业单位养老支出</w:t>
            </w:r>
          </w:p>
        </w:tc>
        <w:tc>
          <w:tcPr>
            <w:tcW w:w="124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26.27</w:t>
            </w:r>
          </w:p>
        </w:tc>
        <w:tc>
          <w:tcPr>
            <w:tcW w:w="127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26.27</w:t>
            </w:r>
          </w:p>
        </w:tc>
        <w:tc>
          <w:tcPr>
            <w:tcW w:w="967"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31"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7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105"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10"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2080502</w:t>
            </w:r>
          </w:p>
        </w:tc>
        <w:tc>
          <w:tcPr>
            <w:tcW w:w="489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事业单位离退休</w:t>
            </w:r>
          </w:p>
        </w:tc>
        <w:tc>
          <w:tcPr>
            <w:tcW w:w="124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2.13</w:t>
            </w:r>
          </w:p>
        </w:tc>
        <w:tc>
          <w:tcPr>
            <w:tcW w:w="127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2.13</w:t>
            </w:r>
          </w:p>
        </w:tc>
        <w:tc>
          <w:tcPr>
            <w:tcW w:w="967"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31"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7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105"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10"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2080505</w:t>
            </w:r>
          </w:p>
        </w:tc>
        <w:tc>
          <w:tcPr>
            <w:tcW w:w="489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机关事业单位基本养老保险缴费支出</w:t>
            </w:r>
          </w:p>
        </w:tc>
        <w:tc>
          <w:tcPr>
            <w:tcW w:w="124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24.14</w:t>
            </w:r>
          </w:p>
        </w:tc>
        <w:tc>
          <w:tcPr>
            <w:tcW w:w="127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24.14</w:t>
            </w:r>
          </w:p>
        </w:tc>
        <w:tc>
          <w:tcPr>
            <w:tcW w:w="967"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31"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7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105"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10"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210</w:t>
            </w:r>
          </w:p>
        </w:tc>
        <w:tc>
          <w:tcPr>
            <w:tcW w:w="489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卫生健康支出</w:t>
            </w:r>
          </w:p>
        </w:tc>
        <w:tc>
          <w:tcPr>
            <w:tcW w:w="124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12.13</w:t>
            </w:r>
          </w:p>
        </w:tc>
        <w:tc>
          <w:tcPr>
            <w:tcW w:w="127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12.13</w:t>
            </w:r>
          </w:p>
        </w:tc>
        <w:tc>
          <w:tcPr>
            <w:tcW w:w="967"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31"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7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105"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10"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21011</w:t>
            </w:r>
          </w:p>
        </w:tc>
        <w:tc>
          <w:tcPr>
            <w:tcW w:w="489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行政事业单位医疗</w:t>
            </w:r>
          </w:p>
        </w:tc>
        <w:tc>
          <w:tcPr>
            <w:tcW w:w="124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12.13</w:t>
            </w:r>
          </w:p>
        </w:tc>
        <w:tc>
          <w:tcPr>
            <w:tcW w:w="127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12.13</w:t>
            </w:r>
          </w:p>
        </w:tc>
        <w:tc>
          <w:tcPr>
            <w:tcW w:w="967"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31"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7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105"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10"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2101102</w:t>
            </w:r>
          </w:p>
        </w:tc>
        <w:tc>
          <w:tcPr>
            <w:tcW w:w="489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事业单位医疗</w:t>
            </w:r>
          </w:p>
        </w:tc>
        <w:tc>
          <w:tcPr>
            <w:tcW w:w="124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12.13</w:t>
            </w:r>
          </w:p>
        </w:tc>
        <w:tc>
          <w:tcPr>
            <w:tcW w:w="127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12.13</w:t>
            </w:r>
          </w:p>
        </w:tc>
        <w:tc>
          <w:tcPr>
            <w:tcW w:w="967"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31"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7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105"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10"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213</w:t>
            </w:r>
          </w:p>
        </w:tc>
        <w:tc>
          <w:tcPr>
            <w:tcW w:w="489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农林水支出</w:t>
            </w:r>
          </w:p>
        </w:tc>
        <w:tc>
          <w:tcPr>
            <w:tcW w:w="124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357.01</w:t>
            </w:r>
          </w:p>
        </w:tc>
        <w:tc>
          <w:tcPr>
            <w:tcW w:w="127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357.01</w:t>
            </w:r>
          </w:p>
        </w:tc>
        <w:tc>
          <w:tcPr>
            <w:tcW w:w="967"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31"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7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105"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10"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21303</w:t>
            </w:r>
          </w:p>
        </w:tc>
        <w:tc>
          <w:tcPr>
            <w:tcW w:w="489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水利</w:t>
            </w:r>
          </w:p>
        </w:tc>
        <w:tc>
          <w:tcPr>
            <w:tcW w:w="124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357.01</w:t>
            </w:r>
          </w:p>
        </w:tc>
        <w:tc>
          <w:tcPr>
            <w:tcW w:w="127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357.01</w:t>
            </w:r>
          </w:p>
        </w:tc>
        <w:tc>
          <w:tcPr>
            <w:tcW w:w="967"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31"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7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105"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10"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2130304</w:t>
            </w:r>
          </w:p>
        </w:tc>
        <w:tc>
          <w:tcPr>
            <w:tcW w:w="489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水利行业业务管理</w:t>
            </w:r>
          </w:p>
        </w:tc>
        <w:tc>
          <w:tcPr>
            <w:tcW w:w="124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357.01</w:t>
            </w:r>
          </w:p>
        </w:tc>
        <w:tc>
          <w:tcPr>
            <w:tcW w:w="127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357.01</w:t>
            </w:r>
          </w:p>
        </w:tc>
        <w:tc>
          <w:tcPr>
            <w:tcW w:w="967"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31"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7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105"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10"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4896" w:type="dxa"/>
            <w:tcBorders>
              <w:top w:val="nil"/>
              <w:left w:val="nil"/>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124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270"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7"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31"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7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105"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10"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87" w:type="dxa"/>
            <w:gridSpan w:val="11"/>
            <w:tcBorders>
              <w:top w:val="nil"/>
              <w:left w:val="nil"/>
              <w:bottom w:val="nil"/>
              <w:right w:val="nil"/>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注：本表反映</w:t>
            </w:r>
            <w:r>
              <w:rPr>
                <w:rFonts w:hint="eastAsia" w:ascii="宋体" w:hAnsi="宋体" w:cs="宋体"/>
                <w:color w:val="000000"/>
                <w:kern w:val="0"/>
                <w:sz w:val="22"/>
                <w:lang w:eastAsia="zh-CN"/>
              </w:rPr>
              <w:t>单位</w:t>
            </w:r>
            <w:r>
              <w:rPr>
                <w:rFonts w:hint="eastAsia" w:ascii="宋体" w:hAnsi="宋体" w:cs="宋体"/>
                <w:color w:val="000000"/>
                <w:kern w:val="0"/>
                <w:sz w:val="22"/>
              </w:rPr>
              <w:t>本年度取得的各项收入情况。本表金额转换为万元时，因四舍五入可能存在尾差。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87" w:type="dxa"/>
            <w:gridSpan w:val="11"/>
            <w:tcBorders>
              <w:top w:val="nil"/>
              <w:left w:val="nil"/>
              <w:bottom w:val="nil"/>
              <w:right w:val="nil"/>
            </w:tcBorders>
            <w:noWrap w:val="0"/>
            <w:vAlign w:val="center"/>
          </w:tcPr>
          <w:p>
            <w:pPr>
              <w:widowControl/>
              <w:jc w:val="left"/>
              <w:textAlignment w:val="center"/>
              <w:rPr>
                <w:rFonts w:hint="eastAsia" w:ascii="宋体" w:hAnsi="宋体" w:cs="宋体"/>
                <w:color w:val="000000"/>
                <w:kern w:val="0"/>
                <w:sz w:val="22"/>
              </w:rPr>
            </w:pPr>
          </w:p>
        </w:tc>
      </w:tr>
    </w:tbl>
    <w:p>
      <w:pPr>
        <w:rPr>
          <w:vanish/>
        </w:rPr>
      </w:pPr>
    </w:p>
    <w:tbl>
      <w:tblPr>
        <w:tblStyle w:val="3"/>
        <w:tblpPr w:leftFromText="180" w:rightFromText="180" w:vertAnchor="text" w:horzAnchor="page" w:tblpX="1778" w:tblpY="35"/>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5"/>
        <w:gridCol w:w="313"/>
        <w:gridCol w:w="329"/>
        <w:gridCol w:w="4902"/>
        <w:gridCol w:w="1457"/>
        <w:gridCol w:w="1364"/>
        <w:gridCol w:w="1144"/>
        <w:gridCol w:w="1172"/>
        <w:gridCol w:w="1088"/>
        <w:gridCol w:w="11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287" w:type="dxa"/>
            <w:gridSpan w:val="10"/>
            <w:tcBorders>
              <w:top w:val="nil"/>
              <w:left w:val="nil"/>
              <w:bottom w:val="nil"/>
              <w:right w:val="nil"/>
            </w:tcBorders>
            <w:noWrap w:val="0"/>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45" w:type="dxa"/>
            <w:tcBorders>
              <w:top w:val="nil"/>
              <w:left w:val="nil"/>
              <w:bottom w:val="nil"/>
              <w:right w:val="nil"/>
            </w:tcBorders>
            <w:noWrap w:val="0"/>
            <w:vAlign w:val="bottom"/>
          </w:tcPr>
          <w:p>
            <w:pPr>
              <w:rPr>
                <w:rFonts w:hint="eastAsia" w:ascii="Arial" w:hAnsi="Arial" w:cs="Arial"/>
                <w:color w:val="000000"/>
                <w:sz w:val="18"/>
                <w:szCs w:val="18"/>
              </w:rPr>
            </w:pPr>
          </w:p>
        </w:tc>
        <w:tc>
          <w:tcPr>
            <w:tcW w:w="313" w:type="dxa"/>
            <w:tcBorders>
              <w:top w:val="nil"/>
              <w:left w:val="nil"/>
              <w:bottom w:val="nil"/>
              <w:right w:val="nil"/>
            </w:tcBorders>
            <w:noWrap w:val="0"/>
            <w:vAlign w:val="bottom"/>
          </w:tcPr>
          <w:p>
            <w:pPr>
              <w:rPr>
                <w:rFonts w:ascii="Arial" w:hAnsi="Arial" w:cs="Arial"/>
                <w:color w:val="000000"/>
                <w:sz w:val="18"/>
                <w:szCs w:val="18"/>
              </w:rPr>
            </w:pPr>
          </w:p>
        </w:tc>
        <w:tc>
          <w:tcPr>
            <w:tcW w:w="329" w:type="dxa"/>
            <w:tcBorders>
              <w:top w:val="nil"/>
              <w:left w:val="nil"/>
              <w:bottom w:val="nil"/>
              <w:right w:val="nil"/>
            </w:tcBorders>
            <w:noWrap w:val="0"/>
            <w:vAlign w:val="bottom"/>
          </w:tcPr>
          <w:p>
            <w:pPr>
              <w:rPr>
                <w:rFonts w:ascii="Arial" w:hAnsi="Arial" w:cs="Arial"/>
                <w:color w:val="000000"/>
                <w:sz w:val="18"/>
                <w:szCs w:val="18"/>
              </w:rPr>
            </w:pPr>
          </w:p>
        </w:tc>
        <w:tc>
          <w:tcPr>
            <w:tcW w:w="4902" w:type="dxa"/>
            <w:tcBorders>
              <w:top w:val="nil"/>
              <w:left w:val="nil"/>
              <w:bottom w:val="nil"/>
              <w:right w:val="nil"/>
            </w:tcBorders>
            <w:noWrap w:val="0"/>
            <w:vAlign w:val="bottom"/>
          </w:tcPr>
          <w:p>
            <w:pPr>
              <w:rPr>
                <w:rFonts w:ascii="Arial" w:hAnsi="Arial" w:cs="Arial"/>
                <w:color w:val="000000"/>
                <w:sz w:val="18"/>
                <w:szCs w:val="18"/>
              </w:rPr>
            </w:pPr>
          </w:p>
        </w:tc>
        <w:tc>
          <w:tcPr>
            <w:tcW w:w="1457" w:type="dxa"/>
            <w:tcBorders>
              <w:top w:val="nil"/>
              <w:left w:val="nil"/>
              <w:bottom w:val="nil"/>
              <w:right w:val="nil"/>
            </w:tcBorders>
            <w:noWrap w:val="0"/>
            <w:vAlign w:val="bottom"/>
          </w:tcPr>
          <w:p>
            <w:pPr>
              <w:rPr>
                <w:rFonts w:ascii="Arial" w:hAnsi="Arial" w:cs="Arial"/>
                <w:color w:val="000000"/>
                <w:sz w:val="18"/>
                <w:szCs w:val="18"/>
              </w:rPr>
            </w:pPr>
          </w:p>
        </w:tc>
        <w:tc>
          <w:tcPr>
            <w:tcW w:w="1364" w:type="dxa"/>
            <w:tcBorders>
              <w:top w:val="nil"/>
              <w:left w:val="nil"/>
              <w:bottom w:val="nil"/>
              <w:right w:val="nil"/>
            </w:tcBorders>
            <w:noWrap w:val="0"/>
            <w:vAlign w:val="bottom"/>
          </w:tcPr>
          <w:p>
            <w:pPr>
              <w:rPr>
                <w:rFonts w:ascii="Arial" w:hAnsi="Arial" w:cs="Arial"/>
                <w:color w:val="000000"/>
                <w:sz w:val="18"/>
                <w:szCs w:val="18"/>
              </w:rPr>
            </w:pPr>
          </w:p>
        </w:tc>
        <w:tc>
          <w:tcPr>
            <w:tcW w:w="1144" w:type="dxa"/>
            <w:tcBorders>
              <w:top w:val="nil"/>
              <w:left w:val="nil"/>
              <w:bottom w:val="nil"/>
              <w:right w:val="nil"/>
            </w:tcBorders>
            <w:noWrap w:val="0"/>
            <w:vAlign w:val="bottom"/>
          </w:tcPr>
          <w:p>
            <w:pPr>
              <w:rPr>
                <w:rFonts w:ascii="Arial" w:hAnsi="Arial" w:cs="Arial"/>
                <w:color w:val="000000"/>
                <w:sz w:val="18"/>
                <w:szCs w:val="18"/>
              </w:rPr>
            </w:pPr>
          </w:p>
        </w:tc>
        <w:tc>
          <w:tcPr>
            <w:tcW w:w="1172" w:type="dxa"/>
            <w:tcBorders>
              <w:top w:val="nil"/>
              <w:left w:val="nil"/>
              <w:bottom w:val="nil"/>
              <w:right w:val="nil"/>
            </w:tcBorders>
            <w:noWrap w:val="0"/>
            <w:vAlign w:val="bottom"/>
          </w:tcPr>
          <w:p>
            <w:pPr>
              <w:rPr>
                <w:rFonts w:ascii="Arial" w:hAnsi="Arial" w:cs="Arial"/>
                <w:color w:val="000000"/>
                <w:sz w:val="18"/>
                <w:szCs w:val="18"/>
              </w:rPr>
            </w:pPr>
          </w:p>
        </w:tc>
        <w:tc>
          <w:tcPr>
            <w:tcW w:w="2261" w:type="dxa"/>
            <w:gridSpan w:val="2"/>
            <w:tcBorders>
              <w:top w:val="nil"/>
              <w:left w:val="nil"/>
              <w:bottom w:val="nil"/>
              <w:right w:val="nil"/>
            </w:tcBorders>
            <w:noWrap w:val="0"/>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46" w:type="dxa"/>
            <w:gridSpan w:val="5"/>
            <w:tcBorders>
              <w:top w:val="nil"/>
              <w:left w:val="nil"/>
              <w:bottom w:val="nil"/>
              <w:right w:val="nil"/>
            </w:tcBorders>
            <w:noWrap w:val="0"/>
            <w:vAlign w:val="bottom"/>
          </w:tcPr>
          <w:p>
            <w:pPr>
              <w:widowControl/>
              <w:jc w:val="left"/>
              <w:textAlignment w:val="bottom"/>
              <w:rPr>
                <w:rFonts w:hint="eastAsia" w:ascii="宋体" w:hAnsi="宋体" w:cs="宋体"/>
                <w:color w:val="000000"/>
                <w:sz w:val="18"/>
                <w:szCs w:val="18"/>
              </w:rPr>
            </w:pPr>
            <w:r>
              <w:rPr>
                <w:rFonts w:hint="eastAsia" w:ascii="宋体" w:hAnsi="宋体" w:cs="宋体"/>
                <w:color w:val="000000"/>
                <w:kern w:val="0"/>
                <w:sz w:val="18"/>
                <w:szCs w:val="18"/>
                <w:lang w:eastAsia="zh-CN"/>
              </w:rPr>
              <w:t>单位</w:t>
            </w:r>
            <w:r>
              <w:rPr>
                <w:rFonts w:hint="eastAsia" w:ascii="宋体" w:hAnsi="宋体" w:cs="宋体"/>
                <w:color w:val="000000"/>
                <w:kern w:val="0"/>
                <w:sz w:val="18"/>
                <w:szCs w:val="18"/>
              </w:rPr>
              <w:t>：许昌市污水处理费征收中心</w:t>
            </w:r>
          </w:p>
        </w:tc>
        <w:tc>
          <w:tcPr>
            <w:tcW w:w="1364" w:type="dxa"/>
            <w:tcBorders>
              <w:top w:val="nil"/>
              <w:left w:val="nil"/>
              <w:bottom w:val="nil"/>
              <w:right w:val="nil"/>
            </w:tcBorders>
            <w:noWrap w:val="0"/>
            <w:vAlign w:val="bottom"/>
          </w:tcPr>
          <w:p>
            <w:pPr>
              <w:rPr>
                <w:rFonts w:ascii="Arial" w:hAnsi="Arial" w:cs="Arial"/>
                <w:color w:val="000000"/>
                <w:sz w:val="18"/>
                <w:szCs w:val="18"/>
              </w:rPr>
            </w:pPr>
          </w:p>
        </w:tc>
        <w:tc>
          <w:tcPr>
            <w:tcW w:w="1144" w:type="dxa"/>
            <w:tcBorders>
              <w:top w:val="nil"/>
              <w:left w:val="nil"/>
              <w:bottom w:val="nil"/>
              <w:right w:val="nil"/>
            </w:tcBorders>
            <w:noWrap w:val="0"/>
            <w:vAlign w:val="bottom"/>
          </w:tcPr>
          <w:p>
            <w:pPr>
              <w:rPr>
                <w:rFonts w:ascii="Arial" w:hAnsi="Arial" w:cs="Arial"/>
                <w:color w:val="000000"/>
                <w:sz w:val="18"/>
                <w:szCs w:val="18"/>
              </w:rPr>
            </w:pPr>
          </w:p>
        </w:tc>
        <w:tc>
          <w:tcPr>
            <w:tcW w:w="1172" w:type="dxa"/>
            <w:tcBorders>
              <w:top w:val="nil"/>
              <w:left w:val="nil"/>
              <w:bottom w:val="nil"/>
              <w:right w:val="nil"/>
            </w:tcBorders>
            <w:noWrap w:val="0"/>
            <w:vAlign w:val="bottom"/>
          </w:tcPr>
          <w:p>
            <w:pPr>
              <w:rPr>
                <w:rFonts w:ascii="Arial" w:hAnsi="Arial" w:cs="Arial"/>
                <w:color w:val="000000"/>
                <w:sz w:val="18"/>
                <w:szCs w:val="18"/>
              </w:rPr>
            </w:pPr>
          </w:p>
        </w:tc>
        <w:tc>
          <w:tcPr>
            <w:tcW w:w="2261" w:type="dxa"/>
            <w:gridSpan w:val="2"/>
            <w:tcBorders>
              <w:top w:val="nil"/>
              <w:left w:val="nil"/>
              <w:bottom w:val="nil"/>
              <w:right w:val="nil"/>
            </w:tcBorders>
            <w:noWrap w:val="0"/>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89"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项目</w:t>
            </w:r>
          </w:p>
        </w:tc>
        <w:tc>
          <w:tcPr>
            <w:tcW w:w="1457"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本年支出合计</w:t>
            </w:r>
          </w:p>
        </w:tc>
        <w:tc>
          <w:tcPr>
            <w:tcW w:w="1364"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基本支出</w:t>
            </w:r>
          </w:p>
        </w:tc>
        <w:tc>
          <w:tcPr>
            <w:tcW w:w="1144"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项目支出</w:t>
            </w:r>
          </w:p>
        </w:tc>
        <w:tc>
          <w:tcPr>
            <w:tcW w:w="1172"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上缴上级支出</w:t>
            </w:r>
          </w:p>
        </w:tc>
        <w:tc>
          <w:tcPr>
            <w:tcW w:w="1088"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经营支出</w:t>
            </w:r>
          </w:p>
        </w:tc>
        <w:tc>
          <w:tcPr>
            <w:tcW w:w="1173"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87" w:type="dxa"/>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功能分类科目编码</w:t>
            </w:r>
          </w:p>
        </w:tc>
        <w:tc>
          <w:tcPr>
            <w:tcW w:w="4902"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科目名称</w:t>
            </w:r>
          </w:p>
        </w:tc>
        <w:tc>
          <w:tcPr>
            <w:tcW w:w="14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36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14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17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08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17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490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4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36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14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17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08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17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490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4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36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14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17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08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17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89" w:type="dxa"/>
            <w:gridSpan w:val="4"/>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栏次</w:t>
            </w:r>
          </w:p>
        </w:tc>
        <w:tc>
          <w:tcPr>
            <w:tcW w:w="145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w:t>
            </w:r>
          </w:p>
        </w:tc>
        <w:tc>
          <w:tcPr>
            <w:tcW w:w="136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2</w:t>
            </w:r>
          </w:p>
        </w:tc>
        <w:tc>
          <w:tcPr>
            <w:tcW w:w="114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3</w:t>
            </w:r>
          </w:p>
        </w:tc>
        <w:tc>
          <w:tcPr>
            <w:tcW w:w="117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4</w:t>
            </w:r>
          </w:p>
        </w:tc>
        <w:tc>
          <w:tcPr>
            <w:tcW w:w="108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5</w:t>
            </w:r>
          </w:p>
        </w:tc>
        <w:tc>
          <w:tcPr>
            <w:tcW w:w="1173"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89" w:type="dxa"/>
            <w:gridSpan w:val="4"/>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合计</w:t>
            </w:r>
          </w:p>
        </w:tc>
        <w:tc>
          <w:tcPr>
            <w:tcW w:w="145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rPr>
              <w:t>433.07</w:t>
            </w:r>
          </w:p>
        </w:tc>
        <w:tc>
          <w:tcPr>
            <w:tcW w:w="136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rPr>
              <w:t>430.30</w:t>
            </w:r>
          </w:p>
        </w:tc>
        <w:tc>
          <w:tcPr>
            <w:tcW w:w="114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rPr>
              <w:t>2.77</w:t>
            </w:r>
          </w:p>
        </w:tc>
        <w:tc>
          <w:tcPr>
            <w:tcW w:w="1172" w:type="dxa"/>
            <w:tcBorders>
              <w:top w:val="nil"/>
              <w:left w:val="nil"/>
              <w:bottom w:val="single" w:color="000000" w:sz="4" w:space="0"/>
              <w:right w:val="single" w:color="000000" w:sz="4" w:space="0"/>
            </w:tcBorders>
            <w:noWrap w:val="0"/>
            <w:vAlign w:val="center"/>
          </w:tcPr>
          <w:p>
            <w:pPr>
              <w:jc w:val="right"/>
              <w:rPr>
                <w:rFonts w:hint="eastAsia" w:ascii="宋体" w:hAnsi="宋体" w:cs="宋体"/>
                <w:b/>
                <w:bCs/>
                <w:color w:val="000000"/>
                <w:sz w:val="22"/>
              </w:rPr>
            </w:pPr>
          </w:p>
        </w:tc>
        <w:tc>
          <w:tcPr>
            <w:tcW w:w="1088" w:type="dxa"/>
            <w:tcBorders>
              <w:top w:val="nil"/>
              <w:left w:val="nil"/>
              <w:bottom w:val="single" w:color="000000" w:sz="4" w:space="0"/>
              <w:right w:val="single" w:color="000000" w:sz="4" w:space="0"/>
            </w:tcBorders>
            <w:noWrap w:val="0"/>
            <w:vAlign w:val="center"/>
          </w:tcPr>
          <w:p>
            <w:pPr>
              <w:jc w:val="right"/>
              <w:rPr>
                <w:rFonts w:hint="eastAsia" w:ascii="宋体" w:hAnsi="宋体" w:cs="宋体"/>
                <w:b/>
                <w:bCs/>
                <w:color w:val="000000"/>
                <w:sz w:val="22"/>
              </w:rPr>
            </w:pPr>
          </w:p>
        </w:tc>
        <w:tc>
          <w:tcPr>
            <w:tcW w:w="1173" w:type="dxa"/>
            <w:tcBorders>
              <w:top w:val="nil"/>
              <w:left w:val="nil"/>
              <w:bottom w:val="single" w:color="000000" w:sz="4" w:space="0"/>
              <w:right w:val="single" w:color="000000" w:sz="4" w:space="0"/>
            </w:tcBorders>
            <w:noWrap w:val="0"/>
            <w:vAlign w:val="center"/>
          </w:tcPr>
          <w:p>
            <w:pPr>
              <w:jc w:val="right"/>
              <w:rPr>
                <w:rFonts w:hint="eastAsia" w:ascii="宋体" w:hAnsi="宋体" w:cs="宋体"/>
                <w:b/>
                <w:bCs/>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201</w:t>
            </w:r>
          </w:p>
        </w:tc>
        <w:tc>
          <w:tcPr>
            <w:tcW w:w="490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一般公共服务支出</w:t>
            </w:r>
          </w:p>
        </w:tc>
        <w:tc>
          <w:tcPr>
            <w:tcW w:w="145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2.12</w:t>
            </w:r>
          </w:p>
        </w:tc>
        <w:tc>
          <w:tcPr>
            <w:tcW w:w="136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2.12</w:t>
            </w:r>
          </w:p>
        </w:tc>
        <w:tc>
          <w:tcPr>
            <w:tcW w:w="1144"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172"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8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17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20129</w:t>
            </w:r>
          </w:p>
        </w:tc>
        <w:tc>
          <w:tcPr>
            <w:tcW w:w="490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群众团体事务</w:t>
            </w:r>
          </w:p>
        </w:tc>
        <w:tc>
          <w:tcPr>
            <w:tcW w:w="145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2.12</w:t>
            </w:r>
          </w:p>
        </w:tc>
        <w:tc>
          <w:tcPr>
            <w:tcW w:w="136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2.12</w:t>
            </w:r>
          </w:p>
        </w:tc>
        <w:tc>
          <w:tcPr>
            <w:tcW w:w="1144"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172"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8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17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2012906</w:t>
            </w:r>
          </w:p>
        </w:tc>
        <w:tc>
          <w:tcPr>
            <w:tcW w:w="490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工会事务</w:t>
            </w:r>
          </w:p>
        </w:tc>
        <w:tc>
          <w:tcPr>
            <w:tcW w:w="145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2.12</w:t>
            </w:r>
          </w:p>
        </w:tc>
        <w:tc>
          <w:tcPr>
            <w:tcW w:w="136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2.12</w:t>
            </w:r>
          </w:p>
        </w:tc>
        <w:tc>
          <w:tcPr>
            <w:tcW w:w="1144"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172"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8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17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208</w:t>
            </w:r>
          </w:p>
        </w:tc>
        <w:tc>
          <w:tcPr>
            <w:tcW w:w="490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社会保障和就业支出</w:t>
            </w:r>
          </w:p>
        </w:tc>
        <w:tc>
          <w:tcPr>
            <w:tcW w:w="145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29.18</w:t>
            </w:r>
          </w:p>
        </w:tc>
        <w:tc>
          <w:tcPr>
            <w:tcW w:w="136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29.18</w:t>
            </w:r>
          </w:p>
        </w:tc>
        <w:tc>
          <w:tcPr>
            <w:tcW w:w="1144"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172"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8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17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20805</w:t>
            </w:r>
          </w:p>
        </w:tc>
        <w:tc>
          <w:tcPr>
            <w:tcW w:w="490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行政事业单位养老支出</w:t>
            </w:r>
          </w:p>
        </w:tc>
        <w:tc>
          <w:tcPr>
            <w:tcW w:w="145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29.18</w:t>
            </w:r>
          </w:p>
        </w:tc>
        <w:tc>
          <w:tcPr>
            <w:tcW w:w="136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29.18</w:t>
            </w:r>
          </w:p>
        </w:tc>
        <w:tc>
          <w:tcPr>
            <w:tcW w:w="1144"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172"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8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17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2080502</w:t>
            </w:r>
          </w:p>
        </w:tc>
        <w:tc>
          <w:tcPr>
            <w:tcW w:w="490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事业单位离退休</w:t>
            </w:r>
          </w:p>
        </w:tc>
        <w:tc>
          <w:tcPr>
            <w:tcW w:w="145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2.52</w:t>
            </w:r>
          </w:p>
        </w:tc>
        <w:tc>
          <w:tcPr>
            <w:tcW w:w="136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2.52</w:t>
            </w:r>
          </w:p>
        </w:tc>
        <w:tc>
          <w:tcPr>
            <w:tcW w:w="1144"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172"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8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17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2080505</w:t>
            </w:r>
          </w:p>
        </w:tc>
        <w:tc>
          <w:tcPr>
            <w:tcW w:w="490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机关事业单位基本养老保险缴费支出</w:t>
            </w:r>
          </w:p>
        </w:tc>
        <w:tc>
          <w:tcPr>
            <w:tcW w:w="145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26.66</w:t>
            </w:r>
          </w:p>
        </w:tc>
        <w:tc>
          <w:tcPr>
            <w:tcW w:w="136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26.66</w:t>
            </w:r>
          </w:p>
        </w:tc>
        <w:tc>
          <w:tcPr>
            <w:tcW w:w="1144"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172"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8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17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210</w:t>
            </w:r>
          </w:p>
        </w:tc>
        <w:tc>
          <w:tcPr>
            <w:tcW w:w="490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卫生健康支出</w:t>
            </w:r>
          </w:p>
        </w:tc>
        <w:tc>
          <w:tcPr>
            <w:tcW w:w="145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12.23</w:t>
            </w:r>
          </w:p>
        </w:tc>
        <w:tc>
          <w:tcPr>
            <w:tcW w:w="136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12.23</w:t>
            </w:r>
          </w:p>
        </w:tc>
        <w:tc>
          <w:tcPr>
            <w:tcW w:w="1144"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172"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8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17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21011</w:t>
            </w:r>
          </w:p>
        </w:tc>
        <w:tc>
          <w:tcPr>
            <w:tcW w:w="490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行政事业单位医疗</w:t>
            </w:r>
          </w:p>
        </w:tc>
        <w:tc>
          <w:tcPr>
            <w:tcW w:w="145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12.23</w:t>
            </w:r>
          </w:p>
        </w:tc>
        <w:tc>
          <w:tcPr>
            <w:tcW w:w="136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12.23</w:t>
            </w:r>
          </w:p>
        </w:tc>
        <w:tc>
          <w:tcPr>
            <w:tcW w:w="1144"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172"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8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17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2101102</w:t>
            </w:r>
          </w:p>
        </w:tc>
        <w:tc>
          <w:tcPr>
            <w:tcW w:w="490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事业单位医疗</w:t>
            </w:r>
          </w:p>
        </w:tc>
        <w:tc>
          <w:tcPr>
            <w:tcW w:w="145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12.23</w:t>
            </w:r>
          </w:p>
        </w:tc>
        <w:tc>
          <w:tcPr>
            <w:tcW w:w="136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12.23</w:t>
            </w:r>
          </w:p>
        </w:tc>
        <w:tc>
          <w:tcPr>
            <w:tcW w:w="1144"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172"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8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17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213</w:t>
            </w:r>
          </w:p>
        </w:tc>
        <w:tc>
          <w:tcPr>
            <w:tcW w:w="490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农林水支出</w:t>
            </w:r>
          </w:p>
        </w:tc>
        <w:tc>
          <w:tcPr>
            <w:tcW w:w="145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389.54</w:t>
            </w:r>
          </w:p>
        </w:tc>
        <w:tc>
          <w:tcPr>
            <w:tcW w:w="136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386.77</w:t>
            </w:r>
          </w:p>
        </w:tc>
        <w:tc>
          <w:tcPr>
            <w:tcW w:w="114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2.77</w:t>
            </w:r>
          </w:p>
        </w:tc>
        <w:tc>
          <w:tcPr>
            <w:tcW w:w="1172"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8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17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21303</w:t>
            </w:r>
          </w:p>
        </w:tc>
        <w:tc>
          <w:tcPr>
            <w:tcW w:w="490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水利</w:t>
            </w:r>
          </w:p>
        </w:tc>
        <w:tc>
          <w:tcPr>
            <w:tcW w:w="145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389.54</w:t>
            </w:r>
          </w:p>
        </w:tc>
        <w:tc>
          <w:tcPr>
            <w:tcW w:w="136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386.77</w:t>
            </w:r>
          </w:p>
        </w:tc>
        <w:tc>
          <w:tcPr>
            <w:tcW w:w="114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2.77</w:t>
            </w:r>
          </w:p>
        </w:tc>
        <w:tc>
          <w:tcPr>
            <w:tcW w:w="1172"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8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17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2130304</w:t>
            </w:r>
          </w:p>
        </w:tc>
        <w:tc>
          <w:tcPr>
            <w:tcW w:w="490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水利行业业务管理</w:t>
            </w:r>
          </w:p>
        </w:tc>
        <w:tc>
          <w:tcPr>
            <w:tcW w:w="145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389.54</w:t>
            </w:r>
          </w:p>
        </w:tc>
        <w:tc>
          <w:tcPr>
            <w:tcW w:w="136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386.77</w:t>
            </w:r>
          </w:p>
        </w:tc>
        <w:tc>
          <w:tcPr>
            <w:tcW w:w="114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2.77</w:t>
            </w:r>
          </w:p>
        </w:tc>
        <w:tc>
          <w:tcPr>
            <w:tcW w:w="1172"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8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17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4902" w:type="dxa"/>
            <w:tcBorders>
              <w:top w:val="nil"/>
              <w:left w:val="nil"/>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1457"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64"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144"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172"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8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17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87" w:type="dxa"/>
            <w:gridSpan w:val="10"/>
            <w:tcBorders>
              <w:top w:val="nil"/>
              <w:left w:val="nil"/>
              <w:bottom w:val="nil"/>
              <w:right w:val="nil"/>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注：本表反映</w:t>
            </w:r>
            <w:r>
              <w:rPr>
                <w:rFonts w:hint="eastAsia" w:ascii="宋体" w:hAnsi="宋体" w:cs="宋体"/>
                <w:color w:val="000000"/>
                <w:kern w:val="0"/>
                <w:sz w:val="22"/>
                <w:lang w:eastAsia="zh-CN"/>
              </w:rPr>
              <w:t>单位</w:t>
            </w:r>
            <w:r>
              <w:rPr>
                <w:rFonts w:hint="eastAsia" w:ascii="宋体" w:hAnsi="宋体" w:cs="宋体"/>
                <w:color w:val="000000"/>
                <w:kern w:val="0"/>
                <w:sz w:val="22"/>
              </w:rPr>
              <w:t>本年度各项支出情况。本表金额转换为万元时，因四舍五入可能存在尾差。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87" w:type="dxa"/>
            <w:gridSpan w:val="10"/>
            <w:tcBorders>
              <w:top w:val="nil"/>
              <w:left w:val="nil"/>
              <w:bottom w:val="nil"/>
              <w:right w:val="nil"/>
            </w:tcBorders>
            <w:noWrap w:val="0"/>
            <w:vAlign w:val="center"/>
          </w:tcPr>
          <w:p>
            <w:pPr>
              <w:widowControl/>
              <w:jc w:val="left"/>
              <w:textAlignment w:val="center"/>
              <w:rPr>
                <w:rFonts w:hint="eastAsia" w:ascii="宋体" w:hAnsi="宋体" w:cs="宋体"/>
                <w:color w:val="000000"/>
                <w:kern w:val="0"/>
                <w:sz w:val="22"/>
              </w:rPr>
            </w:pPr>
          </w:p>
        </w:tc>
      </w:tr>
    </w:tbl>
    <w:tbl>
      <w:tblPr>
        <w:tblStyle w:val="3"/>
        <w:tblpPr w:leftFromText="180" w:rightFromText="180" w:vertAnchor="text" w:horzAnchor="page" w:tblpX="1643" w:tblpY="375"/>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08"/>
        <w:gridCol w:w="568"/>
        <w:gridCol w:w="1023"/>
        <w:gridCol w:w="3984"/>
        <w:gridCol w:w="568"/>
        <w:gridCol w:w="927"/>
        <w:gridCol w:w="1226"/>
        <w:gridCol w:w="958"/>
        <w:gridCol w:w="11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890" w:type="dxa"/>
            <w:gridSpan w:val="9"/>
            <w:tcBorders>
              <w:top w:val="nil"/>
              <w:left w:val="nil"/>
              <w:bottom w:val="nil"/>
              <w:right w:val="nil"/>
            </w:tcBorders>
            <w:noWrap w:val="0"/>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08" w:type="dxa"/>
            <w:tcBorders>
              <w:top w:val="nil"/>
              <w:left w:val="nil"/>
              <w:bottom w:val="nil"/>
              <w:right w:val="nil"/>
            </w:tcBorders>
            <w:noWrap w:val="0"/>
            <w:vAlign w:val="bottom"/>
          </w:tcPr>
          <w:p>
            <w:pPr>
              <w:rPr>
                <w:rFonts w:hint="eastAsia" w:ascii="Arial" w:hAnsi="Arial" w:cs="Arial"/>
                <w:color w:val="000000"/>
                <w:sz w:val="18"/>
                <w:szCs w:val="18"/>
              </w:rPr>
            </w:pPr>
          </w:p>
        </w:tc>
        <w:tc>
          <w:tcPr>
            <w:tcW w:w="568" w:type="dxa"/>
            <w:tcBorders>
              <w:top w:val="nil"/>
              <w:left w:val="nil"/>
              <w:bottom w:val="nil"/>
              <w:right w:val="nil"/>
            </w:tcBorders>
            <w:noWrap w:val="0"/>
            <w:vAlign w:val="bottom"/>
          </w:tcPr>
          <w:p>
            <w:pPr>
              <w:rPr>
                <w:rFonts w:ascii="Arial" w:hAnsi="Arial" w:cs="Arial"/>
                <w:color w:val="000000"/>
                <w:sz w:val="18"/>
                <w:szCs w:val="18"/>
              </w:rPr>
            </w:pPr>
          </w:p>
        </w:tc>
        <w:tc>
          <w:tcPr>
            <w:tcW w:w="1023" w:type="dxa"/>
            <w:tcBorders>
              <w:top w:val="nil"/>
              <w:left w:val="nil"/>
              <w:bottom w:val="nil"/>
              <w:right w:val="nil"/>
            </w:tcBorders>
            <w:noWrap w:val="0"/>
            <w:vAlign w:val="bottom"/>
          </w:tcPr>
          <w:p>
            <w:pPr>
              <w:rPr>
                <w:rFonts w:ascii="Arial" w:hAnsi="Arial" w:cs="Arial"/>
                <w:color w:val="000000"/>
                <w:sz w:val="18"/>
                <w:szCs w:val="18"/>
              </w:rPr>
            </w:pPr>
          </w:p>
        </w:tc>
        <w:tc>
          <w:tcPr>
            <w:tcW w:w="3984" w:type="dxa"/>
            <w:tcBorders>
              <w:top w:val="nil"/>
              <w:left w:val="nil"/>
              <w:bottom w:val="nil"/>
              <w:right w:val="nil"/>
            </w:tcBorders>
            <w:noWrap w:val="0"/>
            <w:vAlign w:val="bottom"/>
          </w:tcPr>
          <w:p>
            <w:pPr>
              <w:rPr>
                <w:rFonts w:ascii="Arial" w:hAnsi="Arial" w:cs="Arial"/>
                <w:color w:val="000000"/>
                <w:sz w:val="18"/>
                <w:szCs w:val="18"/>
              </w:rPr>
            </w:pPr>
          </w:p>
        </w:tc>
        <w:tc>
          <w:tcPr>
            <w:tcW w:w="568" w:type="dxa"/>
            <w:tcBorders>
              <w:top w:val="nil"/>
              <w:left w:val="nil"/>
              <w:bottom w:val="nil"/>
              <w:right w:val="nil"/>
            </w:tcBorders>
            <w:noWrap w:val="0"/>
            <w:vAlign w:val="bottom"/>
          </w:tcPr>
          <w:p>
            <w:pPr>
              <w:rPr>
                <w:rFonts w:ascii="Arial" w:hAnsi="Arial" w:cs="Arial"/>
                <w:color w:val="000000"/>
                <w:sz w:val="18"/>
                <w:szCs w:val="18"/>
              </w:rPr>
            </w:pPr>
          </w:p>
        </w:tc>
        <w:tc>
          <w:tcPr>
            <w:tcW w:w="927" w:type="dxa"/>
            <w:tcBorders>
              <w:top w:val="nil"/>
              <w:left w:val="nil"/>
              <w:bottom w:val="nil"/>
              <w:right w:val="nil"/>
            </w:tcBorders>
            <w:noWrap w:val="0"/>
            <w:vAlign w:val="bottom"/>
          </w:tcPr>
          <w:p>
            <w:pPr>
              <w:rPr>
                <w:rFonts w:ascii="Arial" w:hAnsi="Arial" w:cs="Arial"/>
                <w:color w:val="000000"/>
                <w:sz w:val="18"/>
                <w:szCs w:val="18"/>
              </w:rPr>
            </w:pPr>
          </w:p>
        </w:tc>
        <w:tc>
          <w:tcPr>
            <w:tcW w:w="1226" w:type="dxa"/>
            <w:tcBorders>
              <w:top w:val="nil"/>
              <w:left w:val="nil"/>
              <w:bottom w:val="nil"/>
              <w:right w:val="nil"/>
            </w:tcBorders>
            <w:noWrap w:val="0"/>
            <w:vAlign w:val="bottom"/>
          </w:tcPr>
          <w:p>
            <w:pPr>
              <w:rPr>
                <w:rFonts w:ascii="Arial" w:hAnsi="Arial" w:cs="Arial"/>
                <w:color w:val="000000"/>
                <w:sz w:val="18"/>
                <w:szCs w:val="18"/>
              </w:rPr>
            </w:pPr>
          </w:p>
        </w:tc>
        <w:tc>
          <w:tcPr>
            <w:tcW w:w="2086" w:type="dxa"/>
            <w:gridSpan w:val="2"/>
            <w:tcBorders>
              <w:top w:val="nil"/>
              <w:left w:val="nil"/>
              <w:bottom w:val="nil"/>
              <w:right w:val="nil"/>
            </w:tcBorders>
            <w:noWrap w:val="0"/>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099" w:type="dxa"/>
            <w:gridSpan w:val="3"/>
            <w:tcBorders>
              <w:top w:val="nil"/>
              <w:left w:val="nil"/>
              <w:bottom w:val="nil"/>
              <w:right w:val="nil"/>
            </w:tcBorders>
            <w:noWrap w:val="0"/>
            <w:vAlign w:val="bottom"/>
          </w:tcPr>
          <w:p>
            <w:pPr>
              <w:widowControl/>
              <w:jc w:val="left"/>
              <w:textAlignment w:val="bottom"/>
              <w:rPr>
                <w:rFonts w:hint="eastAsia" w:ascii="宋体" w:hAnsi="宋体" w:cs="宋体"/>
                <w:color w:val="000000"/>
                <w:sz w:val="18"/>
                <w:szCs w:val="18"/>
              </w:rPr>
            </w:pPr>
            <w:r>
              <w:rPr>
                <w:rFonts w:hint="eastAsia" w:ascii="宋体" w:hAnsi="宋体" w:cs="宋体"/>
                <w:color w:val="000000"/>
                <w:kern w:val="0"/>
                <w:sz w:val="18"/>
                <w:szCs w:val="18"/>
                <w:lang w:eastAsia="zh-CN"/>
              </w:rPr>
              <w:t>单位</w:t>
            </w:r>
            <w:r>
              <w:rPr>
                <w:rFonts w:hint="eastAsia" w:ascii="宋体" w:hAnsi="宋体" w:cs="宋体"/>
                <w:color w:val="000000"/>
                <w:kern w:val="0"/>
                <w:sz w:val="18"/>
                <w:szCs w:val="18"/>
              </w:rPr>
              <w:t>：许昌市污水处理费征收中心</w:t>
            </w:r>
          </w:p>
        </w:tc>
        <w:tc>
          <w:tcPr>
            <w:tcW w:w="3984" w:type="dxa"/>
            <w:tcBorders>
              <w:top w:val="nil"/>
              <w:left w:val="nil"/>
              <w:bottom w:val="nil"/>
              <w:right w:val="nil"/>
            </w:tcBorders>
            <w:noWrap w:val="0"/>
            <w:vAlign w:val="bottom"/>
          </w:tcPr>
          <w:p>
            <w:pPr>
              <w:rPr>
                <w:rFonts w:ascii="Arial" w:hAnsi="Arial" w:cs="Arial"/>
                <w:color w:val="000000"/>
                <w:sz w:val="18"/>
                <w:szCs w:val="18"/>
              </w:rPr>
            </w:pPr>
          </w:p>
        </w:tc>
        <w:tc>
          <w:tcPr>
            <w:tcW w:w="568" w:type="dxa"/>
            <w:tcBorders>
              <w:top w:val="nil"/>
              <w:left w:val="nil"/>
              <w:bottom w:val="nil"/>
              <w:right w:val="nil"/>
            </w:tcBorders>
            <w:noWrap w:val="0"/>
            <w:vAlign w:val="bottom"/>
          </w:tcPr>
          <w:p>
            <w:pPr>
              <w:rPr>
                <w:rFonts w:ascii="Arial" w:hAnsi="Arial" w:cs="Arial"/>
                <w:color w:val="000000"/>
                <w:sz w:val="18"/>
                <w:szCs w:val="18"/>
              </w:rPr>
            </w:pPr>
          </w:p>
        </w:tc>
        <w:tc>
          <w:tcPr>
            <w:tcW w:w="927" w:type="dxa"/>
            <w:tcBorders>
              <w:top w:val="nil"/>
              <w:left w:val="nil"/>
              <w:bottom w:val="nil"/>
              <w:right w:val="nil"/>
            </w:tcBorders>
            <w:noWrap w:val="0"/>
            <w:vAlign w:val="bottom"/>
          </w:tcPr>
          <w:p>
            <w:pPr>
              <w:rPr>
                <w:rFonts w:ascii="Arial" w:hAnsi="Arial" w:cs="Arial"/>
                <w:color w:val="000000"/>
                <w:sz w:val="18"/>
                <w:szCs w:val="18"/>
              </w:rPr>
            </w:pPr>
          </w:p>
        </w:tc>
        <w:tc>
          <w:tcPr>
            <w:tcW w:w="1226" w:type="dxa"/>
            <w:tcBorders>
              <w:top w:val="nil"/>
              <w:left w:val="nil"/>
              <w:bottom w:val="nil"/>
              <w:right w:val="nil"/>
            </w:tcBorders>
            <w:noWrap w:val="0"/>
            <w:vAlign w:val="bottom"/>
          </w:tcPr>
          <w:p>
            <w:pPr>
              <w:rPr>
                <w:rFonts w:ascii="Arial" w:hAnsi="Arial" w:cs="Arial"/>
                <w:color w:val="000000"/>
                <w:sz w:val="18"/>
                <w:szCs w:val="18"/>
              </w:rPr>
            </w:pPr>
          </w:p>
        </w:tc>
        <w:tc>
          <w:tcPr>
            <w:tcW w:w="2086" w:type="dxa"/>
            <w:gridSpan w:val="2"/>
            <w:tcBorders>
              <w:top w:val="nil"/>
              <w:left w:val="nil"/>
              <w:bottom w:val="nil"/>
              <w:right w:val="nil"/>
            </w:tcBorders>
            <w:noWrap w:val="0"/>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99"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收     入</w:t>
            </w:r>
          </w:p>
        </w:tc>
        <w:tc>
          <w:tcPr>
            <w:tcW w:w="8791" w:type="dxa"/>
            <w:gridSpan w:val="6"/>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508" w:type="dxa"/>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项目</w:t>
            </w:r>
          </w:p>
        </w:tc>
        <w:tc>
          <w:tcPr>
            <w:tcW w:w="568"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行次</w:t>
            </w:r>
          </w:p>
        </w:tc>
        <w:tc>
          <w:tcPr>
            <w:tcW w:w="1023"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金额</w:t>
            </w:r>
          </w:p>
        </w:tc>
        <w:tc>
          <w:tcPr>
            <w:tcW w:w="3984"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项目</w:t>
            </w:r>
          </w:p>
        </w:tc>
        <w:tc>
          <w:tcPr>
            <w:tcW w:w="568"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行次</w:t>
            </w:r>
          </w:p>
        </w:tc>
        <w:tc>
          <w:tcPr>
            <w:tcW w:w="927"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合计</w:t>
            </w:r>
          </w:p>
        </w:tc>
        <w:tc>
          <w:tcPr>
            <w:tcW w:w="1226"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一般公共预算财政拨款</w:t>
            </w:r>
          </w:p>
        </w:tc>
        <w:tc>
          <w:tcPr>
            <w:tcW w:w="958"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政府性基金预算财政拨款</w:t>
            </w:r>
          </w:p>
        </w:tc>
        <w:tc>
          <w:tcPr>
            <w:tcW w:w="1128"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508"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56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102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398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56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92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122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95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112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栏次</w:t>
            </w:r>
          </w:p>
        </w:tc>
        <w:tc>
          <w:tcPr>
            <w:tcW w:w="568" w:type="dxa"/>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1023"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398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栏次</w:t>
            </w:r>
          </w:p>
        </w:tc>
        <w:tc>
          <w:tcPr>
            <w:tcW w:w="568" w:type="dxa"/>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92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12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w:t>
            </w:r>
          </w:p>
        </w:tc>
        <w:tc>
          <w:tcPr>
            <w:tcW w:w="95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w:t>
            </w:r>
          </w:p>
        </w:tc>
        <w:tc>
          <w:tcPr>
            <w:tcW w:w="112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一、一般公共预算财政拨款</w:t>
            </w: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102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397.53</w:t>
            </w:r>
          </w:p>
        </w:tc>
        <w:tc>
          <w:tcPr>
            <w:tcW w:w="398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一、一般公共服务支出</w:t>
            </w: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33</w:t>
            </w:r>
          </w:p>
        </w:tc>
        <w:tc>
          <w:tcPr>
            <w:tcW w:w="92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2.12</w:t>
            </w:r>
          </w:p>
        </w:tc>
        <w:tc>
          <w:tcPr>
            <w:tcW w:w="1226"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2.12</w:t>
            </w: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二、政府性基金预算财政拨款</w:t>
            </w: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102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二、外交支出</w:t>
            </w: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34</w:t>
            </w:r>
          </w:p>
        </w:tc>
        <w:tc>
          <w:tcPr>
            <w:tcW w:w="927"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226"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三、国有资本经营财政拨款</w:t>
            </w: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w:t>
            </w:r>
          </w:p>
        </w:tc>
        <w:tc>
          <w:tcPr>
            <w:tcW w:w="102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三、国防支出</w:t>
            </w: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35</w:t>
            </w:r>
          </w:p>
        </w:tc>
        <w:tc>
          <w:tcPr>
            <w:tcW w:w="927"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226"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szCs w:val="22"/>
              </w:rPr>
            </w:pP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w:t>
            </w:r>
          </w:p>
        </w:tc>
        <w:tc>
          <w:tcPr>
            <w:tcW w:w="102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四、公共安全支出</w:t>
            </w: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36</w:t>
            </w:r>
          </w:p>
        </w:tc>
        <w:tc>
          <w:tcPr>
            <w:tcW w:w="927"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226"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szCs w:val="22"/>
              </w:rPr>
            </w:pP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w:t>
            </w:r>
          </w:p>
        </w:tc>
        <w:tc>
          <w:tcPr>
            <w:tcW w:w="102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五、教育支出</w:t>
            </w: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37</w:t>
            </w:r>
          </w:p>
        </w:tc>
        <w:tc>
          <w:tcPr>
            <w:tcW w:w="927"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226"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szCs w:val="22"/>
              </w:rPr>
            </w:pP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w:t>
            </w:r>
          </w:p>
        </w:tc>
        <w:tc>
          <w:tcPr>
            <w:tcW w:w="102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六、科学技术支出</w:t>
            </w: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38</w:t>
            </w:r>
          </w:p>
        </w:tc>
        <w:tc>
          <w:tcPr>
            <w:tcW w:w="927"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226"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szCs w:val="22"/>
              </w:rPr>
            </w:pP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w:t>
            </w:r>
          </w:p>
        </w:tc>
        <w:tc>
          <w:tcPr>
            <w:tcW w:w="102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七、文化旅游体育与传媒支出</w:t>
            </w: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39</w:t>
            </w:r>
          </w:p>
        </w:tc>
        <w:tc>
          <w:tcPr>
            <w:tcW w:w="927"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226"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szCs w:val="22"/>
              </w:rPr>
            </w:pP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8</w:t>
            </w:r>
          </w:p>
        </w:tc>
        <w:tc>
          <w:tcPr>
            <w:tcW w:w="102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八、社会保障和就业支出</w:t>
            </w: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40</w:t>
            </w:r>
          </w:p>
        </w:tc>
        <w:tc>
          <w:tcPr>
            <w:tcW w:w="92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29.18</w:t>
            </w:r>
          </w:p>
        </w:tc>
        <w:tc>
          <w:tcPr>
            <w:tcW w:w="1226"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29.18</w:t>
            </w: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szCs w:val="22"/>
              </w:rPr>
            </w:pP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9</w:t>
            </w:r>
          </w:p>
        </w:tc>
        <w:tc>
          <w:tcPr>
            <w:tcW w:w="102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九、卫生健康支出</w:t>
            </w: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41</w:t>
            </w:r>
          </w:p>
        </w:tc>
        <w:tc>
          <w:tcPr>
            <w:tcW w:w="92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12.23</w:t>
            </w:r>
          </w:p>
        </w:tc>
        <w:tc>
          <w:tcPr>
            <w:tcW w:w="1226"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12.23</w:t>
            </w: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auto" w:sz="4" w:space="0"/>
              <w:right w:val="single" w:color="000000" w:sz="4" w:space="0"/>
            </w:tcBorders>
            <w:noWrap w:val="0"/>
            <w:vAlign w:val="center"/>
          </w:tcPr>
          <w:p>
            <w:pPr>
              <w:jc w:val="left"/>
              <w:rPr>
                <w:rFonts w:hint="eastAsia" w:ascii="宋体" w:hAnsi="宋体" w:cs="宋体"/>
                <w:color w:val="000000"/>
                <w:sz w:val="22"/>
                <w:szCs w:val="22"/>
              </w:rPr>
            </w:pPr>
          </w:p>
        </w:tc>
        <w:tc>
          <w:tcPr>
            <w:tcW w:w="568" w:type="dxa"/>
            <w:tcBorders>
              <w:top w:val="nil"/>
              <w:left w:val="nil"/>
              <w:bottom w:val="single" w:color="auto"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w:t>
            </w:r>
          </w:p>
        </w:tc>
        <w:tc>
          <w:tcPr>
            <w:tcW w:w="1023" w:type="dxa"/>
            <w:tcBorders>
              <w:top w:val="nil"/>
              <w:left w:val="nil"/>
              <w:bottom w:val="single" w:color="auto" w:sz="4" w:space="0"/>
              <w:right w:val="single" w:color="000000" w:sz="4" w:space="0"/>
            </w:tcBorders>
            <w:noWrap w:val="0"/>
            <w:vAlign w:val="center"/>
          </w:tcPr>
          <w:p>
            <w:pPr>
              <w:jc w:val="right"/>
              <w:rPr>
                <w:rFonts w:hint="eastAsia" w:ascii="宋体" w:hAnsi="宋体" w:cs="宋体"/>
                <w:color w:val="000000"/>
                <w:sz w:val="22"/>
                <w:szCs w:val="22"/>
              </w:rPr>
            </w:pPr>
          </w:p>
        </w:tc>
        <w:tc>
          <w:tcPr>
            <w:tcW w:w="3984" w:type="dxa"/>
            <w:tcBorders>
              <w:top w:val="nil"/>
              <w:left w:val="nil"/>
              <w:bottom w:val="single" w:color="auto"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十、节能环保支出</w:t>
            </w:r>
          </w:p>
        </w:tc>
        <w:tc>
          <w:tcPr>
            <w:tcW w:w="568" w:type="dxa"/>
            <w:tcBorders>
              <w:top w:val="nil"/>
              <w:left w:val="nil"/>
              <w:bottom w:val="single" w:color="auto"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42</w:t>
            </w:r>
          </w:p>
        </w:tc>
        <w:tc>
          <w:tcPr>
            <w:tcW w:w="927" w:type="dxa"/>
            <w:tcBorders>
              <w:top w:val="nil"/>
              <w:left w:val="nil"/>
              <w:bottom w:val="single" w:color="auto" w:sz="4" w:space="0"/>
              <w:right w:val="single" w:color="000000" w:sz="4" w:space="0"/>
            </w:tcBorders>
            <w:noWrap w:val="0"/>
            <w:vAlign w:val="center"/>
          </w:tcPr>
          <w:p>
            <w:pPr>
              <w:jc w:val="right"/>
              <w:rPr>
                <w:rFonts w:hint="eastAsia" w:ascii="宋体" w:hAnsi="宋体" w:cs="宋体"/>
                <w:color w:val="000000"/>
                <w:sz w:val="22"/>
                <w:szCs w:val="22"/>
              </w:rPr>
            </w:pPr>
          </w:p>
        </w:tc>
        <w:tc>
          <w:tcPr>
            <w:tcW w:w="1226" w:type="dxa"/>
            <w:tcBorders>
              <w:top w:val="nil"/>
              <w:left w:val="nil"/>
              <w:bottom w:val="single" w:color="auto" w:sz="4" w:space="0"/>
              <w:right w:val="single" w:color="000000" w:sz="4" w:space="0"/>
            </w:tcBorders>
            <w:noWrap w:val="0"/>
            <w:vAlign w:val="center"/>
          </w:tcPr>
          <w:p>
            <w:pPr>
              <w:jc w:val="right"/>
              <w:rPr>
                <w:rFonts w:hint="eastAsia" w:ascii="宋体" w:hAnsi="宋体" w:cs="宋体"/>
                <w:color w:val="000000"/>
                <w:sz w:val="22"/>
                <w:szCs w:val="22"/>
              </w:rPr>
            </w:pPr>
          </w:p>
        </w:tc>
        <w:tc>
          <w:tcPr>
            <w:tcW w:w="958" w:type="dxa"/>
            <w:tcBorders>
              <w:top w:val="nil"/>
              <w:left w:val="nil"/>
              <w:bottom w:val="single" w:color="auto" w:sz="4" w:space="0"/>
              <w:right w:val="single" w:color="000000" w:sz="4" w:space="0"/>
            </w:tcBorders>
            <w:noWrap w:val="0"/>
            <w:vAlign w:val="center"/>
          </w:tcPr>
          <w:p>
            <w:pPr>
              <w:jc w:val="right"/>
              <w:rPr>
                <w:rFonts w:hint="eastAsia" w:ascii="宋体" w:hAnsi="宋体" w:cs="宋体"/>
                <w:color w:val="000000"/>
                <w:sz w:val="22"/>
                <w:szCs w:val="22"/>
              </w:rPr>
            </w:pPr>
          </w:p>
        </w:tc>
        <w:tc>
          <w:tcPr>
            <w:tcW w:w="1128" w:type="dxa"/>
            <w:tcBorders>
              <w:top w:val="nil"/>
              <w:left w:val="nil"/>
              <w:bottom w:val="single" w:color="auto"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 w:val="22"/>
                <w:szCs w:val="22"/>
              </w:rPr>
            </w:pPr>
          </w:p>
        </w:tc>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11</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2"/>
                <w:szCs w:val="22"/>
              </w:rPr>
            </w:pPr>
          </w:p>
        </w:tc>
        <w:tc>
          <w:tcPr>
            <w:tcW w:w="398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十一、城乡社区支出</w:t>
            </w:r>
          </w:p>
        </w:tc>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43</w:t>
            </w:r>
          </w:p>
        </w:tc>
        <w:tc>
          <w:tcPr>
            <w:tcW w:w="92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2"/>
                <w:szCs w:val="22"/>
              </w:rPr>
            </w:pPr>
          </w:p>
        </w:tc>
        <w:tc>
          <w:tcPr>
            <w:tcW w:w="1226"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2"/>
                <w:szCs w:val="22"/>
              </w:rPr>
            </w:pPr>
          </w:p>
        </w:tc>
        <w:tc>
          <w:tcPr>
            <w:tcW w:w="958"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2"/>
                <w:szCs w:val="22"/>
              </w:rPr>
            </w:pPr>
          </w:p>
        </w:tc>
        <w:tc>
          <w:tcPr>
            <w:tcW w:w="1128"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single" w:color="auto"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szCs w:val="22"/>
              </w:rPr>
            </w:pPr>
          </w:p>
        </w:tc>
        <w:tc>
          <w:tcPr>
            <w:tcW w:w="568" w:type="dxa"/>
            <w:tcBorders>
              <w:top w:val="single" w:color="auto"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12</w:t>
            </w:r>
          </w:p>
        </w:tc>
        <w:tc>
          <w:tcPr>
            <w:tcW w:w="1023" w:type="dxa"/>
            <w:tcBorders>
              <w:top w:val="single" w:color="auto" w:sz="4" w:space="0"/>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3984" w:type="dxa"/>
            <w:tcBorders>
              <w:top w:val="single" w:color="auto" w:sz="4" w:space="0"/>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十二、农林水支出</w:t>
            </w:r>
          </w:p>
        </w:tc>
        <w:tc>
          <w:tcPr>
            <w:tcW w:w="568" w:type="dxa"/>
            <w:tcBorders>
              <w:top w:val="single" w:color="auto"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44</w:t>
            </w:r>
          </w:p>
        </w:tc>
        <w:tc>
          <w:tcPr>
            <w:tcW w:w="927" w:type="dxa"/>
            <w:tcBorders>
              <w:top w:val="single" w:color="auto" w:sz="4" w:space="0"/>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389.54</w:t>
            </w:r>
          </w:p>
        </w:tc>
        <w:tc>
          <w:tcPr>
            <w:tcW w:w="1226" w:type="dxa"/>
            <w:tcBorders>
              <w:top w:val="single" w:color="auto" w:sz="4" w:space="0"/>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389.54</w:t>
            </w:r>
          </w:p>
        </w:tc>
        <w:tc>
          <w:tcPr>
            <w:tcW w:w="958" w:type="dxa"/>
            <w:tcBorders>
              <w:top w:val="single" w:color="auto" w:sz="4" w:space="0"/>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128" w:type="dxa"/>
            <w:tcBorders>
              <w:top w:val="single" w:color="auto" w:sz="4" w:space="0"/>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szCs w:val="22"/>
              </w:rPr>
            </w:pP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13</w:t>
            </w:r>
          </w:p>
        </w:tc>
        <w:tc>
          <w:tcPr>
            <w:tcW w:w="102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十三、交通运输支出</w:t>
            </w: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45</w:t>
            </w:r>
          </w:p>
        </w:tc>
        <w:tc>
          <w:tcPr>
            <w:tcW w:w="927"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226"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szCs w:val="22"/>
              </w:rPr>
            </w:pP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14</w:t>
            </w:r>
          </w:p>
        </w:tc>
        <w:tc>
          <w:tcPr>
            <w:tcW w:w="102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十四、资源勘探工业信息等支出</w:t>
            </w: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46</w:t>
            </w:r>
          </w:p>
        </w:tc>
        <w:tc>
          <w:tcPr>
            <w:tcW w:w="927"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226"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szCs w:val="22"/>
              </w:rPr>
            </w:pP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15</w:t>
            </w:r>
          </w:p>
        </w:tc>
        <w:tc>
          <w:tcPr>
            <w:tcW w:w="102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十五、商业服务业等支出</w:t>
            </w: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47</w:t>
            </w:r>
          </w:p>
        </w:tc>
        <w:tc>
          <w:tcPr>
            <w:tcW w:w="927"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226"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szCs w:val="22"/>
              </w:rPr>
            </w:pP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16</w:t>
            </w:r>
          </w:p>
        </w:tc>
        <w:tc>
          <w:tcPr>
            <w:tcW w:w="102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十六、金融支出</w:t>
            </w: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48</w:t>
            </w:r>
          </w:p>
        </w:tc>
        <w:tc>
          <w:tcPr>
            <w:tcW w:w="927"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226"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szCs w:val="22"/>
              </w:rPr>
            </w:pP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17</w:t>
            </w:r>
          </w:p>
        </w:tc>
        <w:tc>
          <w:tcPr>
            <w:tcW w:w="102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十七、援助其他地区支出</w:t>
            </w: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49</w:t>
            </w:r>
          </w:p>
        </w:tc>
        <w:tc>
          <w:tcPr>
            <w:tcW w:w="927"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226"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szCs w:val="22"/>
              </w:rPr>
            </w:pP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18</w:t>
            </w:r>
          </w:p>
        </w:tc>
        <w:tc>
          <w:tcPr>
            <w:tcW w:w="102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十八、自然资源海洋气象等支出</w:t>
            </w: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w:t>
            </w:r>
          </w:p>
        </w:tc>
        <w:tc>
          <w:tcPr>
            <w:tcW w:w="927"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226"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szCs w:val="22"/>
              </w:rPr>
            </w:pP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19</w:t>
            </w:r>
          </w:p>
        </w:tc>
        <w:tc>
          <w:tcPr>
            <w:tcW w:w="102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十九、住房保障支出</w:t>
            </w: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51</w:t>
            </w:r>
          </w:p>
        </w:tc>
        <w:tc>
          <w:tcPr>
            <w:tcW w:w="927"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226"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szCs w:val="22"/>
              </w:rPr>
            </w:pP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w:t>
            </w:r>
          </w:p>
        </w:tc>
        <w:tc>
          <w:tcPr>
            <w:tcW w:w="102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二十、粮油物资储备支出</w:t>
            </w: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52</w:t>
            </w:r>
          </w:p>
        </w:tc>
        <w:tc>
          <w:tcPr>
            <w:tcW w:w="927"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226"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szCs w:val="22"/>
              </w:rPr>
            </w:pP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21</w:t>
            </w:r>
          </w:p>
        </w:tc>
        <w:tc>
          <w:tcPr>
            <w:tcW w:w="102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二十一、国有资本经营预算支出</w:t>
            </w: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53</w:t>
            </w:r>
          </w:p>
        </w:tc>
        <w:tc>
          <w:tcPr>
            <w:tcW w:w="927"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226"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szCs w:val="22"/>
              </w:rPr>
            </w:pP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22</w:t>
            </w:r>
          </w:p>
        </w:tc>
        <w:tc>
          <w:tcPr>
            <w:tcW w:w="102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二十二、灾害防治及应急管理支出</w:t>
            </w: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54</w:t>
            </w:r>
          </w:p>
        </w:tc>
        <w:tc>
          <w:tcPr>
            <w:tcW w:w="927"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226"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szCs w:val="22"/>
              </w:rPr>
            </w:pP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23</w:t>
            </w:r>
          </w:p>
        </w:tc>
        <w:tc>
          <w:tcPr>
            <w:tcW w:w="102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二十三、其他支出</w:t>
            </w: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55</w:t>
            </w:r>
          </w:p>
        </w:tc>
        <w:tc>
          <w:tcPr>
            <w:tcW w:w="927"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226"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000000"/>
                <w:sz w:val="22"/>
                <w:szCs w:val="22"/>
              </w:rPr>
            </w:pP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24</w:t>
            </w:r>
          </w:p>
        </w:tc>
        <w:tc>
          <w:tcPr>
            <w:tcW w:w="102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二十四、债务还本支出</w:t>
            </w: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56</w:t>
            </w:r>
          </w:p>
        </w:tc>
        <w:tc>
          <w:tcPr>
            <w:tcW w:w="927"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226"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szCs w:val="22"/>
              </w:rPr>
            </w:pP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25</w:t>
            </w:r>
          </w:p>
        </w:tc>
        <w:tc>
          <w:tcPr>
            <w:tcW w:w="102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二十五、债务付息支出</w:t>
            </w: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57</w:t>
            </w:r>
          </w:p>
        </w:tc>
        <w:tc>
          <w:tcPr>
            <w:tcW w:w="927"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226"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szCs w:val="22"/>
              </w:rPr>
            </w:pP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26</w:t>
            </w:r>
          </w:p>
        </w:tc>
        <w:tc>
          <w:tcPr>
            <w:tcW w:w="102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二十六、抗疫特别国债安排的支出</w:t>
            </w: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58</w:t>
            </w:r>
          </w:p>
        </w:tc>
        <w:tc>
          <w:tcPr>
            <w:tcW w:w="927"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226"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本年收入合计</w:t>
            </w: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27</w:t>
            </w:r>
          </w:p>
        </w:tc>
        <w:tc>
          <w:tcPr>
            <w:tcW w:w="102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397.53</w:t>
            </w:r>
          </w:p>
        </w:tc>
        <w:tc>
          <w:tcPr>
            <w:tcW w:w="398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本年支出合计</w:t>
            </w: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59</w:t>
            </w:r>
          </w:p>
        </w:tc>
        <w:tc>
          <w:tcPr>
            <w:tcW w:w="92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433.07</w:t>
            </w:r>
          </w:p>
        </w:tc>
        <w:tc>
          <w:tcPr>
            <w:tcW w:w="1226"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433.07</w:t>
            </w: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auto"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年初财政拨款结转和结余</w:t>
            </w:r>
          </w:p>
        </w:tc>
        <w:tc>
          <w:tcPr>
            <w:tcW w:w="568" w:type="dxa"/>
            <w:tcBorders>
              <w:top w:val="nil"/>
              <w:left w:val="nil"/>
              <w:bottom w:val="single" w:color="auto"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28</w:t>
            </w:r>
          </w:p>
        </w:tc>
        <w:tc>
          <w:tcPr>
            <w:tcW w:w="1023" w:type="dxa"/>
            <w:tcBorders>
              <w:top w:val="nil"/>
              <w:left w:val="nil"/>
              <w:bottom w:val="single" w:color="auto" w:sz="4" w:space="0"/>
              <w:right w:val="single" w:color="000000" w:sz="4" w:space="0"/>
            </w:tcBorders>
            <w:noWrap w:val="0"/>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35.54</w:t>
            </w:r>
          </w:p>
        </w:tc>
        <w:tc>
          <w:tcPr>
            <w:tcW w:w="3984" w:type="dxa"/>
            <w:tcBorders>
              <w:top w:val="nil"/>
              <w:left w:val="nil"/>
              <w:bottom w:val="single" w:color="auto"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年末财政拨款结转和结余</w:t>
            </w:r>
          </w:p>
        </w:tc>
        <w:tc>
          <w:tcPr>
            <w:tcW w:w="568" w:type="dxa"/>
            <w:tcBorders>
              <w:top w:val="nil"/>
              <w:left w:val="nil"/>
              <w:bottom w:val="single" w:color="auto"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60</w:t>
            </w:r>
          </w:p>
        </w:tc>
        <w:tc>
          <w:tcPr>
            <w:tcW w:w="927" w:type="dxa"/>
            <w:tcBorders>
              <w:top w:val="nil"/>
              <w:left w:val="nil"/>
              <w:bottom w:val="single" w:color="auto" w:sz="4" w:space="0"/>
              <w:right w:val="single" w:color="000000" w:sz="4" w:space="0"/>
            </w:tcBorders>
            <w:noWrap w:val="0"/>
            <w:vAlign w:val="center"/>
          </w:tcPr>
          <w:p>
            <w:pPr>
              <w:jc w:val="right"/>
              <w:rPr>
                <w:rFonts w:hint="eastAsia" w:ascii="宋体" w:hAnsi="宋体" w:cs="宋体"/>
                <w:color w:val="000000"/>
                <w:sz w:val="22"/>
                <w:szCs w:val="22"/>
              </w:rPr>
            </w:pPr>
          </w:p>
        </w:tc>
        <w:tc>
          <w:tcPr>
            <w:tcW w:w="1226" w:type="dxa"/>
            <w:tcBorders>
              <w:top w:val="nil"/>
              <w:left w:val="nil"/>
              <w:bottom w:val="single" w:color="auto" w:sz="4" w:space="0"/>
              <w:right w:val="single" w:color="000000" w:sz="4" w:space="0"/>
            </w:tcBorders>
            <w:noWrap w:val="0"/>
            <w:vAlign w:val="center"/>
          </w:tcPr>
          <w:p>
            <w:pPr>
              <w:jc w:val="right"/>
              <w:rPr>
                <w:rFonts w:hint="eastAsia" w:ascii="宋体" w:hAnsi="宋体" w:cs="宋体"/>
                <w:color w:val="000000"/>
                <w:sz w:val="22"/>
                <w:szCs w:val="22"/>
              </w:rPr>
            </w:pPr>
          </w:p>
        </w:tc>
        <w:tc>
          <w:tcPr>
            <w:tcW w:w="958" w:type="dxa"/>
            <w:tcBorders>
              <w:top w:val="nil"/>
              <w:left w:val="nil"/>
              <w:bottom w:val="single" w:color="auto" w:sz="4" w:space="0"/>
              <w:right w:val="single" w:color="000000" w:sz="4" w:space="0"/>
            </w:tcBorders>
            <w:noWrap w:val="0"/>
            <w:vAlign w:val="center"/>
          </w:tcPr>
          <w:p>
            <w:pPr>
              <w:jc w:val="right"/>
              <w:rPr>
                <w:rFonts w:hint="eastAsia" w:ascii="宋体" w:hAnsi="宋体" w:cs="宋体"/>
                <w:color w:val="000000"/>
                <w:sz w:val="22"/>
                <w:szCs w:val="22"/>
              </w:rPr>
            </w:pPr>
          </w:p>
        </w:tc>
        <w:tc>
          <w:tcPr>
            <w:tcW w:w="1128" w:type="dxa"/>
            <w:tcBorders>
              <w:top w:val="nil"/>
              <w:left w:val="nil"/>
              <w:bottom w:val="single" w:color="auto"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 xml:space="preserve">  一般公共预算财政拨款</w:t>
            </w:r>
          </w:p>
        </w:tc>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29</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35.54</w:t>
            </w:r>
          </w:p>
        </w:tc>
        <w:tc>
          <w:tcPr>
            <w:tcW w:w="398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 w:val="22"/>
                <w:szCs w:val="22"/>
              </w:rPr>
            </w:pPr>
          </w:p>
        </w:tc>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61</w:t>
            </w:r>
          </w:p>
        </w:tc>
        <w:tc>
          <w:tcPr>
            <w:tcW w:w="92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2"/>
                <w:szCs w:val="22"/>
              </w:rPr>
            </w:pPr>
          </w:p>
        </w:tc>
        <w:tc>
          <w:tcPr>
            <w:tcW w:w="1226"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2"/>
                <w:szCs w:val="22"/>
              </w:rPr>
            </w:pPr>
          </w:p>
        </w:tc>
        <w:tc>
          <w:tcPr>
            <w:tcW w:w="958"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2"/>
                <w:szCs w:val="22"/>
              </w:rPr>
            </w:pPr>
          </w:p>
        </w:tc>
        <w:tc>
          <w:tcPr>
            <w:tcW w:w="1128"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single" w:color="auto"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 xml:space="preserve">  政府性基金预算财政拨款</w:t>
            </w:r>
          </w:p>
        </w:tc>
        <w:tc>
          <w:tcPr>
            <w:tcW w:w="568" w:type="dxa"/>
            <w:tcBorders>
              <w:top w:val="single" w:color="auto"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w:t>
            </w:r>
          </w:p>
        </w:tc>
        <w:tc>
          <w:tcPr>
            <w:tcW w:w="1023" w:type="dxa"/>
            <w:tcBorders>
              <w:top w:val="single" w:color="auto" w:sz="4" w:space="0"/>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3984" w:type="dxa"/>
            <w:tcBorders>
              <w:top w:val="single" w:color="auto" w:sz="4" w:space="0"/>
              <w:left w:val="nil"/>
              <w:bottom w:val="single" w:color="000000" w:sz="4" w:space="0"/>
              <w:right w:val="single" w:color="000000" w:sz="4" w:space="0"/>
            </w:tcBorders>
            <w:noWrap w:val="0"/>
            <w:vAlign w:val="center"/>
          </w:tcPr>
          <w:p>
            <w:pPr>
              <w:jc w:val="left"/>
              <w:rPr>
                <w:rFonts w:hint="eastAsia" w:ascii="宋体" w:hAnsi="宋体" w:cs="宋体"/>
                <w:color w:val="000000"/>
                <w:sz w:val="22"/>
                <w:szCs w:val="22"/>
              </w:rPr>
            </w:pPr>
          </w:p>
        </w:tc>
        <w:tc>
          <w:tcPr>
            <w:tcW w:w="568" w:type="dxa"/>
            <w:tcBorders>
              <w:top w:val="single" w:color="auto"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62</w:t>
            </w:r>
          </w:p>
        </w:tc>
        <w:tc>
          <w:tcPr>
            <w:tcW w:w="927" w:type="dxa"/>
            <w:tcBorders>
              <w:top w:val="single" w:color="auto" w:sz="4" w:space="0"/>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226" w:type="dxa"/>
            <w:tcBorders>
              <w:top w:val="single" w:color="auto" w:sz="4" w:space="0"/>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958" w:type="dxa"/>
            <w:tcBorders>
              <w:top w:val="single" w:color="auto" w:sz="4" w:space="0"/>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128" w:type="dxa"/>
            <w:tcBorders>
              <w:top w:val="single" w:color="auto" w:sz="4" w:space="0"/>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 xml:space="preserve">  国有资本经营预算财政拨款</w:t>
            </w: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31</w:t>
            </w:r>
          </w:p>
        </w:tc>
        <w:tc>
          <w:tcPr>
            <w:tcW w:w="102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noWrap w:val="0"/>
            <w:vAlign w:val="center"/>
          </w:tcPr>
          <w:p>
            <w:pPr>
              <w:jc w:val="left"/>
              <w:rPr>
                <w:rFonts w:hint="eastAsia" w:ascii="宋体" w:hAnsi="宋体" w:cs="宋体"/>
                <w:color w:val="000000"/>
                <w:sz w:val="22"/>
                <w:szCs w:val="22"/>
              </w:rPr>
            </w:pP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63</w:t>
            </w:r>
          </w:p>
        </w:tc>
        <w:tc>
          <w:tcPr>
            <w:tcW w:w="927"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226"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总计</w:t>
            </w:r>
          </w:p>
        </w:tc>
        <w:tc>
          <w:tcPr>
            <w:tcW w:w="568" w:type="dxa"/>
            <w:tcBorders>
              <w:top w:val="nil"/>
              <w:left w:val="nil"/>
              <w:bottom w:val="single" w:color="000000" w:sz="8"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32</w:t>
            </w:r>
          </w:p>
        </w:tc>
        <w:tc>
          <w:tcPr>
            <w:tcW w:w="102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433.07</w:t>
            </w:r>
          </w:p>
        </w:tc>
        <w:tc>
          <w:tcPr>
            <w:tcW w:w="398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总计</w:t>
            </w:r>
          </w:p>
        </w:tc>
        <w:tc>
          <w:tcPr>
            <w:tcW w:w="5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64</w:t>
            </w:r>
          </w:p>
        </w:tc>
        <w:tc>
          <w:tcPr>
            <w:tcW w:w="92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433.07</w:t>
            </w:r>
          </w:p>
        </w:tc>
        <w:tc>
          <w:tcPr>
            <w:tcW w:w="1226"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433.07</w:t>
            </w: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890" w:type="dxa"/>
            <w:gridSpan w:val="9"/>
            <w:tcBorders>
              <w:top w:val="nil"/>
              <w:left w:val="nil"/>
              <w:bottom w:val="nil"/>
              <w:right w:val="nil"/>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注：本表反映</w:t>
            </w:r>
            <w:r>
              <w:rPr>
                <w:rFonts w:hint="eastAsia" w:ascii="宋体" w:hAnsi="宋体" w:cs="宋体"/>
                <w:color w:val="000000"/>
                <w:kern w:val="0"/>
                <w:sz w:val="22"/>
                <w:szCs w:val="22"/>
                <w:lang w:eastAsia="zh-CN"/>
              </w:rPr>
              <w:t>单位</w:t>
            </w:r>
            <w:r>
              <w:rPr>
                <w:rFonts w:hint="eastAsia" w:ascii="宋体" w:hAnsi="宋体" w:cs="宋体"/>
                <w:color w:val="000000"/>
                <w:kern w:val="0"/>
                <w:sz w:val="22"/>
                <w:szCs w:val="22"/>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08"/>
        <w:gridCol w:w="236"/>
        <w:gridCol w:w="236"/>
        <w:gridCol w:w="4356"/>
        <w:gridCol w:w="1590"/>
        <w:gridCol w:w="1647"/>
        <w:gridCol w:w="20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276" w:type="dxa"/>
            <w:gridSpan w:val="7"/>
            <w:tcBorders>
              <w:top w:val="nil"/>
              <w:left w:val="nil"/>
              <w:bottom w:val="nil"/>
              <w:right w:val="nil"/>
            </w:tcBorders>
            <w:noWrap w:val="0"/>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08" w:type="dxa"/>
            <w:tcBorders>
              <w:top w:val="nil"/>
              <w:left w:val="nil"/>
              <w:bottom w:val="nil"/>
              <w:right w:val="nil"/>
            </w:tcBorders>
            <w:noWrap w:val="0"/>
            <w:vAlign w:val="bottom"/>
          </w:tcPr>
          <w:p>
            <w:pPr>
              <w:rPr>
                <w:rFonts w:hint="eastAsia" w:ascii="Arial" w:hAnsi="Arial" w:cs="Arial"/>
                <w:color w:val="000000"/>
                <w:sz w:val="18"/>
                <w:szCs w:val="18"/>
              </w:rPr>
            </w:pPr>
          </w:p>
        </w:tc>
        <w:tc>
          <w:tcPr>
            <w:tcW w:w="236" w:type="dxa"/>
            <w:tcBorders>
              <w:top w:val="nil"/>
              <w:left w:val="nil"/>
              <w:bottom w:val="nil"/>
              <w:right w:val="nil"/>
            </w:tcBorders>
            <w:noWrap w:val="0"/>
            <w:vAlign w:val="bottom"/>
          </w:tcPr>
          <w:p>
            <w:pPr>
              <w:rPr>
                <w:rFonts w:ascii="Arial" w:hAnsi="Arial" w:cs="Arial"/>
                <w:color w:val="000000"/>
                <w:sz w:val="18"/>
                <w:szCs w:val="18"/>
              </w:rPr>
            </w:pPr>
          </w:p>
        </w:tc>
        <w:tc>
          <w:tcPr>
            <w:tcW w:w="236" w:type="dxa"/>
            <w:tcBorders>
              <w:top w:val="nil"/>
              <w:left w:val="nil"/>
              <w:bottom w:val="nil"/>
              <w:right w:val="nil"/>
            </w:tcBorders>
            <w:noWrap w:val="0"/>
            <w:vAlign w:val="bottom"/>
          </w:tcPr>
          <w:p>
            <w:pPr>
              <w:rPr>
                <w:rFonts w:ascii="Arial" w:hAnsi="Arial" w:cs="Arial"/>
                <w:color w:val="000000"/>
                <w:sz w:val="18"/>
                <w:szCs w:val="18"/>
              </w:rPr>
            </w:pPr>
          </w:p>
        </w:tc>
        <w:tc>
          <w:tcPr>
            <w:tcW w:w="4356" w:type="dxa"/>
            <w:tcBorders>
              <w:top w:val="nil"/>
              <w:left w:val="nil"/>
              <w:bottom w:val="nil"/>
              <w:right w:val="nil"/>
            </w:tcBorders>
            <w:noWrap w:val="0"/>
            <w:vAlign w:val="bottom"/>
          </w:tcPr>
          <w:p>
            <w:pPr>
              <w:rPr>
                <w:rFonts w:ascii="Arial" w:hAnsi="Arial" w:cs="Arial"/>
                <w:color w:val="000000"/>
                <w:sz w:val="18"/>
                <w:szCs w:val="18"/>
              </w:rPr>
            </w:pPr>
          </w:p>
        </w:tc>
        <w:tc>
          <w:tcPr>
            <w:tcW w:w="1590" w:type="dxa"/>
            <w:tcBorders>
              <w:top w:val="nil"/>
              <w:left w:val="nil"/>
              <w:bottom w:val="nil"/>
              <w:right w:val="nil"/>
            </w:tcBorders>
            <w:noWrap w:val="0"/>
            <w:vAlign w:val="bottom"/>
          </w:tcPr>
          <w:p>
            <w:pPr>
              <w:rPr>
                <w:rFonts w:ascii="Arial" w:hAnsi="Arial" w:cs="Arial"/>
                <w:color w:val="000000"/>
                <w:sz w:val="18"/>
                <w:szCs w:val="18"/>
              </w:rPr>
            </w:pPr>
          </w:p>
        </w:tc>
        <w:tc>
          <w:tcPr>
            <w:tcW w:w="1647" w:type="dxa"/>
            <w:tcBorders>
              <w:top w:val="nil"/>
              <w:left w:val="nil"/>
              <w:bottom w:val="nil"/>
              <w:right w:val="nil"/>
            </w:tcBorders>
            <w:noWrap w:val="0"/>
            <w:vAlign w:val="bottom"/>
          </w:tcPr>
          <w:p>
            <w:pPr>
              <w:rPr>
                <w:rFonts w:ascii="Arial" w:hAnsi="Arial" w:cs="Arial"/>
                <w:color w:val="000000"/>
                <w:sz w:val="18"/>
                <w:szCs w:val="18"/>
              </w:rPr>
            </w:pPr>
          </w:p>
        </w:tc>
        <w:tc>
          <w:tcPr>
            <w:tcW w:w="2003" w:type="dxa"/>
            <w:tcBorders>
              <w:top w:val="nil"/>
              <w:left w:val="nil"/>
              <w:bottom w:val="nil"/>
              <w:right w:val="nil"/>
            </w:tcBorders>
            <w:noWrap w:val="0"/>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08" w:type="dxa"/>
            <w:tcBorders>
              <w:top w:val="nil"/>
              <w:left w:val="nil"/>
              <w:bottom w:val="nil"/>
              <w:right w:val="nil"/>
            </w:tcBorders>
            <w:noWrap w:val="0"/>
            <w:vAlign w:val="bottom"/>
          </w:tcPr>
          <w:p>
            <w:pPr>
              <w:widowControl/>
              <w:jc w:val="left"/>
              <w:textAlignment w:val="bottom"/>
              <w:rPr>
                <w:rFonts w:hint="eastAsia" w:ascii="宋体" w:hAnsi="宋体" w:cs="宋体"/>
                <w:color w:val="000000"/>
                <w:sz w:val="18"/>
                <w:szCs w:val="18"/>
              </w:rPr>
            </w:pPr>
            <w:r>
              <w:rPr>
                <w:rFonts w:hint="eastAsia" w:ascii="宋体" w:hAnsi="宋体" w:cs="宋体"/>
                <w:color w:val="000000"/>
                <w:kern w:val="0"/>
                <w:sz w:val="18"/>
                <w:szCs w:val="18"/>
                <w:lang w:eastAsia="zh-CN"/>
              </w:rPr>
              <w:t>单位</w:t>
            </w:r>
            <w:r>
              <w:rPr>
                <w:rFonts w:hint="eastAsia" w:ascii="宋体" w:hAnsi="宋体" w:cs="宋体"/>
                <w:color w:val="000000"/>
                <w:kern w:val="0"/>
                <w:sz w:val="18"/>
                <w:szCs w:val="18"/>
              </w:rPr>
              <w:t>：许昌市污水处理费征收中心</w:t>
            </w:r>
          </w:p>
        </w:tc>
        <w:tc>
          <w:tcPr>
            <w:tcW w:w="236" w:type="dxa"/>
            <w:tcBorders>
              <w:top w:val="nil"/>
              <w:left w:val="nil"/>
              <w:bottom w:val="nil"/>
              <w:right w:val="nil"/>
            </w:tcBorders>
            <w:noWrap w:val="0"/>
            <w:vAlign w:val="bottom"/>
          </w:tcPr>
          <w:p>
            <w:pPr>
              <w:rPr>
                <w:rFonts w:ascii="Arial" w:hAnsi="Arial" w:cs="Arial"/>
                <w:color w:val="000000"/>
                <w:sz w:val="18"/>
                <w:szCs w:val="18"/>
              </w:rPr>
            </w:pPr>
          </w:p>
        </w:tc>
        <w:tc>
          <w:tcPr>
            <w:tcW w:w="236" w:type="dxa"/>
            <w:tcBorders>
              <w:top w:val="nil"/>
              <w:left w:val="nil"/>
              <w:bottom w:val="nil"/>
              <w:right w:val="nil"/>
            </w:tcBorders>
            <w:noWrap w:val="0"/>
            <w:vAlign w:val="bottom"/>
          </w:tcPr>
          <w:p>
            <w:pPr>
              <w:rPr>
                <w:rFonts w:ascii="Arial" w:hAnsi="Arial" w:cs="Arial"/>
                <w:color w:val="000000"/>
                <w:sz w:val="18"/>
                <w:szCs w:val="18"/>
              </w:rPr>
            </w:pPr>
          </w:p>
        </w:tc>
        <w:tc>
          <w:tcPr>
            <w:tcW w:w="4356" w:type="dxa"/>
            <w:tcBorders>
              <w:top w:val="nil"/>
              <w:left w:val="nil"/>
              <w:bottom w:val="nil"/>
              <w:right w:val="nil"/>
            </w:tcBorders>
            <w:noWrap w:val="0"/>
            <w:vAlign w:val="bottom"/>
          </w:tcPr>
          <w:p>
            <w:pPr>
              <w:rPr>
                <w:rFonts w:ascii="Arial" w:hAnsi="Arial" w:cs="Arial"/>
                <w:color w:val="000000"/>
                <w:sz w:val="18"/>
                <w:szCs w:val="18"/>
              </w:rPr>
            </w:pPr>
          </w:p>
        </w:tc>
        <w:tc>
          <w:tcPr>
            <w:tcW w:w="1590" w:type="dxa"/>
            <w:tcBorders>
              <w:top w:val="nil"/>
              <w:left w:val="nil"/>
              <w:bottom w:val="nil"/>
              <w:right w:val="nil"/>
            </w:tcBorders>
            <w:noWrap w:val="0"/>
            <w:vAlign w:val="bottom"/>
          </w:tcPr>
          <w:p>
            <w:pPr>
              <w:rPr>
                <w:rFonts w:ascii="Arial" w:hAnsi="Arial" w:cs="Arial"/>
                <w:color w:val="000000"/>
                <w:sz w:val="18"/>
                <w:szCs w:val="18"/>
              </w:rPr>
            </w:pPr>
          </w:p>
        </w:tc>
        <w:tc>
          <w:tcPr>
            <w:tcW w:w="1647" w:type="dxa"/>
            <w:tcBorders>
              <w:top w:val="nil"/>
              <w:left w:val="nil"/>
              <w:bottom w:val="nil"/>
              <w:right w:val="nil"/>
            </w:tcBorders>
            <w:noWrap w:val="0"/>
            <w:vAlign w:val="bottom"/>
          </w:tcPr>
          <w:p>
            <w:pPr>
              <w:rPr>
                <w:rFonts w:ascii="Arial" w:hAnsi="Arial" w:cs="Arial"/>
                <w:color w:val="000000"/>
                <w:sz w:val="18"/>
                <w:szCs w:val="18"/>
              </w:rPr>
            </w:pPr>
          </w:p>
        </w:tc>
        <w:tc>
          <w:tcPr>
            <w:tcW w:w="2003" w:type="dxa"/>
            <w:tcBorders>
              <w:top w:val="nil"/>
              <w:left w:val="nil"/>
              <w:bottom w:val="nil"/>
              <w:right w:val="nil"/>
            </w:tcBorders>
            <w:noWrap w:val="0"/>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3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项目</w:t>
            </w:r>
          </w:p>
        </w:tc>
        <w:tc>
          <w:tcPr>
            <w:tcW w:w="5240" w:type="dxa"/>
            <w:gridSpan w:val="3"/>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680" w:type="dxa"/>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功能分类科目编码</w:t>
            </w:r>
          </w:p>
        </w:tc>
        <w:tc>
          <w:tcPr>
            <w:tcW w:w="4356"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科目名称</w:t>
            </w:r>
          </w:p>
        </w:tc>
        <w:tc>
          <w:tcPr>
            <w:tcW w:w="159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小计</w:t>
            </w:r>
          </w:p>
        </w:tc>
        <w:tc>
          <w:tcPr>
            <w:tcW w:w="1647"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基本支出</w:t>
            </w:r>
          </w:p>
        </w:tc>
        <w:tc>
          <w:tcPr>
            <w:tcW w:w="2003"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68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435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59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64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200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68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435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59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64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200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36" w:type="dxa"/>
            <w:gridSpan w:val="4"/>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栏次</w:t>
            </w:r>
          </w:p>
        </w:tc>
        <w:tc>
          <w:tcPr>
            <w:tcW w:w="159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w:t>
            </w:r>
          </w:p>
        </w:tc>
        <w:tc>
          <w:tcPr>
            <w:tcW w:w="164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2</w:t>
            </w:r>
          </w:p>
        </w:tc>
        <w:tc>
          <w:tcPr>
            <w:tcW w:w="2003"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36" w:type="dxa"/>
            <w:gridSpan w:val="4"/>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合计</w:t>
            </w:r>
          </w:p>
        </w:tc>
        <w:tc>
          <w:tcPr>
            <w:tcW w:w="159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rPr>
              <w:t>433.07</w:t>
            </w:r>
          </w:p>
        </w:tc>
        <w:tc>
          <w:tcPr>
            <w:tcW w:w="164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rPr>
              <w:t>430.30</w:t>
            </w:r>
          </w:p>
        </w:tc>
        <w:tc>
          <w:tcPr>
            <w:tcW w:w="200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rPr>
              <w:t>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80"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201</w:t>
            </w:r>
          </w:p>
        </w:tc>
        <w:tc>
          <w:tcPr>
            <w:tcW w:w="435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一般公共服务支出</w:t>
            </w:r>
          </w:p>
        </w:tc>
        <w:tc>
          <w:tcPr>
            <w:tcW w:w="159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2.12</w:t>
            </w:r>
          </w:p>
        </w:tc>
        <w:tc>
          <w:tcPr>
            <w:tcW w:w="164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2.12</w:t>
            </w:r>
          </w:p>
        </w:tc>
        <w:tc>
          <w:tcPr>
            <w:tcW w:w="200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80"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20129</w:t>
            </w:r>
          </w:p>
        </w:tc>
        <w:tc>
          <w:tcPr>
            <w:tcW w:w="435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群众团体事务</w:t>
            </w:r>
          </w:p>
        </w:tc>
        <w:tc>
          <w:tcPr>
            <w:tcW w:w="159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2.12</w:t>
            </w:r>
          </w:p>
        </w:tc>
        <w:tc>
          <w:tcPr>
            <w:tcW w:w="164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2.12</w:t>
            </w:r>
          </w:p>
        </w:tc>
        <w:tc>
          <w:tcPr>
            <w:tcW w:w="200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80"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2012906</w:t>
            </w:r>
          </w:p>
        </w:tc>
        <w:tc>
          <w:tcPr>
            <w:tcW w:w="435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工会事务</w:t>
            </w:r>
          </w:p>
        </w:tc>
        <w:tc>
          <w:tcPr>
            <w:tcW w:w="159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2.12</w:t>
            </w:r>
          </w:p>
        </w:tc>
        <w:tc>
          <w:tcPr>
            <w:tcW w:w="164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2.12</w:t>
            </w:r>
          </w:p>
        </w:tc>
        <w:tc>
          <w:tcPr>
            <w:tcW w:w="200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80"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208</w:t>
            </w:r>
          </w:p>
        </w:tc>
        <w:tc>
          <w:tcPr>
            <w:tcW w:w="435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社会保障和就业支出</w:t>
            </w:r>
          </w:p>
        </w:tc>
        <w:tc>
          <w:tcPr>
            <w:tcW w:w="159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29.18</w:t>
            </w:r>
          </w:p>
        </w:tc>
        <w:tc>
          <w:tcPr>
            <w:tcW w:w="164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29.18</w:t>
            </w:r>
          </w:p>
        </w:tc>
        <w:tc>
          <w:tcPr>
            <w:tcW w:w="200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80"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20805</w:t>
            </w:r>
          </w:p>
        </w:tc>
        <w:tc>
          <w:tcPr>
            <w:tcW w:w="435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行政事业单位养老支出</w:t>
            </w:r>
          </w:p>
        </w:tc>
        <w:tc>
          <w:tcPr>
            <w:tcW w:w="159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29.18</w:t>
            </w:r>
          </w:p>
        </w:tc>
        <w:tc>
          <w:tcPr>
            <w:tcW w:w="164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29.18</w:t>
            </w:r>
          </w:p>
        </w:tc>
        <w:tc>
          <w:tcPr>
            <w:tcW w:w="200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80"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2080502</w:t>
            </w:r>
          </w:p>
        </w:tc>
        <w:tc>
          <w:tcPr>
            <w:tcW w:w="435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事业单位离退休</w:t>
            </w:r>
          </w:p>
        </w:tc>
        <w:tc>
          <w:tcPr>
            <w:tcW w:w="159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2.52</w:t>
            </w:r>
          </w:p>
        </w:tc>
        <w:tc>
          <w:tcPr>
            <w:tcW w:w="164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2.52</w:t>
            </w:r>
          </w:p>
        </w:tc>
        <w:tc>
          <w:tcPr>
            <w:tcW w:w="200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80"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2080505</w:t>
            </w:r>
          </w:p>
        </w:tc>
        <w:tc>
          <w:tcPr>
            <w:tcW w:w="435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机关事业单位基本养老保险缴费支出</w:t>
            </w:r>
          </w:p>
        </w:tc>
        <w:tc>
          <w:tcPr>
            <w:tcW w:w="159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26.66</w:t>
            </w:r>
          </w:p>
        </w:tc>
        <w:tc>
          <w:tcPr>
            <w:tcW w:w="164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26.66</w:t>
            </w:r>
          </w:p>
        </w:tc>
        <w:tc>
          <w:tcPr>
            <w:tcW w:w="200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80"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210</w:t>
            </w:r>
          </w:p>
        </w:tc>
        <w:tc>
          <w:tcPr>
            <w:tcW w:w="435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卫生健康支出</w:t>
            </w:r>
          </w:p>
        </w:tc>
        <w:tc>
          <w:tcPr>
            <w:tcW w:w="159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12.23</w:t>
            </w:r>
          </w:p>
        </w:tc>
        <w:tc>
          <w:tcPr>
            <w:tcW w:w="164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12.23</w:t>
            </w:r>
          </w:p>
        </w:tc>
        <w:tc>
          <w:tcPr>
            <w:tcW w:w="200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80"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21011</w:t>
            </w:r>
          </w:p>
        </w:tc>
        <w:tc>
          <w:tcPr>
            <w:tcW w:w="435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行政事业单位医疗</w:t>
            </w:r>
          </w:p>
        </w:tc>
        <w:tc>
          <w:tcPr>
            <w:tcW w:w="159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12.23</w:t>
            </w:r>
          </w:p>
        </w:tc>
        <w:tc>
          <w:tcPr>
            <w:tcW w:w="164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12.23</w:t>
            </w:r>
          </w:p>
        </w:tc>
        <w:tc>
          <w:tcPr>
            <w:tcW w:w="200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80"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2101102</w:t>
            </w:r>
          </w:p>
        </w:tc>
        <w:tc>
          <w:tcPr>
            <w:tcW w:w="435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事业单位医疗</w:t>
            </w:r>
          </w:p>
        </w:tc>
        <w:tc>
          <w:tcPr>
            <w:tcW w:w="159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12.23</w:t>
            </w:r>
          </w:p>
        </w:tc>
        <w:tc>
          <w:tcPr>
            <w:tcW w:w="164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12.23</w:t>
            </w:r>
          </w:p>
        </w:tc>
        <w:tc>
          <w:tcPr>
            <w:tcW w:w="200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80"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213</w:t>
            </w:r>
          </w:p>
        </w:tc>
        <w:tc>
          <w:tcPr>
            <w:tcW w:w="435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农林水支出</w:t>
            </w:r>
          </w:p>
        </w:tc>
        <w:tc>
          <w:tcPr>
            <w:tcW w:w="159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389.54</w:t>
            </w:r>
          </w:p>
        </w:tc>
        <w:tc>
          <w:tcPr>
            <w:tcW w:w="164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386.77</w:t>
            </w:r>
          </w:p>
        </w:tc>
        <w:tc>
          <w:tcPr>
            <w:tcW w:w="200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80"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21303</w:t>
            </w:r>
          </w:p>
        </w:tc>
        <w:tc>
          <w:tcPr>
            <w:tcW w:w="435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水利</w:t>
            </w:r>
          </w:p>
        </w:tc>
        <w:tc>
          <w:tcPr>
            <w:tcW w:w="159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389.54</w:t>
            </w:r>
          </w:p>
        </w:tc>
        <w:tc>
          <w:tcPr>
            <w:tcW w:w="164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386.77</w:t>
            </w:r>
          </w:p>
        </w:tc>
        <w:tc>
          <w:tcPr>
            <w:tcW w:w="200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80"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2130304</w:t>
            </w:r>
          </w:p>
        </w:tc>
        <w:tc>
          <w:tcPr>
            <w:tcW w:w="435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水利行业业务管理</w:t>
            </w:r>
          </w:p>
        </w:tc>
        <w:tc>
          <w:tcPr>
            <w:tcW w:w="159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389.54</w:t>
            </w:r>
          </w:p>
        </w:tc>
        <w:tc>
          <w:tcPr>
            <w:tcW w:w="164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386.77</w:t>
            </w:r>
          </w:p>
        </w:tc>
        <w:tc>
          <w:tcPr>
            <w:tcW w:w="200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80"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4356" w:type="dxa"/>
            <w:tcBorders>
              <w:top w:val="nil"/>
              <w:left w:val="nil"/>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1590"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647"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200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76" w:type="dxa"/>
            <w:gridSpan w:val="7"/>
            <w:tcBorders>
              <w:top w:val="nil"/>
              <w:left w:val="nil"/>
              <w:bottom w:val="nil"/>
              <w:right w:val="nil"/>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注：本表反映</w:t>
            </w:r>
            <w:r>
              <w:rPr>
                <w:rFonts w:hint="eastAsia" w:ascii="宋体" w:hAnsi="宋体" w:cs="宋体"/>
                <w:color w:val="000000"/>
                <w:kern w:val="0"/>
                <w:sz w:val="22"/>
                <w:lang w:eastAsia="zh-CN"/>
              </w:rPr>
              <w:t>单位</w:t>
            </w:r>
            <w:r>
              <w:rPr>
                <w:rFonts w:hint="eastAsia" w:ascii="宋体" w:hAnsi="宋体" w:cs="宋体"/>
                <w:color w:val="000000"/>
                <w:kern w:val="0"/>
                <w:sz w:val="22"/>
              </w:rPr>
              <w:t>本年度一般公共预算财政拨款支出情况。本套报表金额单位转换时可能存在尾数误差。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8"/>
        <w:gridCol w:w="3098"/>
        <w:gridCol w:w="952"/>
        <w:gridCol w:w="938"/>
        <w:gridCol w:w="1949"/>
        <w:gridCol w:w="788"/>
        <w:gridCol w:w="844"/>
        <w:gridCol w:w="3354"/>
        <w:gridCol w:w="1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9"/>
            <w:tcBorders>
              <w:top w:val="nil"/>
              <w:left w:val="nil"/>
              <w:bottom w:val="nil"/>
              <w:right w:val="nil"/>
            </w:tcBorders>
            <w:noWrap w:val="0"/>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38" w:type="dxa"/>
            <w:tcBorders>
              <w:top w:val="nil"/>
              <w:left w:val="nil"/>
              <w:bottom w:val="nil"/>
              <w:right w:val="nil"/>
            </w:tcBorders>
            <w:noWrap w:val="0"/>
            <w:vAlign w:val="bottom"/>
          </w:tcPr>
          <w:p>
            <w:pPr>
              <w:rPr>
                <w:rFonts w:hint="eastAsia" w:ascii="Arial" w:hAnsi="Arial" w:cs="Arial"/>
                <w:color w:val="000000"/>
                <w:sz w:val="18"/>
                <w:szCs w:val="18"/>
              </w:rPr>
            </w:pPr>
          </w:p>
        </w:tc>
        <w:tc>
          <w:tcPr>
            <w:tcW w:w="3098" w:type="dxa"/>
            <w:tcBorders>
              <w:top w:val="nil"/>
              <w:left w:val="nil"/>
              <w:bottom w:val="nil"/>
              <w:right w:val="nil"/>
            </w:tcBorders>
            <w:noWrap w:val="0"/>
            <w:vAlign w:val="bottom"/>
          </w:tcPr>
          <w:p>
            <w:pPr>
              <w:rPr>
                <w:rFonts w:ascii="Arial" w:hAnsi="Arial" w:cs="Arial"/>
                <w:color w:val="000000"/>
                <w:sz w:val="18"/>
                <w:szCs w:val="18"/>
              </w:rPr>
            </w:pPr>
          </w:p>
        </w:tc>
        <w:tc>
          <w:tcPr>
            <w:tcW w:w="952" w:type="dxa"/>
            <w:tcBorders>
              <w:top w:val="nil"/>
              <w:left w:val="nil"/>
              <w:bottom w:val="nil"/>
              <w:right w:val="nil"/>
            </w:tcBorders>
            <w:noWrap w:val="0"/>
            <w:vAlign w:val="bottom"/>
          </w:tcPr>
          <w:p>
            <w:pPr>
              <w:rPr>
                <w:rFonts w:ascii="Arial" w:hAnsi="Arial" w:cs="Arial"/>
                <w:color w:val="000000"/>
                <w:sz w:val="18"/>
                <w:szCs w:val="18"/>
              </w:rPr>
            </w:pPr>
          </w:p>
        </w:tc>
        <w:tc>
          <w:tcPr>
            <w:tcW w:w="938" w:type="dxa"/>
            <w:tcBorders>
              <w:top w:val="nil"/>
              <w:left w:val="nil"/>
              <w:bottom w:val="nil"/>
              <w:right w:val="nil"/>
            </w:tcBorders>
            <w:noWrap w:val="0"/>
            <w:vAlign w:val="bottom"/>
          </w:tcPr>
          <w:p>
            <w:pPr>
              <w:rPr>
                <w:rFonts w:ascii="Arial" w:hAnsi="Arial" w:cs="Arial"/>
                <w:color w:val="000000"/>
                <w:sz w:val="18"/>
                <w:szCs w:val="18"/>
              </w:rPr>
            </w:pPr>
          </w:p>
        </w:tc>
        <w:tc>
          <w:tcPr>
            <w:tcW w:w="1949" w:type="dxa"/>
            <w:tcBorders>
              <w:top w:val="nil"/>
              <w:left w:val="nil"/>
              <w:bottom w:val="nil"/>
              <w:right w:val="nil"/>
            </w:tcBorders>
            <w:noWrap w:val="0"/>
            <w:vAlign w:val="bottom"/>
          </w:tcPr>
          <w:p>
            <w:pPr>
              <w:rPr>
                <w:rFonts w:ascii="Arial" w:hAnsi="Arial" w:cs="Arial"/>
                <w:color w:val="000000"/>
                <w:sz w:val="18"/>
                <w:szCs w:val="18"/>
              </w:rPr>
            </w:pPr>
          </w:p>
        </w:tc>
        <w:tc>
          <w:tcPr>
            <w:tcW w:w="788" w:type="dxa"/>
            <w:tcBorders>
              <w:top w:val="nil"/>
              <w:left w:val="nil"/>
              <w:bottom w:val="nil"/>
              <w:right w:val="nil"/>
            </w:tcBorders>
            <w:noWrap w:val="0"/>
            <w:vAlign w:val="bottom"/>
          </w:tcPr>
          <w:p>
            <w:pPr>
              <w:rPr>
                <w:rFonts w:ascii="Arial" w:hAnsi="Arial" w:cs="Arial"/>
                <w:color w:val="000000"/>
                <w:sz w:val="18"/>
                <w:szCs w:val="18"/>
              </w:rPr>
            </w:pPr>
          </w:p>
        </w:tc>
        <w:tc>
          <w:tcPr>
            <w:tcW w:w="844" w:type="dxa"/>
            <w:tcBorders>
              <w:top w:val="nil"/>
              <w:left w:val="nil"/>
              <w:bottom w:val="nil"/>
              <w:right w:val="nil"/>
            </w:tcBorders>
            <w:noWrap w:val="0"/>
            <w:vAlign w:val="bottom"/>
          </w:tcPr>
          <w:p>
            <w:pPr>
              <w:rPr>
                <w:rFonts w:ascii="Arial" w:hAnsi="Arial" w:cs="Arial"/>
                <w:color w:val="000000"/>
                <w:sz w:val="18"/>
                <w:szCs w:val="18"/>
              </w:rPr>
            </w:pPr>
          </w:p>
        </w:tc>
        <w:tc>
          <w:tcPr>
            <w:tcW w:w="4574" w:type="dxa"/>
            <w:gridSpan w:val="2"/>
            <w:tcBorders>
              <w:top w:val="nil"/>
              <w:left w:val="nil"/>
              <w:bottom w:val="nil"/>
              <w:right w:val="nil"/>
            </w:tcBorders>
            <w:noWrap w:val="0"/>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926" w:type="dxa"/>
            <w:gridSpan w:val="4"/>
            <w:tcBorders>
              <w:top w:val="nil"/>
              <w:left w:val="nil"/>
              <w:bottom w:val="nil"/>
              <w:right w:val="nil"/>
            </w:tcBorders>
            <w:noWrap w:val="0"/>
            <w:vAlign w:val="bottom"/>
          </w:tcPr>
          <w:p>
            <w:pPr>
              <w:widowControl/>
              <w:jc w:val="left"/>
              <w:textAlignment w:val="bottom"/>
              <w:rPr>
                <w:rFonts w:hint="eastAsia" w:ascii="宋体" w:hAnsi="宋体" w:cs="宋体"/>
                <w:color w:val="000000"/>
                <w:sz w:val="18"/>
                <w:szCs w:val="18"/>
              </w:rPr>
            </w:pPr>
            <w:r>
              <w:rPr>
                <w:rFonts w:hint="eastAsia" w:ascii="宋体" w:hAnsi="宋体" w:cs="宋体"/>
                <w:color w:val="000000"/>
                <w:kern w:val="0"/>
                <w:sz w:val="18"/>
                <w:szCs w:val="18"/>
                <w:lang w:eastAsia="zh-CN"/>
              </w:rPr>
              <w:t>单位</w:t>
            </w:r>
            <w:r>
              <w:rPr>
                <w:rFonts w:hint="eastAsia" w:ascii="宋体" w:hAnsi="宋体" w:cs="宋体"/>
                <w:color w:val="000000"/>
                <w:kern w:val="0"/>
                <w:sz w:val="18"/>
                <w:szCs w:val="18"/>
              </w:rPr>
              <w:t>：许昌市污水处理费征收中心</w:t>
            </w:r>
          </w:p>
        </w:tc>
        <w:tc>
          <w:tcPr>
            <w:tcW w:w="1949" w:type="dxa"/>
            <w:tcBorders>
              <w:top w:val="nil"/>
              <w:left w:val="nil"/>
              <w:bottom w:val="nil"/>
              <w:right w:val="nil"/>
            </w:tcBorders>
            <w:noWrap w:val="0"/>
            <w:vAlign w:val="bottom"/>
          </w:tcPr>
          <w:p>
            <w:pPr>
              <w:rPr>
                <w:rFonts w:ascii="Arial" w:hAnsi="Arial" w:cs="Arial"/>
                <w:color w:val="000000"/>
                <w:sz w:val="18"/>
                <w:szCs w:val="18"/>
              </w:rPr>
            </w:pPr>
          </w:p>
        </w:tc>
        <w:tc>
          <w:tcPr>
            <w:tcW w:w="788" w:type="dxa"/>
            <w:tcBorders>
              <w:top w:val="nil"/>
              <w:left w:val="nil"/>
              <w:bottom w:val="nil"/>
              <w:right w:val="nil"/>
            </w:tcBorders>
            <w:noWrap w:val="0"/>
            <w:vAlign w:val="bottom"/>
          </w:tcPr>
          <w:p>
            <w:pPr>
              <w:rPr>
                <w:rFonts w:ascii="Arial" w:hAnsi="Arial" w:cs="Arial"/>
                <w:color w:val="000000"/>
                <w:sz w:val="18"/>
                <w:szCs w:val="18"/>
              </w:rPr>
            </w:pPr>
          </w:p>
        </w:tc>
        <w:tc>
          <w:tcPr>
            <w:tcW w:w="844" w:type="dxa"/>
            <w:tcBorders>
              <w:top w:val="nil"/>
              <w:left w:val="nil"/>
              <w:bottom w:val="nil"/>
              <w:right w:val="nil"/>
            </w:tcBorders>
            <w:noWrap w:val="0"/>
            <w:vAlign w:val="bottom"/>
          </w:tcPr>
          <w:p>
            <w:pPr>
              <w:rPr>
                <w:rFonts w:ascii="Arial" w:hAnsi="Arial" w:cs="Arial"/>
                <w:color w:val="000000"/>
                <w:sz w:val="18"/>
                <w:szCs w:val="18"/>
              </w:rPr>
            </w:pPr>
          </w:p>
        </w:tc>
        <w:tc>
          <w:tcPr>
            <w:tcW w:w="4574" w:type="dxa"/>
            <w:gridSpan w:val="2"/>
            <w:tcBorders>
              <w:top w:val="nil"/>
              <w:left w:val="nil"/>
              <w:bottom w:val="nil"/>
              <w:right w:val="nil"/>
            </w:tcBorders>
            <w:noWrap w:val="0"/>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8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人员经费</w:t>
            </w:r>
          </w:p>
        </w:tc>
        <w:tc>
          <w:tcPr>
            <w:tcW w:w="9093" w:type="dxa"/>
            <w:gridSpan w:val="6"/>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dxa"/>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科目编码</w:t>
            </w:r>
          </w:p>
        </w:tc>
        <w:tc>
          <w:tcPr>
            <w:tcW w:w="3098"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科目名称</w:t>
            </w:r>
          </w:p>
        </w:tc>
        <w:tc>
          <w:tcPr>
            <w:tcW w:w="952"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决算数</w:t>
            </w:r>
          </w:p>
        </w:tc>
        <w:tc>
          <w:tcPr>
            <w:tcW w:w="938"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科目编码</w:t>
            </w:r>
          </w:p>
        </w:tc>
        <w:tc>
          <w:tcPr>
            <w:tcW w:w="1949"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科目名称</w:t>
            </w:r>
          </w:p>
        </w:tc>
        <w:tc>
          <w:tcPr>
            <w:tcW w:w="788"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决算数</w:t>
            </w:r>
          </w:p>
        </w:tc>
        <w:tc>
          <w:tcPr>
            <w:tcW w:w="844"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科目编码</w:t>
            </w:r>
          </w:p>
        </w:tc>
        <w:tc>
          <w:tcPr>
            <w:tcW w:w="3354"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科目名称</w:t>
            </w:r>
          </w:p>
        </w:tc>
        <w:tc>
          <w:tcPr>
            <w:tcW w:w="122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309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95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93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94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78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84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335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2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301</w:t>
            </w:r>
          </w:p>
        </w:tc>
        <w:tc>
          <w:tcPr>
            <w:tcW w:w="309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工资福利支出</w:t>
            </w:r>
          </w:p>
        </w:tc>
        <w:tc>
          <w:tcPr>
            <w:tcW w:w="952"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403.53</w:t>
            </w:r>
          </w:p>
        </w:tc>
        <w:tc>
          <w:tcPr>
            <w:tcW w:w="93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w:t>
            </w:r>
          </w:p>
        </w:tc>
        <w:tc>
          <w:tcPr>
            <w:tcW w:w="1949"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商品和服务支出</w:t>
            </w:r>
          </w:p>
        </w:tc>
        <w:tc>
          <w:tcPr>
            <w:tcW w:w="78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24.25</w:t>
            </w:r>
          </w:p>
        </w:tc>
        <w:tc>
          <w:tcPr>
            <w:tcW w:w="844"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307</w:t>
            </w:r>
          </w:p>
        </w:tc>
        <w:tc>
          <w:tcPr>
            <w:tcW w:w="3354"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债务利息及费用支出</w:t>
            </w:r>
          </w:p>
        </w:tc>
        <w:tc>
          <w:tcPr>
            <w:tcW w:w="1220"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30101</w:t>
            </w:r>
          </w:p>
        </w:tc>
        <w:tc>
          <w:tcPr>
            <w:tcW w:w="309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基本工资</w:t>
            </w:r>
          </w:p>
        </w:tc>
        <w:tc>
          <w:tcPr>
            <w:tcW w:w="952"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107.18</w:t>
            </w:r>
          </w:p>
        </w:tc>
        <w:tc>
          <w:tcPr>
            <w:tcW w:w="93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30201</w:t>
            </w:r>
          </w:p>
        </w:tc>
        <w:tc>
          <w:tcPr>
            <w:tcW w:w="1949"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办公费</w:t>
            </w:r>
          </w:p>
        </w:tc>
        <w:tc>
          <w:tcPr>
            <w:tcW w:w="78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6.90</w:t>
            </w:r>
          </w:p>
        </w:tc>
        <w:tc>
          <w:tcPr>
            <w:tcW w:w="844"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30701</w:t>
            </w:r>
          </w:p>
        </w:tc>
        <w:tc>
          <w:tcPr>
            <w:tcW w:w="3354"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国内债务付息</w:t>
            </w:r>
          </w:p>
        </w:tc>
        <w:tc>
          <w:tcPr>
            <w:tcW w:w="1220"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30102</w:t>
            </w:r>
          </w:p>
        </w:tc>
        <w:tc>
          <w:tcPr>
            <w:tcW w:w="309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津贴补贴</w:t>
            </w:r>
          </w:p>
        </w:tc>
        <w:tc>
          <w:tcPr>
            <w:tcW w:w="952"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17.75</w:t>
            </w:r>
          </w:p>
        </w:tc>
        <w:tc>
          <w:tcPr>
            <w:tcW w:w="93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30202</w:t>
            </w:r>
          </w:p>
        </w:tc>
        <w:tc>
          <w:tcPr>
            <w:tcW w:w="1949"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印刷费</w:t>
            </w:r>
          </w:p>
        </w:tc>
        <w:tc>
          <w:tcPr>
            <w:tcW w:w="788"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c>
          <w:tcPr>
            <w:tcW w:w="844"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30702</w:t>
            </w:r>
          </w:p>
        </w:tc>
        <w:tc>
          <w:tcPr>
            <w:tcW w:w="3354"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国外债务付息</w:t>
            </w:r>
          </w:p>
        </w:tc>
        <w:tc>
          <w:tcPr>
            <w:tcW w:w="1220"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30103</w:t>
            </w:r>
          </w:p>
        </w:tc>
        <w:tc>
          <w:tcPr>
            <w:tcW w:w="309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奖金</w:t>
            </w:r>
          </w:p>
        </w:tc>
        <w:tc>
          <w:tcPr>
            <w:tcW w:w="952"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153.14</w:t>
            </w:r>
          </w:p>
        </w:tc>
        <w:tc>
          <w:tcPr>
            <w:tcW w:w="93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30203</w:t>
            </w:r>
          </w:p>
        </w:tc>
        <w:tc>
          <w:tcPr>
            <w:tcW w:w="1949"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咨询费</w:t>
            </w:r>
          </w:p>
        </w:tc>
        <w:tc>
          <w:tcPr>
            <w:tcW w:w="788"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c>
          <w:tcPr>
            <w:tcW w:w="844"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310</w:t>
            </w:r>
          </w:p>
        </w:tc>
        <w:tc>
          <w:tcPr>
            <w:tcW w:w="3354"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资本性支出</w:t>
            </w:r>
          </w:p>
        </w:tc>
        <w:tc>
          <w:tcPr>
            <w:tcW w:w="1220"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30106</w:t>
            </w:r>
          </w:p>
        </w:tc>
        <w:tc>
          <w:tcPr>
            <w:tcW w:w="309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伙食补助费</w:t>
            </w:r>
          </w:p>
        </w:tc>
        <w:tc>
          <w:tcPr>
            <w:tcW w:w="952"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c>
          <w:tcPr>
            <w:tcW w:w="93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30204</w:t>
            </w:r>
          </w:p>
        </w:tc>
        <w:tc>
          <w:tcPr>
            <w:tcW w:w="1949"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手续费</w:t>
            </w:r>
          </w:p>
        </w:tc>
        <w:tc>
          <w:tcPr>
            <w:tcW w:w="788"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c>
          <w:tcPr>
            <w:tcW w:w="844"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31001</w:t>
            </w:r>
          </w:p>
        </w:tc>
        <w:tc>
          <w:tcPr>
            <w:tcW w:w="3354"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房屋建筑物购建</w:t>
            </w:r>
          </w:p>
        </w:tc>
        <w:tc>
          <w:tcPr>
            <w:tcW w:w="1220"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30107</w:t>
            </w:r>
          </w:p>
        </w:tc>
        <w:tc>
          <w:tcPr>
            <w:tcW w:w="309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绩效工资</w:t>
            </w:r>
          </w:p>
        </w:tc>
        <w:tc>
          <w:tcPr>
            <w:tcW w:w="952"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61.17</w:t>
            </w:r>
          </w:p>
        </w:tc>
        <w:tc>
          <w:tcPr>
            <w:tcW w:w="93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30205</w:t>
            </w:r>
          </w:p>
        </w:tc>
        <w:tc>
          <w:tcPr>
            <w:tcW w:w="1949"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水费</w:t>
            </w:r>
          </w:p>
        </w:tc>
        <w:tc>
          <w:tcPr>
            <w:tcW w:w="78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0.09</w:t>
            </w:r>
          </w:p>
        </w:tc>
        <w:tc>
          <w:tcPr>
            <w:tcW w:w="844"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31002</w:t>
            </w:r>
          </w:p>
        </w:tc>
        <w:tc>
          <w:tcPr>
            <w:tcW w:w="3354"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办公设备购置</w:t>
            </w:r>
          </w:p>
        </w:tc>
        <w:tc>
          <w:tcPr>
            <w:tcW w:w="1220"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30108</w:t>
            </w:r>
          </w:p>
        </w:tc>
        <w:tc>
          <w:tcPr>
            <w:tcW w:w="309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机关事业单位基本养老保险缴费</w:t>
            </w:r>
          </w:p>
        </w:tc>
        <w:tc>
          <w:tcPr>
            <w:tcW w:w="952"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26.66</w:t>
            </w:r>
          </w:p>
        </w:tc>
        <w:tc>
          <w:tcPr>
            <w:tcW w:w="93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30206</w:t>
            </w:r>
          </w:p>
        </w:tc>
        <w:tc>
          <w:tcPr>
            <w:tcW w:w="1949"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电费</w:t>
            </w:r>
          </w:p>
        </w:tc>
        <w:tc>
          <w:tcPr>
            <w:tcW w:w="78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1.15</w:t>
            </w:r>
          </w:p>
        </w:tc>
        <w:tc>
          <w:tcPr>
            <w:tcW w:w="844"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31003</w:t>
            </w:r>
          </w:p>
        </w:tc>
        <w:tc>
          <w:tcPr>
            <w:tcW w:w="3354"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专用设备购置</w:t>
            </w:r>
          </w:p>
        </w:tc>
        <w:tc>
          <w:tcPr>
            <w:tcW w:w="1220"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30109</w:t>
            </w:r>
          </w:p>
        </w:tc>
        <w:tc>
          <w:tcPr>
            <w:tcW w:w="309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职业年金缴费</w:t>
            </w:r>
          </w:p>
        </w:tc>
        <w:tc>
          <w:tcPr>
            <w:tcW w:w="952"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c>
          <w:tcPr>
            <w:tcW w:w="93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30207</w:t>
            </w:r>
          </w:p>
        </w:tc>
        <w:tc>
          <w:tcPr>
            <w:tcW w:w="1949"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邮电费</w:t>
            </w:r>
          </w:p>
        </w:tc>
        <w:tc>
          <w:tcPr>
            <w:tcW w:w="78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0.77</w:t>
            </w:r>
          </w:p>
        </w:tc>
        <w:tc>
          <w:tcPr>
            <w:tcW w:w="844"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31005</w:t>
            </w:r>
          </w:p>
        </w:tc>
        <w:tc>
          <w:tcPr>
            <w:tcW w:w="3354"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基础设施建设</w:t>
            </w:r>
          </w:p>
        </w:tc>
        <w:tc>
          <w:tcPr>
            <w:tcW w:w="1220"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30110</w:t>
            </w:r>
          </w:p>
        </w:tc>
        <w:tc>
          <w:tcPr>
            <w:tcW w:w="309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职工基本医疗保险缴费</w:t>
            </w:r>
          </w:p>
        </w:tc>
        <w:tc>
          <w:tcPr>
            <w:tcW w:w="952"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12.23</w:t>
            </w:r>
          </w:p>
        </w:tc>
        <w:tc>
          <w:tcPr>
            <w:tcW w:w="93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30208</w:t>
            </w:r>
          </w:p>
        </w:tc>
        <w:tc>
          <w:tcPr>
            <w:tcW w:w="1949"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取暖费</w:t>
            </w:r>
          </w:p>
        </w:tc>
        <w:tc>
          <w:tcPr>
            <w:tcW w:w="78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0.75</w:t>
            </w:r>
          </w:p>
        </w:tc>
        <w:tc>
          <w:tcPr>
            <w:tcW w:w="844"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31006</w:t>
            </w:r>
          </w:p>
        </w:tc>
        <w:tc>
          <w:tcPr>
            <w:tcW w:w="3354"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大型修缮</w:t>
            </w:r>
          </w:p>
        </w:tc>
        <w:tc>
          <w:tcPr>
            <w:tcW w:w="1220"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30111</w:t>
            </w:r>
          </w:p>
        </w:tc>
        <w:tc>
          <w:tcPr>
            <w:tcW w:w="309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公务员医疗补助缴费</w:t>
            </w:r>
          </w:p>
        </w:tc>
        <w:tc>
          <w:tcPr>
            <w:tcW w:w="952"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c>
          <w:tcPr>
            <w:tcW w:w="93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30209</w:t>
            </w:r>
          </w:p>
        </w:tc>
        <w:tc>
          <w:tcPr>
            <w:tcW w:w="1949"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物业管理费</w:t>
            </w:r>
          </w:p>
        </w:tc>
        <w:tc>
          <w:tcPr>
            <w:tcW w:w="78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1.55</w:t>
            </w:r>
          </w:p>
        </w:tc>
        <w:tc>
          <w:tcPr>
            <w:tcW w:w="844"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31007</w:t>
            </w:r>
          </w:p>
        </w:tc>
        <w:tc>
          <w:tcPr>
            <w:tcW w:w="3354"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信息网络及软件购置更新</w:t>
            </w:r>
          </w:p>
        </w:tc>
        <w:tc>
          <w:tcPr>
            <w:tcW w:w="1220"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30112</w:t>
            </w:r>
          </w:p>
        </w:tc>
        <w:tc>
          <w:tcPr>
            <w:tcW w:w="309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其他社会保障缴费</w:t>
            </w:r>
          </w:p>
        </w:tc>
        <w:tc>
          <w:tcPr>
            <w:tcW w:w="952"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1.86</w:t>
            </w:r>
          </w:p>
        </w:tc>
        <w:tc>
          <w:tcPr>
            <w:tcW w:w="93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30211</w:t>
            </w:r>
          </w:p>
        </w:tc>
        <w:tc>
          <w:tcPr>
            <w:tcW w:w="1949"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差旅费</w:t>
            </w:r>
          </w:p>
        </w:tc>
        <w:tc>
          <w:tcPr>
            <w:tcW w:w="78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0.20</w:t>
            </w:r>
          </w:p>
        </w:tc>
        <w:tc>
          <w:tcPr>
            <w:tcW w:w="844"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31008</w:t>
            </w:r>
          </w:p>
        </w:tc>
        <w:tc>
          <w:tcPr>
            <w:tcW w:w="3354"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物资储备</w:t>
            </w:r>
          </w:p>
        </w:tc>
        <w:tc>
          <w:tcPr>
            <w:tcW w:w="1220"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30113</w:t>
            </w:r>
          </w:p>
        </w:tc>
        <w:tc>
          <w:tcPr>
            <w:tcW w:w="309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住房公积金</w:t>
            </w:r>
          </w:p>
        </w:tc>
        <w:tc>
          <w:tcPr>
            <w:tcW w:w="952"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23.53</w:t>
            </w:r>
          </w:p>
        </w:tc>
        <w:tc>
          <w:tcPr>
            <w:tcW w:w="93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30212</w:t>
            </w:r>
          </w:p>
        </w:tc>
        <w:tc>
          <w:tcPr>
            <w:tcW w:w="1949"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因公出国（境）费用</w:t>
            </w:r>
          </w:p>
        </w:tc>
        <w:tc>
          <w:tcPr>
            <w:tcW w:w="788"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c>
          <w:tcPr>
            <w:tcW w:w="844"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31009</w:t>
            </w:r>
          </w:p>
        </w:tc>
        <w:tc>
          <w:tcPr>
            <w:tcW w:w="3354"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土地补偿</w:t>
            </w:r>
          </w:p>
        </w:tc>
        <w:tc>
          <w:tcPr>
            <w:tcW w:w="1220"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30114</w:t>
            </w:r>
          </w:p>
        </w:tc>
        <w:tc>
          <w:tcPr>
            <w:tcW w:w="309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医疗费</w:t>
            </w:r>
          </w:p>
        </w:tc>
        <w:tc>
          <w:tcPr>
            <w:tcW w:w="952"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c>
          <w:tcPr>
            <w:tcW w:w="93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30213</w:t>
            </w:r>
          </w:p>
        </w:tc>
        <w:tc>
          <w:tcPr>
            <w:tcW w:w="1949"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维修（护）费</w:t>
            </w:r>
          </w:p>
        </w:tc>
        <w:tc>
          <w:tcPr>
            <w:tcW w:w="78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0.68</w:t>
            </w:r>
          </w:p>
        </w:tc>
        <w:tc>
          <w:tcPr>
            <w:tcW w:w="844"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31010</w:t>
            </w:r>
          </w:p>
        </w:tc>
        <w:tc>
          <w:tcPr>
            <w:tcW w:w="3354"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安置补助</w:t>
            </w:r>
          </w:p>
        </w:tc>
        <w:tc>
          <w:tcPr>
            <w:tcW w:w="1220"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30199</w:t>
            </w:r>
          </w:p>
        </w:tc>
        <w:tc>
          <w:tcPr>
            <w:tcW w:w="309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其他工资福利支出</w:t>
            </w:r>
          </w:p>
        </w:tc>
        <w:tc>
          <w:tcPr>
            <w:tcW w:w="952"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c>
          <w:tcPr>
            <w:tcW w:w="93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30214</w:t>
            </w:r>
          </w:p>
        </w:tc>
        <w:tc>
          <w:tcPr>
            <w:tcW w:w="1949"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租赁费</w:t>
            </w:r>
          </w:p>
        </w:tc>
        <w:tc>
          <w:tcPr>
            <w:tcW w:w="78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0.18</w:t>
            </w:r>
          </w:p>
        </w:tc>
        <w:tc>
          <w:tcPr>
            <w:tcW w:w="844"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31011</w:t>
            </w:r>
          </w:p>
        </w:tc>
        <w:tc>
          <w:tcPr>
            <w:tcW w:w="3354"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地上附着物和青苗补偿</w:t>
            </w:r>
          </w:p>
        </w:tc>
        <w:tc>
          <w:tcPr>
            <w:tcW w:w="1220"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303</w:t>
            </w:r>
          </w:p>
        </w:tc>
        <w:tc>
          <w:tcPr>
            <w:tcW w:w="309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对个人和家庭的补助</w:t>
            </w:r>
          </w:p>
        </w:tc>
        <w:tc>
          <w:tcPr>
            <w:tcW w:w="952"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2.52</w:t>
            </w:r>
          </w:p>
        </w:tc>
        <w:tc>
          <w:tcPr>
            <w:tcW w:w="93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30215</w:t>
            </w:r>
          </w:p>
        </w:tc>
        <w:tc>
          <w:tcPr>
            <w:tcW w:w="1949"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会议费</w:t>
            </w:r>
          </w:p>
        </w:tc>
        <w:tc>
          <w:tcPr>
            <w:tcW w:w="788"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c>
          <w:tcPr>
            <w:tcW w:w="844"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31012</w:t>
            </w:r>
          </w:p>
        </w:tc>
        <w:tc>
          <w:tcPr>
            <w:tcW w:w="3354"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拆迁补偿</w:t>
            </w:r>
          </w:p>
        </w:tc>
        <w:tc>
          <w:tcPr>
            <w:tcW w:w="1220"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30301</w:t>
            </w:r>
          </w:p>
        </w:tc>
        <w:tc>
          <w:tcPr>
            <w:tcW w:w="309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离休费</w:t>
            </w:r>
          </w:p>
        </w:tc>
        <w:tc>
          <w:tcPr>
            <w:tcW w:w="952"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c>
          <w:tcPr>
            <w:tcW w:w="93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30216</w:t>
            </w:r>
          </w:p>
        </w:tc>
        <w:tc>
          <w:tcPr>
            <w:tcW w:w="1949"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培训费</w:t>
            </w:r>
          </w:p>
        </w:tc>
        <w:tc>
          <w:tcPr>
            <w:tcW w:w="78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0.58</w:t>
            </w:r>
          </w:p>
        </w:tc>
        <w:tc>
          <w:tcPr>
            <w:tcW w:w="844"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31013</w:t>
            </w:r>
          </w:p>
        </w:tc>
        <w:tc>
          <w:tcPr>
            <w:tcW w:w="3354"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公务用车购置</w:t>
            </w:r>
          </w:p>
        </w:tc>
        <w:tc>
          <w:tcPr>
            <w:tcW w:w="1220"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auto"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30302</w:t>
            </w:r>
          </w:p>
        </w:tc>
        <w:tc>
          <w:tcPr>
            <w:tcW w:w="3098" w:type="dxa"/>
            <w:tcBorders>
              <w:top w:val="nil"/>
              <w:left w:val="nil"/>
              <w:bottom w:val="single" w:color="auto"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退休费</w:t>
            </w:r>
          </w:p>
        </w:tc>
        <w:tc>
          <w:tcPr>
            <w:tcW w:w="952" w:type="dxa"/>
            <w:tcBorders>
              <w:top w:val="nil"/>
              <w:left w:val="nil"/>
              <w:bottom w:val="single" w:color="auto" w:sz="4" w:space="0"/>
              <w:right w:val="single" w:color="000000" w:sz="4" w:space="0"/>
            </w:tcBorders>
            <w:noWrap w:val="0"/>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2.52</w:t>
            </w:r>
          </w:p>
        </w:tc>
        <w:tc>
          <w:tcPr>
            <w:tcW w:w="938" w:type="dxa"/>
            <w:tcBorders>
              <w:top w:val="nil"/>
              <w:left w:val="nil"/>
              <w:bottom w:val="single" w:color="auto"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30217</w:t>
            </w:r>
          </w:p>
        </w:tc>
        <w:tc>
          <w:tcPr>
            <w:tcW w:w="1949" w:type="dxa"/>
            <w:tcBorders>
              <w:top w:val="nil"/>
              <w:left w:val="nil"/>
              <w:bottom w:val="single" w:color="auto"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公务接待费</w:t>
            </w:r>
          </w:p>
        </w:tc>
        <w:tc>
          <w:tcPr>
            <w:tcW w:w="788" w:type="dxa"/>
            <w:tcBorders>
              <w:top w:val="nil"/>
              <w:left w:val="nil"/>
              <w:bottom w:val="single" w:color="auto"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c>
          <w:tcPr>
            <w:tcW w:w="844" w:type="dxa"/>
            <w:tcBorders>
              <w:top w:val="nil"/>
              <w:left w:val="nil"/>
              <w:bottom w:val="single" w:color="auto"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31019</w:t>
            </w:r>
          </w:p>
        </w:tc>
        <w:tc>
          <w:tcPr>
            <w:tcW w:w="3354" w:type="dxa"/>
            <w:tcBorders>
              <w:top w:val="nil"/>
              <w:left w:val="nil"/>
              <w:bottom w:val="single" w:color="auto"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其他交通工具购置</w:t>
            </w:r>
          </w:p>
        </w:tc>
        <w:tc>
          <w:tcPr>
            <w:tcW w:w="1220" w:type="dxa"/>
            <w:tcBorders>
              <w:top w:val="nil"/>
              <w:left w:val="nil"/>
              <w:bottom w:val="single" w:color="auto"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single" w:color="auto" w:sz="4" w:space="0"/>
              <w:left w:val="single" w:color="auto" w:sz="4" w:space="0"/>
              <w:bottom w:val="single" w:color="auto" w:sz="4" w:space="0"/>
              <w:right w:val="single" w:color="auto"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30303</w:t>
            </w:r>
          </w:p>
        </w:tc>
        <w:tc>
          <w:tcPr>
            <w:tcW w:w="3098" w:type="dxa"/>
            <w:tcBorders>
              <w:top w:val="single" w:color="auto" w:sz="4" w:space="0"/>
              <w:left w:val="single" w:color="auto" w:sz="4" w:space="0"/>
              <w:bottom w:val="single" w:color="auto" w:sz="4" w:space="0"/>
              <w:right w:val="single" w:color="auto"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退职（役）费</w:t>
            </w:r>
          </w:p>
        </w:tc>
        <w:tc>
          <w:tcPr>
            <w:tcW w:w="952" w:type="dxa"/>
            <w:tcBorders>
              <w:top w:val="single" w:color="auto" w:sz="4" w:space="0"/>
              <w:left w:val="single" w:color="auto" w:sz="4" w:space="0"/>
              <w:bottom w:val="single" w:color="auto" w:sz="4" w:space="0"/>
              <w:right w:val="single" w:color="auto" w:sz="4" w:space="0"/>
            </w:tcBorders>
            <w:noWrap w:val="0"/>
            <w:vAlign w:val="center"/>
          </w:tcPr>
          <w:p>
            <w:pPr>
              <w:wordWrap/>
              <w:adjustRightInd/>
              <w:snapToGrid/>
              <w:spacing w:line="300" w:lineRule="exact"/>
              <w:jc w:val="right"/>
              <w:rPr>
                <w:rFonts w:hint="eastAsia" w:ascii="宋体" w:hAnsi="宋体" w:cs="宋体"/>
                <w:color w:val="000000"/>
                <w:sz w:val="22"/>
              </w:rPr>
            </w:pPr>
          </w:p>
        </w:tc>
        <w:tc>
          <w:tcPr>
            <w:tcW w:w="938" w:type="dxa"/>
            <w:tcBorders>
              <w:top w:val="single" w:color="auto" w:sz="4" w:space="0"/>
              <w:left w:val="single" w:color="auto" w:sz="4" w:space="0"/>
              <w:bottom w:val="single" w:color="auto" w:sz="4" w:space="0"/>
              <w:right w:val="single" w:color="auto"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30218</w:t>
            </w:r>
          </w:p>
        </w:tc>
        <w:tc>
          <w:tcPr>
            <w:tcW w:w="1949" w:type="dxa"/>
            <w:tcBorders>
              <w:top w:val="single" w:color="auto" w:sz="4" w:space="0"/>
              <w:left w:val="single" w:color="auto" w:sz="4" w:space="0"/>
              <w:bottom w:val="single" w:color="auto" w:sz="4" w:space="0"/>
              <w:right w:val="single" w:color="auto"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专用材料费</w:t>
            </w:r>
          </w:p>
        </w:tc>
        <w:tc>
          <w:tcPr>
            <w:tcW w:w="788" w:type="dxa"/>
            <w:tcBorders>
              <w:top w:val="single" w:color="auto" w:sz="4" w:space="0"/>
              <w:left w:val="single" w:color="auto" w:sz="4" w:space="0"/>
              <w:bottom w:val="single" w:color="auto" w:sz="4" w:space="0"/>
              <w:right w:val="single" w:color="auto" w:sz="4" w:space="0"/>
            </w:tcBorders>
            <w:noWrap w:val="0"/>
            <w:vAlign w:val="center"/>
          </w:tcPr>
          <w:p>
            <w:pPr>
              <w:wordWrap/>
              <w:adjustRightInd/>
              <w:snapToGrid/>
              <w:spacing w:line="300" w:lineRule="exact"/>
              <w:jc w:val="right"/>
              <w:rPr>
                <w:rFonts w:hint="eastAsia" w:ascii="宋体" w:hAnsi="宋体" w:cs="宋体"/>
                <w:color w:val="000000"/>
                <w:sz w:val="22"/>
              </w:rPr>
            </w:pP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31021</w:t>
            </w:r>
          </w:p>
        </w:tc>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文物和陈列品购置</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single" w:color="auto" w:sz="4" w:space="0"/>
              <w:left w:val="single" w:color="000000" w:sz="4" w:space="0"/>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30304</w:t>
            </w:r>
          </w:p>
        </w:tc>
        <w:tc>
          <w:tcPr>
            <w:tcW w:w="3098" w:type="dxa"/>
            <w:tcBorders>
              <w:top w:val="single" w:color="auto" w:sz="4" w:space="0"/>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抚恤金</w:t>
            </w:r>
          </w:p>
        </w:tc>
        <w:tc>
          <w:tcPr>
            <w:tcW w:w="952" w:type="dxa"/>
            <w:tcBorders>
              <w:top w:val="single" w:color="auto" w:sz="4" w:space="0"/>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c>
          <w:tcPr>
            <w:tcW w:w="938" w:type="dxa"/>
            <w:tcBorders>
              <w:top w:val="single" w:color="auto" w:sz="4" w:space="0"/>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30224</w:t>
            </w:r>
          </w:p>
        </w:tc>
        <w:tc>
          <w:tcPr>
            <w:tcW w:w="1949" w:type="dxa"/>
            <w:tcBorders>
              <w:top w:val="single" w:color="auto" w:sz="4" w:space="0"/>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被装购置费</w:t>
            </w:r>
          </w:p>
        </w:tc>
        <w:tc>
          <w:tcPr>
            <w:tcW w:w="788" w:type="dxa"/>
            <w:tcBorders>
              <w:top w:val="single" w:color="auto" w:sz="4" w:space="0"/>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c>
          <w:tcPr>
            <w:tcW w:w="844" w:type="dxa"/>
            <w:tcBorders>
              <w:top w:val="single" w:color="auto" w:sz="4" w:space="0"/>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31022</w:t>
            </w:r>
          </w:p>
        </w:tc>
        <w:tc>
          <w:tcPr>
            <w:tcW w:w="3354" w:type="dxa"/>
            <w:tcBorders>
              <w:top w:val="single" w:color="auto" w:sz="4" w:space="0"/>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无形资产购置</w:t>
            </w:r>
          </w:p>
        </w:tc>
        <w:tc>
          <w:tcPr>
            <w:tcW w:w="1220" w:type="dxa"/>
            <w:tcBorders>
              <w:top w:val="single" w:color="auto" w:sz="4" w:space="0"/>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30305</w:t>
            </w:r>
          </w:p>
        </w:tc>
        <w:tc>
          <w:tcPr>
            <w:tcW w:w="309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生活补助</w:t>
            </w:r>
          </w:p>
        </w:tc>
        <w:tc>
          <w:tcPr>
            <w:tcW w:w="952"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c>
          <w:tcPr>
            <w:tcW w:w="93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30225</w:t>
            </w:r>
          </w:p>
        </w:tc>
        <w:tc>
          <w:tcPr>
            <w:tcW w:w="1949"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专用燃料费</w:t>
            </w:r>
          </w:p>
        </w:tc>
        <w:tc>
          <w:tcPr>
            <w:tcW w:w="788"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c>
          <w:tcPr>
            <w:tcW w:w="844"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31099</w:t>
            </w:r>
          </w:p>
        </w:tc>
        <w:tc>
          <w:tcPr>
            <w:tcW w:w="3354"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其他资本性支出</w:t>
            </w:r>
          </w:p>
        </w:tc>
        <w:tc>
          <w:tcPr>
            <w:tcW w:w="1220"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30306</w:t>
            </w:r>
          </w:p>
        </w:tc>
        <w:tc>
          <w:tcPr>
            <w:tcW w:w="309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救济费</w:t>
            </w:r>
          </w:p>
        </w:tc>
        <w:tc>
          <w:tcPr>
            <w:tcW w:w="952"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c>
          <w:tcPr>
            <w:tcW w:w="93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30226</w:t>
            </w:r>
          </w:p>
        </w:tc>
        <w:tc>
          <w:tcPr>
            <w:tcW w:w="1949"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劳务费</w:t>
            </w:r>
          </w:p>
        </w:tc>
        <w:tc>
          <w:tcPr>
            <w:tcW w:w="788"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c>
          <w:tcPr>
            <w:tcW w:w="844"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399</w:t>
            </w:r>
          </w:p>
        </w:tc>
        <w:tc>
          <w:tcPr>
            <w:tcW w:w="3354"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其他支出</w:t>
            </w:r>
          </w:p>
        </w:tc>
        <w:tc>
          <w:tcPr>
            <w:tcW w:w="1220"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30307</w:t>
            </w:r>
          </w:p>
        </w:tc>
        <w:tc>
          <w:tcPr>
            <w:tcW w:w="309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医疗费补助</w:t>
            </w:r>
          </w:p>
        </w:tc>
        <w:tc>
          <w:tcPr>
            <w:tcW w:w="952"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c>
          <w:tcPr>
            <w:tcW w:w="93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30227</w:t>
            </w:r>
          </w:p>
        </w:tc>
        <w:tc>
          <w:tcPr>
            <w:tcW w:w="1949"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委托业务费</w:t>
            </w:r>
          </w:p>
        </w:tc>
        <w:tc>
          <w:tcPr>
            <w:tcW w:w="78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1.30</w:t>
            </w:r>
          </w:p>
        </w:tc>
        <w:tc>
          <w:tcPr>
            <w:tcW w:w="844"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39906</w:t>
            </w:r>
          </w:p>
        </w:tc>
        <w:tc>
          <w:tcPr>
            <w:tcW w:w="3354"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赠与</w:t>
            </w:r>
          </w:p>
        </w:tc>
        <w:tc>
          <w:tcPr>
            <w:tcW w:w="1220"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30308</w:t>
            </w:r>
          </w:p>
        </w:tc>
        <w:tc>
          <w:tcPr>
            <w:tcW w:w="309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助学金</w:t>
            </w:r>
          </w:p>
        </w:tc>
        <w:tc>
          <w:tcPr>
            <w:tcW w:w="952"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c>
          <w:tcPr>
            <w:tcW w:w="93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30228</w:t>
            </w:r>
          </w:p>
        </w:tc>
        <w:tc>
          <w:tcPr>
            <w:tcW w:w="1949"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工会经费</w:t>
            </w:r>
          </w:p>
        </w:tc>
        <w:tc>
          <w:tcPr>
            <w:tcW w:w="78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2.12</w:t>
            </w:r>
          </w:p>
        </w:tc>
        <w:tc>
          <w:tcPr>
            <w:tcW w:w="844"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39907</w:t>
            </w:r>
          </w:p>
        </w:tc>
        <w:tc>
          <w:tcPr>
            <w:tcW w:w="3354"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国家赔偿费用支出</w:t>
            </w:r>
          </w:p>
        </w:tc>
        <w:tc>
          <w:tcPr>
            <w:tcW w:w="1220"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30309</w:t>
            </w:r>
          </w:p>
        </w:tc>
        <w:tc>
          <w:tcPr>
            <w:tcW w:w="309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奖励金</w:t>
            </w:r>
          </w:p>
        </w:tc>
        <w:tc>
          <w:tcPr>
            <w:tcW w:w="952"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c>
          <w:tcPr>
            <w:tcW w:w="93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30229</w:t>
            </w:r>
          </w:p>
        </w:tc>
        <w:tc>
          <w:tcPr>
            <w:tcW w:w="1949"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福利费</w:t>
            </w:r>
          </w:p>
        </w:tc>
        <w:tc>
          <w:tcPr>
            <w:tcW w:w="78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5.10</w:t>
            </w:r>
          </w:p>
        </w:tc>
        <w:tc>
          <w:tcPr>
            <w:tcW w:w="844"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39908</w:t>
            </w:r>
          </w:p>
        </w:tc>
        <w:tc>
          <w:tcPr>
            <w:tcW w:w="3354"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对民间非营利组织和群众性自治组织补贴</w:t>
            </w:r>
          </w:p>
        </w:tc>
        <w:tc>
          <w:tcPr>
            <w:tcW w:w="1220"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30310</w:t>
            </w:r>
          </w:p>
        </w:tc>
        <w:tc>
          <w:tcPr>
            <w:tcW w:w="309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个人农业生产补贴</w:t>
            </w:r>
          </w:p>
        </w:tc>
        <w:tc>
          <w:tcPr>
            <w:tcW w:w="952"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c>
          <w:tcPr>
            <w:tcW w:w="93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30231</w:t>
            </w:r>
          </w:p>
        </w:tc>
        <w:tc>
          <w:tcPr>
            <w:tcW w:w="1949"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公务用车运行维护费</w:t>
            </w:r>
          </w:p>
        </w:tc>
        <w:tc>
          <w:tcPr>
            <w:tcW w:w="78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1.81</w:t>
            </w:r>
          </w:p>
        </w:tc>
        <w:tc>
          <w:tcPr>
            <w:tcW w:w="844"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39999</w:t>
            </w:r>
          </w:p>
        </w:tc>
        <w:tc>
          <w:tcPr>
            <w:tcW w:w="3354"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其他支出</w:t>
            </w:r>
          </w:p>
        </w:tc>
        <w:tc>
          <w:tcPr>
            <w:tcW w:w="1220"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30311</w:t>
            </w:r>
          </w:p>
        </w:tc>
        <w:tc>
          <w:tcPr>
            <w:tcW w:w="309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代缴社会保险费</w:t>
            </w:r>
          </w:p>
        </w:tc>
        <w:tc>
          <w:tcPr>
            <w:tcW w:w="952"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c>
          <w:tcPr>
            <w:tcW w:w="93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30239</w:t>
            </w:r>
          </w:p>
        </w:tc>
        <w:tc>
          <w:tcPr>
            <w:tcW w:w="1949"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其他交通费用</w:t>
            </w:r>
          </w:p>
        </w:tc>
        <w:tc>
          <w:tcPr>
            <w:tcW w:w="78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1.05</w:t>
            </w:r>
          </w:p>
        </w:tc>
        <w:tc>
          <w:tcPr>
            <w:tcW w:w="844" w:type="dxa"/>
            <w:tcBorders>
              <w:top w:val="nil"/>
              <w:left w:val="nil"/>
              <w:bottom w:val="single" w:color="000000" w:sz="4" w:space="0"/>
              <w:right w:val="single" w:color="000000" w:sz="4" w:space="0"/>
            </w:tcBorders>
            <w:noWrap w:val="0"/>
            <w:vAlign w:val="center"/>
          </w:tcPr>
          <w:p>
            <w:pPr>
              <w:wordWrap/>
              <w:adjustRightInd/>
              <w:snapToGrid/>
              <w:spacing w:line="300" w:lineRule="exact"/>
              <w:jc w:val="left"/>
              <w:rPr>
                <w:rFonts w:hint="eastAsia" w:ascii="宋体" w:hAnsi="宋体" w:cs="宋体"/>
                <w:color w:val="000000"/>
                <w:sz w:val="22"/>
              </w:rPr>
            </w:pPr>
          </w:p>
        </w:tc>
        <w:tc>
          <w:tcPr>
            <w:tcW w:w="3354" w:type="dxa"/>
            <w:tcBorders>
              <w:top w:val="nil"/>
              <w:left w:val="nil"/>
              <w:bottom w:val="single" w:color="000000" w:sz="4" w:space="0"/>
              <w:right w:val="single" w:color="000000" w:sz="4" w:space="0"/>
            </w:tcBorders>
            <w:noWrap w:val="0"/>
            <w:vAlign w:val="center"/>
          </w:tcPr>
          <w:p>
            <w:pPr>
              <w:wordWrap/>
              <w:adjustRightInd/>
              <w:snapToGrid/>
              <w:spacing w:line="300" w:lineRule="exact"/>
              <w:jc w:val="left"/>
              <w:rPr>
                <w:rFonts w:hint="eastAsia" w:ascii="宋体" w:hAnsi="宋体" w:cs="宋体"/>
                <w:color w:val="000000"/>
                <w:sz w:val="22"/>
              </w:rPr>
            </w:pPr>
          </w:p>
        </w:tc>
        <w:tc>
          <w:tcPr>
            <w:tcW w:w="1220"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30399</w:t>
            </w:r>
          </w:p>
        </w:tc>
        <w:tc>
          <w:tcPr>
            <w:tcW w:w="309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其他对个人和家庭的补助</w:t>
            </w:r>
          </w:p>
        </w:tc>
        <w:tc>
          <w:tcPr>
            <w:tcW w:w="952"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c>
          <w:tcPr>
            <w:tcW w:w="93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30240</w:t>
            </w:r>
          </w:p>
        </w:tc>
        <w:tc>
          <w:tcPr>
            <w:tcW w:w="1949"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税金及附加费用</w:t>
            </w:r>
          </w:p>
        </w:tc>
        <w:tc>
          <w:tcPr>
            <w:tcW w:w="788"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c>
          <w:tcPr>
            <w:tcW w:w="844" w:type="dxa"/>
            <w:tcBorders>
              <w:top w:val="nil"/>
              <w:left w:val="nil"/>
              <w:bottom w:val="single" w:color="000000" w:sz="4" w:space="0"/>
              <w:right w:val="single" w:color="000000" w:sz="4" w:space="0"/>
            </w:tcBorders>
            <w:noWrap w:val="0"/>
            <w:vAlign w:val="center"/>
          </w:tcPr>
          <w:p>
            <w:pPr>
              <w:wordWrap/>
              <w:adjustRightInd/>
              <w:snapToGrid/>
              <w:spacing w:line="300" w:lineRule="exact"/>
              <w:jc w:val="left"/>
              <w:rPr>
                <w:rFonts w:hint="eastAsia" w:ascii="宋体" w:hAnsi="宋体" w:cs="宋体"/>
                <w:color w:val="000000"/>
                <w:sz w:val="22"/>
              </w:rPr>
            </w:pPr>
          </w:p>
        </w:tc>
        <w:tc>
          <w:tcPr>
            <w:tcW w:w="3354" w:type="dxa"/>
            <w:tcBorders>
              <w:top w:val="nil"/>
              <w:left w:val="nil"/>
              <w:bottom w:val="single" w:color="000000" w:sz="4" w:space="0"/>
              <w:right w:val="single" w:color="000000" w:sz="4" w:space="0"/>
            </w:tcBorders>
            <w:noWrap w:val="0"/>
            <w:vAlign w:val="center"/>
          </w:tcPr>
          <w:p>
            <w:pPr>
              <w:wordWrap/>
              <w:adjustRightInd/>
              <w:snapToGrid/>
              <w:spacing w:line="300" w:lineRule="exact"/>
              <w:jc w:val="left"/>
              <w:rPr>
                <w:rFonts w:hint="eastAsia" w:ascii="宋体" w:hAnsi="宋体" w:cs="宋体"/>
                <w:color w:val="000000"/>
                <w:sz w:val="22"/>
              </w:rPr>
            </w:pPr>
          </w:p>
        </w:tc>
        <w:tc>
          <w:tcPr>
            <w:tcW w:w="1220"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noWrap w:val="0"/>
            <w:vAlign w:val="center"/>
          </w:tcPr>
          <w:p>
            <w:pPr>
              <w:wordWrap/>
              <w:adjustRightInd/>
              <w:snapToGrid/>
              <w:spacing w:line="300" w:lineRule="exact"/>
              <w:jc w:val="left"/>
              <w:rPr>
                <w:rFonts w:hint="eastAsia" w:ascii="宋体" w:hAnsi="宋体" w:cs="宋体"/>
                <w:color w:val="000000"/>
                <w:sz w:val="22"/>
              </w:rPr>
            </w:pPr>
          </w:p>
        </w:tc>
        <w:tc>
          <w:tcPr>
            <w:tcW w:w="3098" w:type="dxa"/>
            <w:tcBorders>
              <w:top w:val="nil"/>
              <w:left w:val="nil"/>
              <w:bottom w:val="single" w:color="000000" w:sz="4" w:space="0"/>
              <w:right w:val="single" w:color="000000" w:sz="4" w:space="0"/>
            </w:tcBorders>
            <w:noWrap w:val="0"/>
            <w:vAlign w:val="center"/>
          </w:tcPr>
          <w:p>
            <w:pPr>
              <w:wordWrap/>
              <w:adjustRightInd/>
              <w:snapToGrid/>
              <w:spacing w:line="300" w:lineRule="exact"/>
              <w:jc w:val="left"/>
              <w:rPr>
                <w:rFonts w:hint="eastAsia" w:ascii="宋体" w:hAnsi="宋体" w:cs="宋体"/>
                <w:color w:val="000000"/>
                <w:sz w:val="22"/>
              </w:rPr>
            </w:pPr>
          </w:p>
        </w:tc>
        <w:tc>
          <w:tcPr>
            <w:tcW w:w="952"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c>
          <w:tcPr>
            <w:tcW w:w="938"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30299</w:t>
            </w:r>
          </w:p>
        </w:tc>
        <w:tc>
          <w:tcPr>
            <w:tcW w:w="1949"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其他商品和服务支出</w:t>
            </w:r>
          </w:p>
        </w:tc>
        <w:tc>
          <w:tcPr>
            <w:tcW w:w="788"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c>
          <w:tcPr>
            <w:tcW w:w="844" w:type="dxa"/>
            <w:tcBorders>
              <w:top w:val="nil"/>
              <w:left w:val="nil"/>
              <w:bottom w:val="single" w:color="000000" w:sz="4" w:space="0"/>
              <w:right w:val="single" w:color="000000" w:sz="4" w:space="0"/>
            </w:tcBorders>
            <w:noWrap w:val="0"/>
            <w:vAlign w:val="center"/>
          </w:tcPr>
          <w:p>
            <w:pPr>
              <w:wordWrap/>
              <w:adjustRightInd/>
              <w:snapToGrid/>
              <w:spacing w:line="300" w:lineRule="exact"/>
              <w:jc w:val="left"/>
              <w:rPr>
                <w:rFonts w:hint="eastAsia" w:ascii="宋体" w:hAnsi="宋体" w:cs="宋体"/>
                <w:color w:val="000000"/>
                <w:sz w:val="22"/>
              </w:rPr>
            </w:pPr>
          </w:p>
        </w:tc>
        <w:tc>
          <w:tcPr>
            <w:tcW w:w="3354" w:type="dxa"/>
            <w:tcBorders>
              <w:top w:val="nil"/>
              <w:left w:val="nil"/>
              <w:bottom w:val="single" w:color="000000" w:sz="4" w:space="0"/>
              <w:right w:val="single" w:color="000000" w:sz="4" w:space="0"/>
            </w:tcBorders>
            <w:noWrap w:val="0"/>
            <w:vAlign w:val="center"/>
          </w:tcPr>
          <w:p>
            <w:pPr>
              <w:wordWrap/>
              <w:adjustRightInd/>
              <w:snapToGrid/>
              <w:spacing w:line="300" w:lineRule="exact"/>
              <w:jc w:val="left"/>
              <w:rPr>
                <w:rFonts w:hint="eastAsia" w:ascii="宋体" w:hAnsi="宋体" w:cs="宋体"/>
                <w:color w:val="000000"/>
                <w:sz w:val="22"/>
              </w:rPr>
            </w:pPr>
          </w:p>
        </w:tc>
        <w:tc>
          <w:tcPr>
            <w:tcW w:w="1220" w:type="dxa"/>
            <w:tcBorders>
              <w:top w:val="nil"/>
              <w:left w:val="nil"/>
              <w:bottom w:val="single" w:color="000000" w:sz="4" w:space="0"/>
              <w:right w:val="single" w:color="000000" w:sz="4" w:space="0"/>
            </w:tcBorders>
            <w:noWrap w:val="0"/>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6" w:type="dxa"/>
            <w:gridSpan w:val="2"/>
            <w:tcBorders>
              <w:top w:val="nil"/>
              <w:left w:val="single" w:color="000000" w:sz="4" w:space="0"/>
              <w:bottom w:val="single" w:color="000000" w:sz="4" w:space="0"/>
              <w:right w:val="single" w:color="000000" w:sz="4" w:space="0"/>
            </w:tcBorders>
            <w:noWrap w:val="0"/>
            <w:vAlign w:val="center"/>
          </w:tcPr>
          <w:p>
            <w:pPr>
              <w:widowControl/>
              <w:wordWrap/>
              <w:adjustRightInd/>
              <w:snapToGrid/>
              <w:spacing w:line="300" w:lineRule="exact"/>
              <w:jc w:val="center"/>
              <w:textAlignment w:val="center"/>
              <w:rPr>
                <w:rFonts w:hint="eastAsia" w:ascii="宋体" w:hAnsi="宋体" w:cs="宋体"/>
                <w:color w:val="000000"/>
                <w:sz w:val="22"/>
              </w:rPr>
            </w:pPr>
            <w:r>
              <w:rPr>
                <w:rFonts w:hint="eastAsia" w:ascii="宋体" w:hAnsi="宋体" w:cs="宋体"/>
                <w:color w:val="000000"/>
                <w:kern w:val="0"/>
                <w:sz w:val="22"/>
              </w:rPr>
              <w:t>人员经费合计</w:t>
            </w:r>
          </w:p>
        </w:tc>
        <w:tc>
          <w:tcPr>
            <w:tcW w:w="952"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406.05</w:t>
            </w:r>
          </w:p>
        </w:tc>
        <w:tc>
          <w:tcPr>
            <w:tcW w:w="7873" w:type="dxa"/>
            <w:gridSpan w:val="5"/>
            <w:tcBorders>
              <w:top w:val="nil"/>
              <w:left w:val="nil"/>
              <w:bottom w:val="single" w:color="000000" w:sz="4" w:space="0"/>
              <w:right w:val="single" w:color="000000" w:sz="4" w:space="0"/>
            </w:tcBorders>
            <w:noWrap w:val="0"/>
            <w:vAlign w:val="center"/>
          </w:tcPr>
          <w:p>
            <w:pPr>
              <w:widowControl/>
              <w:wordWrap/>
              <w:adjustRightInd/>
              <w:snapToGrid/>
              <w:spacing w:line="300" w:lineRule="exact"/>
              <w:jc w:val="center"/>
              <w:textAlignment w:val="center"/>
              <w:rPr>
                <w:rFonts w:hint="eastAsia" w:ascii="宋体" w:hAnsi="宋体" w:cs="宋体"/>
                <w:color w:val="000000"/>
                <w:sz w:val="22"/>
              </w:rPr>
            </w:pPr>
            <w:r>
              <w:rPr>
                <w:rFonts w:hint="eastAsia" w:ascii="宋体" w:hAnsi="宋体" w:cs="宋体"/>
                <w:color w:val="000000"/>
                <w:kern w:val="0"/>
                <w:sz w:val="22"/>
              </w:rPr>
              <w:t>公用经费合计</w:t>
            </w:r>
          </w:p>
        </w:tc>
        <w:tc>
          <w:tcPr>
            <w:tcW w:w="1220" w:type="dxa"/>
            <w:tcBorders>
              <w:top w:val="nil"/>
              <w:left w:val="nil"/>
              <w:bottom w:val="single" w:color="000000" w:sz="4" w:space="0"/>
              <w:right w:val="single" w:color="000000" w:sz="4" w:space="0"/>
            </w:tcBorders>
            <w:noWrap w:val="0"/>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24.25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9"/>
            <w:tcBorders>
              <w:top w:val="nil"/>
              <w:left w:val="nil"/>
              <w:bottom w:val="nil"/>
              <w:right w:val="nil"/>
            </w:tcBorders>
            <w:noWrap w:val="0"/>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注：本表反映</w:t>
            </w:r>
            <w:r>
              <w:rPr>
                <w:rFonts w:hint="eastAsia" w:ascii="宋体" w:hAnsi="宋体" w:cs="宋体"/>
                <w:color w:val="000000"/>
                <w:kern w:val="0"/>
                <w:sz w:val="22"/>
                <w:lang w:eastAsia="zh-CN"/>
              </w:rPr>
              <w:t>单位</w:t>
            </w:r>
            <w:r>
              <w:rPr>
                <w:rFonts w:hint="eastAsia" w:ascii="宋体" w:hAnsi="宋体" w:cs="宋体"/>
                <w:color w:val="000000"/>
                <w:kern w:val="0"/>
                <w:sz w:val="22"/>
              </w:rPr>
              <w:t>本年度一般公共预算财政拨款基本支出明细情况。本表金额转换为万元时，因四舍五入可能存在尾差。</w:t>
            </w:r>
          </w:p>
        </w:tc>
      </w:tr>
    </w:tbl>
    <w:p>
      <w:pPr>
        <w:wordWrap/>
        <w:adjustRightInd/>
        <w:snapToGrid/>
        <w:spacing w:line="300" w:lineRule="exact"/>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0"/>
        <w:gridCol w:w="1065"/>
        <w:gridCol w:w="1080"/>
        <w:gridCol w:w="1155"/>
        <w:gridCol w:w="1110"/>
        <w:gridCol w:w="1185"/>
        <w:gridCol w:w="1110"/>
        <w:gridCol w:w="1290"/>
        <w:gridCol w:w="1185"/>
        <w:gridCol w:w="1200"/>
        <w:gridCol w:w="1185"/>
        <w:gridCol w:w="1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710" w:type="dxa"/>
            <w:gridSpan w:val="12"/>
            <w:tcBorders>
              <w:top w:val="nil"/>
              <w:left w:val="nil"/>
              <w:bottom w:val="nil"/>
              <w:right w:val="nil"/>
            </w:tcBorders>
            <w:noWrap w:val="0"/>
            <w:vAlign w:val="bottom"/>
          </w:tcPr>
          <w:p>
            <w:pPr>
              <w:widowControl/>
              <w:jc w:val="center"/>
              <w:textAlignment w:val="bottom"/>
              <w:rPr>
                <w:rFonts w:hint="eastAsia" w:ascii="宋体" w:hAnsi="宋体" w:cs="宋体"/>
                <w:color w:val="000000"/>
                <w:sz w:val="44"/>
                <w:szCs w:val="44"/>
              </w:rPr>
            </w:pPr>
            <w:r>
              <w:rPr>
                <w:rFonts w:hint="eastAsia" w:ascii="宋体" w:hAnsi="宋体" w:cs="宋体"/>
                <w:color w:val="000000"/>
                <w:kern w:val="0"/>
                <w:sz w:val="30"/>
                <w:szCs w:val="30"/>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90" w:type="dxa"/>
            <w:tcBorders>
              <w:top w:val="nil"/>
              <w:left w:val="nil"/>
              <w:bottom w:val="nil"/>
              <w:right w:val="nil"/>
            </w:tcBorders>
            <w:noWrap w:val="0"/>
            <w:vAlign w:val="bottom"/>
          </w:tcPr>
          <w:p>
            <w:pPr>
              <w:rPr>
                <w:rFonts w:hint="eastAsia" w:ascii="Arial" w:hAnsi="Arial" w:cs="Arial"/>
                <w:color w:val="000000"/>
                <w:sz w:val="18"/>
                <w:szCs w:val="18"/>
              </w:rPr>
            </w:pPr>
          </w:p>
        </w:tc>
        <w:tc>
          <w:tcPr>
            <w:tcW w:w="1065" w:type="dxa"/>
            <w:tcBorders>
              <w:top w:val="nil"/>
              <w:left w:val="nil"/>
              <w:bottom w:val="nil"/>
              <w:right w:val="nil"/>
            </w:tcBorders>
            <w:noWrap w:val="0"/>
            <w:vAlign w:val="bottom"/>
          </w:tcPr>
          <w:p>
            <w:pPr>
              <w:rPr>
                <w:rFonts w:ascii="Arial" w:hAnsi="Arial" w:cs="Arial"/>
                <w:color w:val="000000"/>
                <w:sz w:val="18"/>
                <w:szCs w:val="18"/>
              </w:rPr>
            </w:pPr>
          </w:p>
        </w:tc>
        <w:tc>
          <w:tcPr>
            <w:tcW w:w="1080" w:type="dxa"/>
            <w:tcBorders>
              <w:top w:val="nil"/>
              <w:left w:val="nil"/>
              <w:bottom w:val="nil"/>
              <w:right w:val="nil"/>
            </w:tcBorders>
            <w:noWrap w:val="0"/>
            <w:vAlign w:val="bottom"/>
          </w:tcPr>
          <w:p>
            <w:pPr>
              <w:rPr>
                <w:rFonts w:ascii="Arial" w:hAnsi="Arial" w:cs="Arial"/>
                <w:color w:val="000000"/>
                <w:sz w:val="18"/>
                <w:szCs w:val="18"/>
              </w:rPr>
            </w:pPr>
          </w:p>
        </w:tc>
        <w:tc>
          <w:tcPr>
            <w:tcW w:w="1155" w:type="dxa"/>
            <w:tcBorders>
              <w:top w:val="nil"/>
              <w:left w:val="nil"/>
              <w:bottom w:val="nil"/>
              <w:right w:val="nil"/>
            </w:tcBorders>
            <w:noWrap w:val="0"/>
            <w:vAlign w:val="bottom"/>
          </w:tcPr>
          <w:p>
            <w:pPr>
              <w:rPr>
                <w:rFonts w:ascii="Arial" w:hAnsi="Arial" w:cs="Arial"/>
                <w:color w:val="000000"/>
                <w:sz w:val="18"/>
                <w:szCs w:val="18"/>
              </w:rPr>
            </w:pPr>
          </w:p>
        </w:tc>
        <w:tc>
          <w:tcPr>
            <w:tcW w:w="1110" w:type="dxa"/>
            <w:tcBorders>
              <w:top w:val="nil"/>
              <w:left w:val="nil"/>
              <w:bottom w:val="nil"/>
              <w:right w:val="nil"/>
            </w:tcBorders>
            <w:noWrap w:val="0"/>
            <w:vAlign w:val="bottom"/>
          </w:tcPr>
          <w:p>
            <w:pPr>
              <w:rPr>
                <w:rFonts w:ascii="Arial" w:hAnsi="Arial" w:cs="Arial"/>
                <w:color w:val="000000"/>
                <w:sz w:val="18"/>
                <w:szCs w:val="18"/>
              </w:rPr>
            </w:pPr>
          </w:p>
        </w:tc>
        <w:tc>
          <w:tcPr>
            <w:tcW w:w="1185" w:type="dxa"/>
            <w:tcBorders>
              <w:top w:val="nil"/>
              <w:left w:val="nil"/>
              <w:bottom w:val="nil"/>
              <w:right w:val="nil"/>
            </w:tcBorders>
            <w:noWrap w:val="0"/>
            <w:vAlign w:val="bottom"/>
          </w:tcPr>
          <w:p>
            <w:pPr>
              <w:rPr>
                <w:rFonts w:ascii="Arial" w:hAnsi="Arial" w:cs="Arial"/>
                <w:color w:val="000000"/>
                <w:sz w:val="18"/>
                <w:szCs w:val="18"/>
              </w:rPr>
            </w:pPr>
          </w:p>
        </w:tc>
        <w:tc>
          <w:tcPr>
            <w:tcW w:w="1110" w:type="dxa"/>
            <w:tcBorders>
              <w:top w:val="nil"/>
              <w:left w:val="nil"/>
              <w:bottom w:val="nil"/>
              <w:right w:val="nil"/>
            </w:tcBorders>
            <w:noWrap w:val="0"/>
            <w:vAlign w:val="bottom"/>
          </w:tcPr>
          <w:p>
            <w:pPr>
              <w:rPr>
                <w:rFonts w:ascii="Arial" w:hAnsi="Arial" w:cs="Arial"/>
                <w:color w:val="000000"/>
                <w:sz w:val="18"/>
                <w:szCs w:val="18"/>
              </w:rPr>
            </w:pPr>
          </w:p>
        </w:tc>
        <w:tc>
          <w:tcPr>
            <w:tcW w:w="1290" w:type="dxa"/>
            <w:tcBorders>
              <w:top w:val="nil"/>
              <w:left w:val="nil"/>
              <w:bottom w:val="nil"/>
              <w:right w:val="nil"/>
            </w:tcBorders>
            <w:noWrap w:val="0"/>
            <w:vAlign w:val="bottom"/>
          </w:tcPr>
          <w:p>
            <w:pPr>
              <w:rPr>
                <w:rFonts w:ascii="Arial" w:hAnsi="Arial" w:cs="Arial"/>
                <w:color w:val="000000"/>
                <w:sz w:val="18"/>
                <w:szCs w:val="18"/>
              </w:rPr>
            </w:pPr>
          </w:p>
        </w:tc>
        <w:tc>
          <w:tcPr>
            <w:tcW w:w="1185" w:type="dxa"/>
            <w:tcBorders>
              <w:top w:val="nil"/>
              <w:left w:val="nil"/>
              <w:bottom w:val="nil"/>
              <w:right w:val="nil"/>
            </w:tcBorders>
            <w:noWrap w:val="0"/>
            <w:vAlign w:val="bottom"/>
          </w:tcPr>
          <w:p>
            <w:pPr>
              <w:rPr>
                <w:rFonts w:ascii="Arial" w:hAnsi="Arial" w:cs="Arial"/>
                <w:color w:val="000000"/>
                <w:sz w:val="18"/>
                <w:szCs w:val="18"/>
              </w:rPr>
            </w:pPr>
          </w:p>
        </w:tc>
        <w:tc>
          <w:tcPr>
            <w:tcW w:w="1200" w:type="dxa"/>
            <w:tcBorders>
              <w:top w:val="nil"/>
              <w:left w:val="nil"/>
              <w:bottom w:val="nil"/>
              <w:right w:val="nil"/>
            </w:tcBorders>
            <w:noWrap w:val="0"/>
            <w:vAlign w:val="bottom"/>
          </w:tcPr>
          <w:p>
            <w:pPr>
              <w:rPr>
                <w:rFonts w:ascii="Arial" w:hAnsi="Arial" w:cs="Arial"/>
                <w:color w:val="000000"/>
                <w:sz w:val="18"/>
                <w:szCs w:val="18"/>
              </w:rPr>
            </w:pPr>
          </w:p>
        </w:tc>
        <w:tc>
          <w:tcPr>
            <w:tcW w:w="2340" w:type="dxa"/>
            <w:gridSpan w:val="2"/>
            <w:tcBorders>
              <w:top w:val="nil"/>
              <w:left w:val="nil"/>
              <w:bottom w:val="nil"/>
              <w:right w:val="nil"/>
            </w:tcBorders>
            <w:noWrap w:val="0"/>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400" w:type="dxa"/>
            <w:gridSpan w:val="5"/>
            <w:tcBorders>
              <w:top w:val="nil"/>
              <w:left w:val="nil"/>
              <w:bottom w:val="nil"/>
              <w:right w:val="nil"/>
            </w:tcBorders>
            <w:noWrap w:val="0"/>
            <w:vAlign w:val="bottom"/>
          </w:tcPr>
          <w:p>
            <w:pPr>
              <w:widowControl/>
              <w:jc w:val="left"/>
              <w:textAlignment w:val="bottom"/>
              <w:rPr>
                <w:rFonts w:hint="eastAsia" w:ascii="宋体" w:hAnsi="宋体" w:cs="宋体"/>
                <w:color w:val="000000"/>
                <w:sz w:val="18"/>
                <w:szCs w:val="18"/>
              </w:rPr>
            </w:pPr>
            <w:r>
              <w:rPr>
                <w:rFonts w:hint="eastAsia" w:ascii="宋体" w:hAnsi="宋体" w:cs="宋体"/>
                <w:color w:val="000000"/>
                <w:kern w:val="0"/>
                <w:sz w:val="18"/>
                <w:szCs w:val="18"/>
                <w:lang w:eastAsia="zh-CN"/>
              </w:rPr>
              <w:t>单位</w:t>
            </w:r>
            <w:r>
              <w:rPr>
                <w:rFonts w:hint="eastAsia" w:ascii="宋体" w:hAnsi="宋体" w:cs="宋体"/>
                <w:color w:val="000000"/>
                <w:kern w:val="0"/>
                <w:sz w:val="18"/>
                <w:szCs w:val="18"/>
              </w:rPr>
              <w:t>：许昌市污水处理费征收中心</w:t>
            </w:r>
          </w:p>
        </w:tc>
        <w:tc>
          <w:tcPr>
            <w:tcW w:w="1185" w:type="dxa"/>
            <w:tcBorders>
              <w:top w:val="nil"/>
              <w:left w:val="nil"/>
              <w:bottom w:val="nil"/>
              <w:right w:val="nil"/>
            </w:tcBorders>
            <w:noWrap w:val="0"/>
            <w:vAlign w:val="bottom"/>
          </w:tcPr>
          <w:p>
            <w:pPr>
              <w:rPr>
                <w:rFonts w:ascii="Arial" w:hAnsi="Arial" w:cs="Arial"/>
                <w:color w:val="000000"/>
                <w:sz w:val="18"/>
                <w:szCs w:val="18"/>
              </w:rPr>
            </w:pPr>
          </w:p>
        </w:tc>
        <w:tc>
          <w:tcPr>
            <w:tcW w:w="1110" w:type="dxa"/>
            <w:tcBorders>
              <w:top w:val="nil"/>
              <w:left w:val="nil"/>
              <w:bottom w:val="nil"/>
              <w:right w:val="nil"/>
            </w:tcBorders>
            <w:noWrap w:val="0"/>
            <w:vAlign w:val="bottom"/>
          </w:tcPr>
          <w:p>
            <w:pPr>
              <w:rPr>
                <w:rFonts w:ascii="Arial" w:hAnsi="Arial" w:cs="Arial"/>
                <w:color w:val="000000"/>
                <w:sz w:val="18"/>
                <w:szCs w:val="18"/>
              </w:rPr>
            </w:pPr>
          </w:p>
        </w:tc>
        <w:tc>
          <w:tcPr>
            <w:tcW w:w="1290" w:type="dxa"/>
            <w:tcBorders>
              <w:top w:val="nil"/>
              <w:left w:val="nil"/>
              <w:bottom w:val="nil"/>
              <w:right w:val="nil"/>
            </w:tcBorders>
            <w:noWrap w:val="0"/>
            <w:vAlign w:val="bottom"/>
          </w:tcPr>
          <w:p>
            <w:pPr>
              <w:rPr>
                <w:rFonts w:ascii="Arial" w:hAnsi="Arial" w:cs="Arial"/>
                <w:color w:val="000000"/>
                <w:sz w:val="18"/>
                <w:szCs w:val="18"/>
              </w:rPr>
            </w:pPr>
          </w:p>
        </w:tc>
        <w:tc>
          <w:tcPr>
            <w:tcW w:w="1185" w:type="dxa"/>
            <w:tcBorders>
              <w:top w:val="nil"/>
              <w:left w:val="nil"/>
              <w:bottom w:val="nil"/>
              <w:right w:val="nil"/>
            </w:tcBorders>
            <w:noWrap w:val="0"/>
            <w:vAlign w:val="bottom"/>
          </w:tcPr>
          <w:p>
            <w:pPr>
              <w:rPr>
                <w:rFonts w:ascii="Arial" w:hAnsi="Arial" w:cs="Arial"/>
                <w:color w:val="000000"/>
                <w:sz w:val="18"/>
                <w:szCs w:val="18"/>
              </w:rPr>
            </w:pPr>
          </w:p>
        </w:tc>
        <w:tc>
          <w:tcPr>
            <w:tcW w:w="1200" w:type="dxa"/>
            <w:tcBorders>
              <w:top w:val="nil"/>
              <w:left w:val="nil"/>
              <w:bottom w:val="nil"/>
              <w:right w:val="nil"/>
            </w:tcBorders>
            <w:noWrap w:val="0"/>
            <w:vAlign w:val="bottom"/>
          </w:tcPr>
          <w:p>
            <w:pPr>
              <w:rPr>
                <w:rFonts w:ascii="Arial" w:hAnsi="Arial" w:cs="Arial"/>
                <w:color w:val="000000"/>
                <w:sz w:val="18"/>
                <w:szCs w:val="18"/>
              </w:rPr>
            </w:pPr>
          </w:p>
        </w:tc>
        <w:tc>
          <w:tcPr>
            <w:tcW w:w="2340" w:type="dxa"/>
            <w:gridSpan w:val="2"/>
            <w:tcBorders>
              <w:top w:val="nil"/>
              <w:left w:val="nil"/>
              <w:bottom w:val="nil"/>
              <w:right w:val="nil"/>
            </w:tcBorders>
            <w:noWrap w:val="0"/>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585"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预算数</w:t>
            </w:r>
          </w:p>
        </w:tc>
        <w:tc>
          <w:tcPr>
            <w:tcW w:w="7125" w:type="dxa"/>
            <w:gridSpan w:val="6"/>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合计</w:t>
            </w:r>
          </w:p>
        </w:tc>
        <w:tc>
          <w:tcPr>
            <w:tcW w:w="1065"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因公出国（境）费</w:t>
            </w:r>
          </w:p>
        </w:tc>
        <w:tc>
          <w:tcPr>
            <w:tcW w:w="3345" w:type="dxa"/>
            <w:gridSpan w:val="3"/>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公务用车购置及运行费</w:t>
            </w:r>
          </w:p>
        </w:tc>
        <w:tc>
          <w:tcPr>
            <w:tcW w:w="1185"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公务接待费</w:t>
            </w:r>
          </w:p>
        </w:tc>
        <w:tc>
          <w:tcPr>
            <w:tcW w:w="111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合计</w:t>
            </w:r>
          </w:p>
        </w:tc>
        <w:tc>
          <w:tcPr>
            <w:tcW w:w="129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因公出国（境）费</w:t>
            </w:r>
          </w:p>
        </w:tc>
        <w:tc>
          <w:tcPr>
            <w:tcW w:w="3570" w:type="dxa"/>
            <w:gridSpan w:val="3"/>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公务用车购置及运行费</w:t>
            </w:r>
          </w:p>
        </w:tc>
        <w:tc>
          <w:tcPr>
            <w:tcW w:w="1155"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06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08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小计</w:t>
            </w:r>
          </w:p>
        </w:tc>
        <w:tc>
          <w:tcPr>
            <w:tcW w:w="1155"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公务用车购置费</w:t>
            </w:r>
          </w:p>
        </w:tc>
        <w:tc>
          <w:tcPr>
            <w:tcW w:w="111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公务用车运行费</w:t>
            </w:r>
          </w:p>
        </w:tc>
        <w:tc>
          <w:tcPr>
            <w:tcW w:w="11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1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29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185"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小计</w:t>
            </w:r>
          </w:p>
        </w:tc>
        <w:tc>
          <w:tcPr>
            <w:tcW w:w="120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公务用车购置费</w:t>
            </w:r>
          </w:p>
        </w:tc>
        <w:tc>
          <w:tcPr>
            <w:tcW w:w="1185"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公务用车运行费</w:t>
            </w:r>
          </w:p>
        </w:tc>
        <w:tc>
          <w:tcPr>
            <w:tcW w:w="11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w:t>
            </w:r>
          </w:p>
        </w:tc>
        <w:tc>
          <w:tcPr>
            <w:tcW w:w="1065"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2</w:t>
            </w:r>
          </w:p>
        </w:tc>
        <w:tc>
          <w:tcPr>
            <w:tcW w:w="108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3</w:t>
            </w:r>
          </w:p>
        </w:tc>
        <w:tc>
          <w:tcPr>
            <w:tcW w:w="1155"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4</w:t>
            </w:r>
          </w:p>
        </w:tc>
        <w:tc>
          <w:tcPr>
            <w:tcW w:w="111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5</w:t>
            </w:r>
          </w:p>
        </w:tc>
        <w:tc>
          <w:tcPr>
            <w:tcW w:w="1185"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6</w:t>
            </w:r>
          </w:p>
        </w:tc>
        <w:tc>
          <w:tcPr>
            <w:tcW w:w="111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7</w:t>
            </w:r>
          </w:p>
        </w:tc>
        <w:tc>
          <w:tcPr>
            <w:tcW w:w="129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8</w:t>
            </w:r>
          </w:p>
        </w:tc>
        <w:tc>
          <w:tcPr>
            <w:tcW w:w="1185"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9</w:t>
            </w:r>
          </w:p>
        </w:tc>
        <w:tc>
          <w:tcPr>
            <w:tcW w:w="120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10</w:t>
            </w:r>
          </w:p>
        </w:tc>
        <w:tc>
          <w:tcPr>
            <w:tcW w:w="1185"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11</w:t>
            </w:r>
          </w:p>
        </w:tc>
        <w:tc>
          <w:tcPr>
            <w:tcW w:w="1155"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w:t>
            </w:r>
            <w:r>
              <w:rPr>
                <w:rFonts w:hint="eastAsia" w:ascii="宋体" w:hAnsi="宋体" w:cs="宋体"/>
                <w:color w:val="000000"/>
                <w:kern w:val="0"/>
                <w:sz w:val="22"/>
                <w:lang w:val="en-US" w:eastAsia="zh-CN"/>
              </w:rPr>
              <w:t>5</w:t>
            </w:r>
            <w:r>
              <w:rPr>
                <w:rFonts w:hint="eastAsia" w:ascii="宋体" w:hAnsi="宋体" w:cs="宋体"/>
                <w:color w:val="000000"/>
                <w:kern w:val="0"/>
                <w:sz w:val="22"/>
              </w:rPr>
              <w:t>0</w:t>
            </w:r>
          </w:p>
        </w:tc>
        <w:tc>
          <w:tcPr>
            <w:tcW w:w="1065"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8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2.00</w:t>
            </w:r>
          </w:p>
        </w:tc>
        <w:tc>
          <w:tcPr>
            <w:tcW w:w="1155" w:type="dxa"/>
            <w:tcBorders>
              <w:top w:val="nil"/>
              <w:left w:val="nil"/>
              <w:bottom w:val="single" w:color="000000" w:sz="4" w:space="0"/>
              <w:right w:val="single" w:color="000000" w:sz="4" w:space="0"/>
            </w:tcBorders>
            <w:noWrap w:val="0"/>
            <w:vAlign w:val="center"/>
          </w:tcPr>
          <w:p>
            <w:pPr>
              <w:jc w:val="right"/>
              <w:rPr>
                <w:rFonts w:hint="default" w:ascii="宋体" w:hAnsi="宋体" w:eastAsia="宋体" w:cs="宋体"/>
                <w:color w:val="000000"/>
                <w:sz w:val="22"/>
                <w:lang w:val="en-US" w:eastAsia="zh-CN"/>
              </w:rPr>
            </w:pPr>
          </w:p>
        </w:tc>
        <w:tc>
          <w:tcPr>
            <w:tcW w:w="111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2.00</w:t>
            </w:r>
          </w:p>
        </w:tc>
        <w:tc>
          <w:tcPr>
            <w:tcW w:w="1185" w:type="dxa"/>
            <w:tcBorders>
              <w:top w:val="nil"/>
              <w:left w:val="nil"/>
              <w:bottom w:val="single" w:color="000000" w:sz="4" w:space="0"/>
              <w:right w:val="single" w:color="000000" w:sz="4" w:space="0"/>
            </w:tcBorders>
            <w:noWrap w:val="0"/>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0.50</w:t>
            </w:r>
          </w:p>
        </w:tc>
        <w:tc>
          <w:tcPr>
            <w:tcW w:w="111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1.81</w:t>
            </w:r>
          </w:p>
        </w:tc>
        <w:tc>
          <w:tcPr>
            <w:tcW w:w="1290"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185"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1.81</w:t>
            </w:r>
          </w:p>
        </w:tc>
        <w:tc>
          <w:tcPr>
            <w:tcW w:w="1200"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185"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1.81</w:t>
            </w:r>
          </w:p>
        </w:tc>
        <w:tc>
          <w:tcPr>
            <w:tcW w:w="1155"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710" w:type="dxa"/>
            <w:gridSpan w:val="12"/>
            <w:tcBorders>
              <w:top w:val="nil"/>
              <w:left w:val="nil"/>
              <w:bottom w:val="nil"/>
              <w:right w:val="nil"/>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注：本表反映</w:t>
            </w:r>
            <w:r>
              <w:rPr>
                <w:rFonts w:hint="eastAsia" w:ascii="宋体" w:hAnsi="宋体" w:cs="宋体"/>
                <w:color w:val="000000"/>
                <w:kern w:val="0"/>
                <w:sz w:val="22"/>
                <w:lang w:eastAsia="zh-CN"/>
              </w:rPr>
              <w:t>单位</w:t>
            </w:r>
            <w:r>
              <w:rPr>
                <w:rFonts w:hint="eastAsia" w:ascii="宋体" w:hAnsi="宋体" w:cs="宋体"/>
                <w:color w:val="000000"/>
                <w:kern w:val="0"/>
                <w:sz w:val="22"/>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0"/>
        <w:gridCol w:w="360"/>
        <w:gridCol w:w="360"/>
        <w:gridCol w:w="1777"/>
        <w:gridCol w:w="1883"/>
        <w:gridCol w:w="1581"/>
        <w:gridCol w:w="1644"/>
        <w:gridCol w:w="1819"/>
        <w:gridCol w:w="1819"/>
        <w:gridCol w:w="18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425" w:type="dxa"/>
            <w:gridSpan w:val="10"/>
            <w:tcBorders>
              <w:top w:val="nil"/>
              <w:left w:val="nil"/>
              <w:bottom w:val="nil"/>
              <w:right w:val="nil"/>
            </w:tcBorders>
            <w:noWrap w:val="0"/>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60" w:type="dxa"/>
            <w:tcBorders>
              <w:top w:val="nil"/>
              <w:left w:val="nil"/>
              <w:bottom w:val="nil"/>
              <w:right w:val="nil"/>
            </w:tcBorders>
            <w:noWrap w:val="0"/>
            <w:vAlign w:val="bottom"/>
          </w:tcPr>
          <w:p>
            <w:pPr>
              <w:rPr>
                <w:rFonts w:hint="eastAsia" w:ascii="Arial" w:hAnsi="Arial" w:cs="Arial"/>
                <w:color w:val="000000"/>
                <w:sz w:val="18"/>
                <w:szCs w:val="18"/>
              </w:rPr>
            </w:pPr>
          </w:p>
        </w:tc>
        <w:tc>
          <w:tcPr>
            <w:tcW w:w="360" w:type="dxa"/>
            <w:tcBorders>
              <w:top w:val="nil"/>
              <w:left w:val="nil"/>
              <w:bottom w:val="nil"/>
              <w:right w:val="nil"/>
            </w:tcBorders>
            <w:noWrap w:val="0"/>
            <w:vAlign w:val="bottom"/>
          </w:tcPr>
          <w:p>
            <w:pPr>
              <w:rPr>
                <w:rFonts w:ascii="Arial" w:hAnsi="Arial" w:cs="Arial"/>
                <w:color w:val="000000"/>
                <w:sz w:val="18"/>
                <w:szCs w:val="18"/>
              </w:rPr>
            </w:pPr>
          </w:p>
        </w:tc>
        <w:tc>
          <w:tcPr>
            <w:tcW w:w="360" w:type="dxa"/>
            <w:tcBorders>
              <w:top w:val="nil"/>
              <w:left w:val="nil"/>
              <w:bottom w:val="nil"/>
              <w:right w:val="nil"/>
            </w:tcBorders>
            <w:noWrap w:val="0"/>
            <w:vAlign w:val="bottom"/>
          </w:tcPr>
          <w:p>
            <w:pPr>
              <w:rPr>
                <w:rFonts w:ascii="Arial" w:hAnsi="Arial" w:cs="Arial"/>
                <w:color w:val="000000"/>
                <w:sz w:val="18"/>
                <w:szCs w:val="18"/>
              </w:rPr>
            </w:pPr>
          </w:p>
        </w:tc>
        <w:tc>
          <w:tcPr>
            <w:tcW w:w="1777" w:type="dxa"/>
            <w:tcBorders>
              <w:top w:val="nil"/>
              <w:left w:val="nil"/>
              <w:bottom w:val="nil"/>
              <w:right w:val="nil"/>
            </w:tcBorders>
            <w:noWrap w:val="0"/>
            <w:vAlign w:val="bottom"/>
          </w:tcPr>
          <w:p>
            <w:pPr>
              <w:rPr>
                <w:rFonts w:ascii="Arial" w:hAnsi="Arial" w:cs="Arial"/>
                <w:color w:val="000000"/>
                <w:sz w:val="18"/>
                <w:szCs w:val="18"/>
              </w:rPr>
            </w:pPr>
          </w:p>
        </w:tc>
        <w:tc>
          <w:tcPr>
            <w:tcW w:w="1883" w:type="dxa"/>
            <w:tcBorders>
              <w:top w:val="nil"/>
              <w:left w:val="nil"/>
              <w:bottom w:val="nil"/>
              <w:right w:val="nil"/>
            </w:tcBorders>
            <w:noWrap w:val="0"/>
            <w:vAlign w:val="bottom"/>
          </w:tcPr>
          <w:p>
            <w:pPr>
              <w:rPr>
                <w:rFonts w:ascii="Arial" w:hAnsi="Arial" w:cs="Arial"/>
                <w:color w:val="000000"/>
                <w:sz w:val="18"/>
                <w:szCs w:val="18"/>
              </w:rPr>
            </w:pPr>
          </w:p>
        </w:tc>
        <w:tc>
          <w:tcPr>
            <w:tcW w:w="1581" w:type="dxa"/>
            <w:tcBorders>
              <w:top w:val="nil"/>
              <w:left w:val="nil"/>
              <w:bottom w:val="nil"/>
              <w:right w:val="nil"/>
            </w:tcBorders>
            <w:noWrap w:val="0"/>
            <w:vAlign w:val="bottom"/>
          </w:tcPr>
          <w:p>
            <w:pPr>
              <w:rPr>
                <w:rFonts w:ascii="Arial" w:hAnsi="Arial" w:cs="Arial"/>
                <w:color w:val="000000"/>
                <w:sz w:val="18"/>
                <w:szCs w:val="18"/>
              </w:rPr>
            </w:pPr>
          </w:p>
        </w:tc>
        <w:tc>
          <w:tcPr>
            <w:tcW w:w="1644" w:type="dxa"/>
            <w:tcBorders>
              <w:top w:val="nil"/>
              <w:left w:val="nil"/>
              <w:bottom w:val="nil"/>
              <w:right w:val="nil"/>
            </w:tcBorders>
            <w:noWrap w:val="0"/>
            <w:vAlign w:val="bottom"/>
          </w:tcPr>
          <w:p>
            <w:pPr>
              <w:rPr>
                <w:rFonts w:ascii="Arial" w:hAnsi="Arial" w:cs="Arial"/>
                <w:color w:val="000000"/>
                <w:sz w:val="18"/>
                <w:szCs w:val="18"/>
              </w:rPr>
            </w:pPr>
          </w:p>
        </w:tc>
        <w:tc>
          <w:tcPr>
            <w:tcW w:w="1819" w:type="dxa"/>
            <w:tcBorders>
              <w:top w:val="nil"/>
              <w:left w:val="nil"/>
              <w:bottom w:val="nil"/>
              <w:right w:val="nil"/>
            </w:tcBorders>
            <w:noWrap w:val="0"/>
            <w:vAlign w:val="bottom"/>
          </w:tcPr>
          <w:p>
            <w:pPr>
              <w:rPr>
                <w:rFonts w:ascii="Arial" w:hAnsi="Arial" w:cs="Arial"/>
                <w:color w:val="000000"/>
                <w:sz w:val="18"/>
                <w:szCs w:val="18"/>
              </w:rPr>
            </w:pPr>
          </w:p>
        </w:tc>
        <w:tc>
          <w:tcPr>
            <w:tcW w:w="3641" w:type="dxa"/>
            <w:gridSpan w:val="2"/>
            <w:tcBorders>
              <w:top w:val="nil"/>
              <w:left w:val="nil"/>
              <w:bottom w:val="nil"/>
              <w:right w:val="nil"/>
            </w:tcBorders>
            <w:noWrap w:val="0"/>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740" w:type="dxa"/>
            <w:gridSpan w:val="5"/>
            <w:tcBorders>
              <w:top w:val="nil"/>
              <w:left w:val="nil"/>
              <w:bottom w:val="nil"/>
              <w:right w:val="nil"/>
            </w:tcBorders>
            <w:noWrap w:val="0"/>
            <w:vAlign w:val="bottom"/>
          </w:tcPr>
          <w:p>
            <w:pPr>
              <w:widowControl/>
              <w:jc w:val="left"/>
              <w:textAlignment w:val="bottom"/>
              <w:rPr>
                <w:rFonts w:hint="eastAsia" w:ascii="宋体" w:hAnsi="宋体" w:cs="宋体"/>
                <w:color w:val="000000"/>
                <w:sz w:val="18"/>
                <w:szCs w:val="18"/>
              </w:rPr>
            </w:pPr>
            <w:r>
              <w:rPr>
                <w:rFonts w:hint="eastAsia" w:ascii="宋体" w:hAnsi="宋体" w:cs="宋体"/>
                <w:color w:val="000000"/>
                <w:kern w:val="0"/>
                <w:sz w:val="18"/>
                <w:szCs w:val="18"/>
                <w:lang w:eastAsia="zh-CN"/>
              </w:rPr>
              <w:t>单位</w:t>
            </w:r>
            <w:r>
              <w:rPr>
                <w:rFonts w:hint="eastAsia" w:ascii="宋体" w:hAnsi="宋体" w:cs="宋体"/>
                <w:color w:val="000000"/>
                <w:kern w:val="0"/>
                <w:sz w:val="18"/>
                <w:szCs w:val="18"/>
              </w:rPr>
              <w:t>：许昌市污水处理费征收中心</w:t>
            </w:r>
          </w:p>
        </w:tc>
        <w:tc>
          <w:tcPr>
            <w:tcW w:w="1581" w:type="dxa"/>
            <w:tcBorders>
              <w:top w:val="nil"/>
              <w:left w:val="nil"/>
              <w:bottom w:val="nil"/>
              <w:right w:val="nil"/>
            </w:tcBorders>
            <w:noWrap w:val="0"/>
            <w:vAlign w:val="bottom"/>
          </w:tcPr>
          <w:p>
            <w:pPr>
              <w:rPr>
                <w:rFonts w:ascii="Arial" w:hAnsi="Arial" w:cs="Arial"/>
                <w:color w:val="000000"/>
                <w:sz w:val="18"/>
                <w:szCs w:val="18"/>
              </w:rPr>
            </w:pPr>
          </w:p>
        </w:tc>
        <w:tc>
          <w:tcPr>
            <w:tcW w:w="1644" w:type="dxa"/>
            <w:tcBorders>
              <w:top w:val="nil"/>
              <w:left w:val="nil"/>
              <w:bottom w:val="nil"/>
              <w:right w:val="nil"/>
            </w:tcBorders>
            <w:noWrap w:val="0"/>
            <w:vAlign w:val="bottom"/>
          </w:tcPr>
          <w:p>
            <w:pPr>
              <w:rPr>
                <w:rFonts w:ascii="Arial" w:hAnsi="Arial" w:cs="Arial"/>
                <w:color w:val="000000"/>
                <w:sz w:val="18"/>
                <w:szCs w:val="18"/>
              </w:rPr>
            </w:pPr>
          </w:p>
        </w:tc>
        <w:tc>
          <w:tcPr>
            <w:tcW w:w="1819" w:type="dxa"/>
            <w:tcBorders>
              <w:top w:val="nil"/>
              <w:left w:val="nil"/>
              <w:bottom w:val="nil"/>
              <w:right w:val="nil"/>
            </w:tcBorders>
            <w:noWrap w:val="0"/>
            <w:vAlign w:val="bottom"/>
          </w:tcPr>
          <w:p>
            <w:pPr>
              <w:rPr>
                <w:rFonts w:ascii="Arial" w:hAnsi="Arial" w:cs="Arial"/>
                <w:color w:val="000000"/>
                <w:sz w:val="18"/>
                <w:szCs w:val="18"/>
              </w:rPr>
            </w:pPr>
          </w:p>
        </w:tc>
        <w:tc>
          <w:tcPr>
            <w:tcW w:w="3641" w:type="dxa"/>
            <w:gridSpan w:val="2"/>
            <w:tcBorders>
              <w:top w:val="nil"/>
              <w:left w:val="nil"/>
              <w:bottom w:val="nil"/>
              <w:right w:val="nil"/>
            </w:tcBorders>
            <w:noWrap w:val="0"/>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5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项目</w:t>
            </w:r>
          </w:p>
        </w:tc>
        <w:tc>
          <w:tcPr>
            <w:tcW w:w="1883"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年初结转和结余</w:t>
            </w:r>
          </w:p>
        </w:tc>
        <w:tc>
          <w:tcPr>
            <w:tcW w:w="1581"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本年收入</w:t>
            </w:r>
          </w:p>
        </w:tc>
        <w:tc>
          <w:tcPr>
            <w:tcW w:w="5282" w:type="dxa"/>
            <w:gridSpan w:val="3"/>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本年支出</w:t>
            </w:r>
          </w:p>
        </w:tc>
        <w:tc>
          <w:tcPr>
            <w:tcW w:w="1822"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080" w:type="dxa"/>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功能分类科目编码</w:t>
            </w:r>
          </w:p>
        </w:tc>
        <w:tc>
          <w:tcPr>
            <w:tcW w:w="1777"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科目名称</w:t>
            </w:r>
          </w:p>
        </w:tc>
        <w:tc>
          <w:tcPr>
            <w:tcW w:w="188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58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644"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小计</w:t>
            </w:r>
          </w:p>
        </w:tc>
        <w:tc>
          <w:tcPr>
            <w:tcW w:w="1819"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基本支出</w:t>
            </w:r>
          </w:p>
        </w:tc>
        <w:tc>
          <w:tcPr>
            <w:tcW w:w="1819"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项目支出</w:t>
            </w:r>
          </w:p>
        </w:tc>
        <w:tc>
          <w:tcPr>
            <w:tcW w:w="18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08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77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88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58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64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81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81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8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08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77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88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58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64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81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81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8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57" w:type="dxa"/>
            <w:gridSpan w:val="4"/>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栏次</w:t>
            </w:r>
          </w:p>
        </w:tc>
        <w:tc>
          <w:tcPr>
            <w:tcW w:w="1883"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w:t>
            </w:r>
          </w:p>
        </w:tc>
        <w:tc>
          <w:tcPr>
            <w:tcW w:w="1581"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2</w:t>
            </w:r>
          </w:p>
        </w:tc>
        <w:tc>
          <w:tcPr>
            <w:tcW w:w="164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3</w:t>
            </w:r>
          </w:p>
        </w:tc>
        <w:tc>
          <w:tcPr>
            <w:tcW w:w="1819"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4</w:t>
            </w:r>
          </w:p>
        </w:tc>
        <w:tc>
          <w:tcPr>
            <w:tcW w:w="1819"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5</w:t>
            </w:r>
          </w:p>
        </w:tc>
        <w:tc>
          <w:tcPr>
            <w:tcW w:w="182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57" w:type="dxa"/>
            <w:gridSpan w:val="4"/>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合计</w:t>
            </w:r>
          </w:p>
        </w:tc>
        <w:tc>
          <w:tcPr>
            <w:tcW w:w="1883" w:type="dxa"/>
            <w:tcBorders>
              <w:top w:val="nil"/>
              <w:left w:val="nil"/>
              <w:bottom w:val="single" w:color="000000" w:sz="4" w:space="0"/>
              <w:right w:val="single" w:color="000000" w:sz="4" w:space="0"/>
            </w:tcBorders>
            <w:noWrap w:val="0"/>
            <w:vAlign w:val="center"/>
          </w:tcPr>
          <w:p>
            <w:pPr>
              <w:jc w:val="right"/>
              <w:rPr>
                <w:rFonts w:hint="eastAsia" w:ascii="宋体" w:hAnsi="宋体" w:cs="宋体"/>
                <w:b/>
                <w:bCs/>
                <w:color w:val="000000"/>
                <w:sz w:val="22"/>
              </w:rPr>
            </w:pPr>
          </w:p>
        </w:tc>
        <w:tc>
          <w:tcPr>
            <w:tcW w:w="1581" w:type="dxa"/>
            <w:tcBorders>
              <w:top w:val="nil"/>
              <w:left w:val="nil"/>
              <w:bottom w:val="single" w:color="000000" w:sz="4" w:space="0"/>
              <w:right w:val="single" w:color="000000" w:sz="4" w:space="0"/>
            </w:tcBorders>
            <w:noWrap w:val="0"/>
            <w:vAlign w:val="center"/>
          </w:tcPr>
          <w:p>
            <w:pPr>
              <w:jc w:val="right"/>
              <w:rPr>
                <w:rFonts w:hint="eastAsia" w:ascii="宋体" w:hAnsi="宋体" w:cs="宋体"/>
                <w:b/>
                <w:bCs/>
                <w:color w:val="000000"/>
                <w:sz w:val="22"/>
              </w:rPr>
            </w:pPr>
          </w:p>
        </w:tc>
        <w:tc>
          <w:tcPr>
            <w:tcW w:w="1644" w:type="dxa"/>
            <w:tcBorders>
              <w:top w:val="nil"/>
              <w:left w:val="nil"/>
              <w:bottom w:val="single" w:color="000000" w:sz="4" w:space="0"/>
              <w:right w:val="single" w:color="000000" w:sz="4" w:space="0"/>
            </w:tcBorders>
            <w:noWrap w:val="0"/>
            <w:vAlign w:val="center"/>
          </w:tcPr>
          <w:p>
            <w:pPr>
              <w:jc w:val="right"/>
              <w:rPr>
                <w:rFonts w:hint="eastAsia" w:ascii="宋体" w:hAnsi="宋体" w:cs="宋体"/>
                <w:b/>
                <w:bCs/>
                <w:color w:val="000000"/>
                <w:sz w:val="22"/>
              </w:rPr>
            </w:pPr>
          </w:p>
        </w:tc>
        <w:tc>
          <w:tcPr>
            <w:tcW w:w="1819" w:type="dxa"/>
            <w:tcBorders>
              <w:top w:val="nil"/>
              <w:left w:val="nil"/>
              <w:bottom w:val="single" w:color="000000" w:sz="4" w:space="0"/>
              <w:right w:val="single" w:color="000000" w:sz="4" w:space="0"/>
            </w:tcBorders>
            <w:noWrap w:val="0"/>
            <w:vAlign w:val="center"/>
          </w:tcPr>
          <w:p>
            <w:pPr>
              <w:jc w:val="right"/>
              <w:rPr>
                <w:rFonts w:hint="eastAsia" w:ascii="宋体" w:hAnsi="宋体" w:cs="宋体"/>
                <w:b/>
                <w:bCs/>
                <w:color w:val="000000"/>
                <w:sz w:val="22"/>
              </w:rPr>
            </w:pPr>
          </w:p>
        </w:tc>
        <w:tc>
          <w:tcPr>
            <w:tcW w:w="1819" w:type="dxa"/>
            <w:tcBorders>
              <w:top w:val="nil"/>
              <w:left w:val="nil"/>
              <w:bottom w:val="single" w:color="000000" w:sz="4" w:space="0"/>
              <w:right w:val="single" w:color="000000" w:sz="4" w:space="0"/>
            </w:tcBorders>
            <w:noWrap w:val="0"/>
            <w:vAlign w:val="center"/>
          </w:tcPr>
          <w:p>
            <w:pPr>
              <w:jc w:val="right"/>
              <w:rPr>
                <w:rFonts w:hint="eastAsia" w:ascii="宋体" w:hAnsi="宋体" w:cs="宋体"/>
                <w:b/>
                <w:bCs/>
                <w:color w:val="000000"/>
                <w:sz w:val="22"/>
              </w:rPr>
            </w:pPr>
          </w:p>
        </w:tc>
        <w:tc>
          <w:tcPr>
            <w:tcW w:w="1822" w:type="dxa"/>
            <w:tcBorders>
              <w:top w:val="nil"/>
              <w:left w:val="nil"/>
              <w:bottom w:val="single" w:color="000000" w:sz="4" w:space="0"/>
              <w:right w:val="single" w:color="000000" w:sz="4" w:space="0"/>
            </w:tcBorders>
            <w:noWrap w:val="0"/>
            <w:vAlign w:val="center"/>
          </w:tcPr>
          <w:p>
            <w:pPr>
              <w:jc w:val="right"/>
              <w:rPr>
                <w:rFonts w:hint="eastAsia" w:ascii="宋体" w:hAnsi="宋体" w:cs="宋体"/>
                <w:b/>
                <w:bCs/>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1777" w:type="dxa"/>
            <w:tcBorders>
              <w:top w:val="nil"/>
              <w:left w:val="nil"/>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188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581"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644"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819"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819"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822"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1777" w:type="dxa"/>
            <w:tcBorders>
              <w:top w:val="nil"/>
              <w:left w:val="nil"/>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188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581"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644"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819"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819"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822"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1777" w:type="dxa"/>
            <w:tcBorders>
              <w:top w:val="nil"/>
              <w:left w:val="nil"/>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1883"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581"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644"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819"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819"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822" w:type="dxa"/>
            <w:tcBorders>
              <w:top w:val="nil"/>
              <w:left w:val="nil"/>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425" w:type="dxa"/>
            <w:gridSpan w:val="10"/>
            <w:tcBorders>
              <w:top w:val="nil"/>
              <w:left w:val="nil"/>
              <w:bottom w:val="nil"/>
              <w:right w:val="nil"/>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注：本表反映</w:t>
            </w:r>
            <w:r>
              <w:rPr>
                <w:rFonts w:hint="eastAsia" w:ascii="宋体" w:hAnsi="宋体" w:cs="宋体"/>
                <w:color w:val="000000"/>
                <w:kern w:val="0"/>
                <w:sz w:val="22"/>
                <w:lang w:eastAsia="zh-CN"/>
              </w:rPr>
              <w:t>单位</w:t>
            </w:r>
            <w:r>
              <w:rPr>
                <w:rFonts w:hint="eastAsia" w:ascii="宋体" w:hAnsi="宋体" w:cs="宋体"/>
                <w:color w:val="000000"/>
                <w:kern w:val="0"/>
                <w:sz w:val="22"/>
              </w:rPr>
              <w:t>本年度政府性基金预算财政拨款收入、支出及结转和结余情况。本表金额转换为万元时，因四舍五入可能存在尾差。</w:t>
            </w:r>
          </w:p>
        </w:tc>
      </w:tr>
    </w:tbl>
    <w:p>
      <w:pPr>
        <w:widowControl/>
        <w:spacing w:line="590" w:lineRule="exact"/>
        <w:jc w:val="left"/>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lang w:val="en-US" w:eastAsia="zh-CN"/>
        </w:rPr>
        <w:t>说明：我单位没有政府性基金收入，也没有使用政府性基金安排的支出，故本表无数据。</w:t>
      </w: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第三部分 2021年度</w:t>
      </w:r>
      <w:r>
        <w:rPr>
          <w:rFonts w:hint="eastAsia" w:ascii="黑体" w:hAnsi="黑体" w:eastAsia="黑体" w:cs="黑体"/>
          <w:sz w:val="48"/>
          <w:szCs w:val="48"/>
          <w:lang w:eastAsia="zh-CN"/>
        </w:rPr>
        <w:t>单位</w:t>
      </w:r>
      <w:r>
        <w:rPr>
          <w:rFonts w:hint="eastAsia" w:ascii="黑体" w:hAnsi="黑体" w:eastAsia="黑体" w:cs="黑体"/>
          <w:sz w:val="48"/>
          <w:szCs w:val="48"/>
        </w:rPr>
        <w:t>决算情况说明</w:t>
      </w:r>
    </w:p>
    <w:p>
      <w:pPr>
        <w:widowControl/>
        <w:jc w:val="left"/>
        <w:rPr>
          <w:rFonts w:hint="eastAsia"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hint="eastAsia"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年度收、支总计均为433.07万元。与上年度相比，收、支总计各增加5.86万元，增长1.37%。主要原因是人员</w:t>
      </w:r>
      <w:r>
        <w:rPr>
          <w:rFonts w:hint="eastAsia" w:ascii="仿宋_GB2312" w:hAnsi="仿宋_GB2312" w:eastAsia="仿宋_GB2312" w:cs="仿宋_GB2312"/>
          <w:sz w:val="32"/>
          <w:szCs w:val="32"/>
          <w:lang w:eastAsia="zh-CN"/>
        </w:rPr>
        <w:t>薪级正常调整</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hint="eastAsia"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入合计397.53万元，其中：财政拨款收入397.53万元，占100%；上级补助收入0.00万元，占0.00%；事业收入0.00万元，占0.00%；经营收入0.00万元，占0.00%；附属单位上缴收入0.00万元，占0.00%；其他收入0.00万元，占0.00%。</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年度支出合计433.07万元，其中：基本支出430.30万元，占</w:t>
      </w:r>
      <w:r>
        <w:rPr>
          <w:rFonts w:hint="eastAsia" w:ascii="仿宋_GB2312" w:hAnsi="仿宋_GB2312" w:eastAsia="仿宋_GB2312" w:cs="仿宋_GB2312"/>
          <w:sz w:val="32"/>
          <w:szCs w:val="32"/>
          <w:lang w:val="en-US" w:eastAsia="zh-CN"/>
        </w:rPr>
        <w:t>99.36</w:t>
      </w:r>
      <w:r>
        <w:rPr>
          <w:rFonts w:hint="eastAsia" w:ascii="仿宋_GB2312" w:hAnsi="仿宋_GB2312" w:eastAsia="仿宋_GB2312" w:cs="仿宋_GB2312"/>
          <w:sz w:val="32"/>
          <w:szCs w:val="32"/>
        </w:rPr>
        <w:t>%；项目支出2.77万元，占</w:t>
      </w:r>
      <w:r>
        <w:rPr>
          <w:rFonts w:hint="eastAsia" w:ascii="仿宋_GB2312" w:hAnsi="仿宋_GB2312" w:eastAsia="仿宋_GB2312" w:cs="仿宋_GB2312"/>
          <w:sz w:val="32"/>
          <w:szCs w:val="32"/>
          <w:lang w:val="en-US" w:eastAsia="zh-CN"/>
        </w:rPr>
        <w:t>0.64</w:t>
      </w:r>
      <w:r>
        <w:rPr>
          <w:rFonts w:hint="eastAsia" w:ascii="仿宋_GB2312" w:hAnsi="仿宋_GB2312" w:eastAsia="仿宋_GB2312" w:cs="仿宋_GB2312"/>
          <w:sz w:val="32"/>
          <w:szCs w:val="32"/>
        </w:rPr>
        <w:t>%；上缴上级支出0.00万元，占0.00%；经营支出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%；对附属单位补助支出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hint="eastAsia"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年度财政拨款收、支总计均为</w:t>
      </w:r>
      <w:r>
        <w:rPr>
          <w:rFonts w:hint="eastAsia" w:ascii="仿宋_GB2312" w:hAnsi="仿宋_GB2312" w:eastAsia="仿宋_GB2312" w:cs="仿宋_GB2312"/>
          <w:sz w:val="32"/>
          <w:szCs w:val="32"/>
          <w:lang w:val="en-US" w:eastAsia="zh-CN"/>
        </w:rPr>
        <w:t>433.07</w:t>
      </w:r>
      <w:r>
        <w:rPr>
          <w:rFonts w:hint="eastAsia" w:ascii="仿宋_GB2312" w:hAnsi="仿宋_GB2312" w:eastAsia="仿宋_GB2312" w:cs="仿宋_GB2312"/>
          <w:sz w:val="32"/>
          <w:szCs w:val="32"/>
        </w:rPr>
        <w:t>万元。与上年度相比，财政拨款收、支总计各增加</w:t>
      </w:r>
      <w:r>
        <w:rPr>
          <w:rFonts w:hint="eastAsia" w:ascii="仿宋_GB2312" w:hAnsi="仿宋_GB2312" w:eastAsia="仿宋_GB2312" w:cs="仿宋_GB2312"/>
          <w:sz w:val="32"/>
          <w:szCs w:val="32"/>
          <w:lang w:val="en-US" w:eastAsia="zh-CN"/>
        </w:rPr>
        <w:t>5.86</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1.37</w:t>
      </w:r>
      <w:r>
        <w:rPr>
          <w:rFonts w:hint="eastAsia" w:ascii="仿宋_GB2312" w:hAnsi="仿宋_GB2312" w:eastAsia="仿宋_GB2312" w:cs="仿宋_GB2312"/>
          <w:sz w:val="32"/>
          <w:szCs w:val="32"/>
        </w:rPr>
        <w:t>%。主要原因是人员</w:t>
      </w:r>
      <w:r>
        <w:rPr>
          <w:rFonts w:hint="eastAsia" w:ascii="仿宋_GB2312" w:hAnsi="仿宋_GB2312" w:eastAsia="仿宋_GB2312" w:cs="仿宋_GB2312"/>
          <w:sz w:val="32"/>
          <w:szCs w:val="32"/>
          <w:lang w:eastAsia="zh-CN"/>
        </w:rPr>
        <w:t>薪级正常调整</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hint="default" w:ascii="仿宋_GB2312" w:hAnsi="仿宋_GB2312" w:eastAsia="仿宋_GB2312" w:cs="仿宋_GB2312"/>
          <w:sz w:val="32"/>
          <w:szCs w:val="32"/>
          <w:lang w:val="en-US" w:eastAsia="zh-CN"/>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w:t>
      </w:r>
      <w:r>
        <w:rPr>
          <w:rFonts w:hint="eastAsia" w:ascii="仿宋_GB2312" w:hAnsi="仿宋_GB2312" w:eastAsia="仿宋_GB2312" w:cs="仿宋_GB2312"/>
          <w:sz w:val="32"/>
          <w:szCs w:val="32"/>
          <w:lang w:val="en-US" w:eastAsia="zh-CN"/>
        </w:rPr>
        <w:t>433.07</w:t>
      </w:r>
      <w:r>
        <w:rPr>
          <w:rFonts w:hint="eastAsia" w:ascii="仿宋_GB2312" w:hAnsi="仿宋_GB2312" w:eastAsia="仿宋_GB2312" w:cs="仿宋_GB2312"/>
          <w:sz w:val="32"/>
          <w:szCs w:val="32"/>
        </w:rPr>
        <w:t>万元，占支出合计的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%。与上年度相比，一般公共预算财政拨款支出增加</w:t>
      </w:r>
      <w:r>
        <w:rPr>
          <w:rFonts w:hint="eastAsia" w:ascii="仿宋_GB2312" w:hAnsi="仿宋_GB2312" w:eastAsia="仿宋_GB2312" w:cs="仿宋_GB2312"/>
          <w:sz w:val="32"/>
          <w:szCs w:val="32"/>
          <w:lang w:val="en-US" w:eastAsia="zh-CN"/>
        </w:rPr>
        <w:t>46.03</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11.89</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val="en-US" w:eastAsia="zh-CN"/>
        </w:rPr>
        <w:t>2021年发放2019年未休假工资及2020年1-9月提标平时考核奖。</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w:t>
      </w:r>
      <w:r>
        <w:rPr>
          <w:rFonts w:hint="eastAsia" w:ascii="仿宋_GB2312" w:hAnsi="仿宋_GB2312" w:eastAsia="仿宋_GB2312" w:cs="仿宋_GB2312"/>
          <w:sz w:val="32"/>
          <w:szCs w:val="32"/>
          <w:lang w:val="en-US" w:eastAsia="zh-CN"/>
        </w:rPr>
        <w:t>433.07</w:t>
      </w:r>
      <w:r>
        <w:rPr>
          <w:rFonts w:hint="eastAsia" w:ascii="仿宋_GB2312" w:hAnsi="仿宋_GB2312" w:eastAsia="仿宋_GB2312" w:cs="仿宋_GB2312"/>
          <w:sz w:val="32"/>
          <w:szCs w:val="32"/>
        </w:rPr>
        <w:t>万元，主要用于以下方面：一般公共服务（类）支出</w:t>
      </w:r>
      <w:r>
        <w:rPr>
          <w:rFonts w:hint="eastAsia" w:ascii="仿宋_GB2312" w:hAnsi="仿宋_GB2312" w:eastAsia="仿宋_GB2312" w:cs="仿宋_GB2312"/>
          <w:sz w:val="32"/>
          <w:szCs w:val="32"/>
          <w:lang w:val="en-US" w:eastAsia="zh-CN"/>
        </w:rPr>
        <w:t>2.12</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0.49</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highlight w:val="none"/>
          <w:lang w:val="en-US" w:eastAsia="zh-CN"/>
        </w:rPr>
        <w:t>社会保障和就业（类）支出29.18万元，占6.74%；卫生健康（类）支出12.23万元，占2.82%；农林水（类）支出389.54万元，占89.95%。</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年度一般公共预算财政拨款支出年初预算为</w:t>
      </w:r>
      <w:r>
        <w:rPr>
          <w:rFonts w:hint="eastAsia" w:ascii="仿宋_GB2312" w:hAnsi="仿宋_GB2312" w:eastAsia="仿宋_GB2312" w:cs="仿宋_GB2312"/>
          <w:sz w:val="32"/>
          <w:szCs w:val="32"/>
          <w:lang w:val="en-US" w:eastAsia="zh-CN"/>
        </w:rPr>
        <w:t>416.63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433.07</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103.95</w:t>
      </w:r>
      <w:r>
        <w:rPr>
          <w:rFonts w:hint="eastAsia" w:ascii="仿宋_GB2312" w:hAnsi="仿宋_GB2312" w:eastAsia="仿宋_GB2312" w:cs="仿宋_GB2312"/>
          <w:sz w:val="32"/>
          <w:szCs w:val="32"/>
        </w:rPr>
        <w:t>%。其中：</w:t>
      </w:r>
    </w:p>
    <w:p>
      <w:pPr>
        <w:widowControl/>
        <w:numPr>
          <w:ilvl w:val="0"/>
          <w:numId w:val="2"/>
        </w:numPr>
        <w:wordWrap/>
        <w:adjustRightInd/>
        <w:snapToGrid/>
        <w:spacing w:line="590" w:lineRule="exact"/>
        <w:ind w:left="-13" w:leftChars="0" w:right="0" w:firstLine="643"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一般公共服务支出（类）群众团体事务（款）工会事务（项）。</w:t>
      </w:r>
      <w:r>
        <w:rPr>
          <w:rFonts w:hint="eastAsia" w:ascii="仿宋_GB2312" w:hAnsi="仿宋_GB2312" w:eastAsia="仿宋_GB2312" w:cs="仿宋_GB2312"/>
          <w:color w:val="auto"/>
          <w:sz w:val="32"/>
          <w:szCs w:val="32"/>
          <w:highlight w:val="none"/>
          <w:lang w:val="en-US" w:eastAsia="zh-CN"/>
        </w:rPr>
        <w:t>年初预算为2.12万元，支出决算为2.12万元，完成年初预算的100%。决算数与预算数不存在差异。</w:t>
      </w:r>
    </w:p>
    <w:p>
      <w:pPr>
        <w:widowControl/>
        <w:numPr>
          <w:ilvl w:val="0"/>
          <w:numId w:val="2"/>
        </w:numPr>
        <w:wordWrap/>
        <w:adjustRightInd/>
        <w:snapToGrid/>
        <w:spacing w:line="590" w:lineRule="exact"/>
        <w:ind w:left="-13" w:leftChars="0" w:right="0" w:firstLine="643"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社会保障和就业支出（类）行政事业单位养老支出（款）事业单位离退休（项）。</w:t>
      </w:r>
      <w:r>
        <w:rPr>
          <w:rFonts w:hint="eastAsia" w:ascii="仿宋_GB2312" w:hAnsi="仿宋_GB2312" w:eastAsia="仿宋_GB2312" w:cs="仿宋_GB2312"/>
          <w:color w:val="auto"/>
          <w:sz w:val="32"/>
          <w:szCs w:val="32"/>
          <w:highlight w:val="none"/>
          <w:lang w:val="en-US" w:eastAsia="zh-CN"/>
        </w:rPr>
        <w:t>年初预算为2.61万元，支出决算为2.52万元，完成年初预算的96.55%。决算数与年初预算数存在差异的主要原因是退休人员文明奖与预算核算标准略有不同。</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年初预算为25.87万元，支出决算为26.66万元，完成年初预算的103.05%。决算数与年初预算数存在差异的主要原因是2021年7月养老保险缴费基数上调。</w:t>
      </w:r>
    </w:p>
    <w:p>
      <w:pPr>
        <w:widowControl/>
        <w:numPr>
          <w:ilvl w:val="0"/>
          <w:numId w:val="0"/>
        </w:numPr>
        <w:wordWrap/>
        <w:adjustRightInd/>
        <w:snapToGrid/>
        <w:spacing w:line="590" w:lineRule="exact"/>
        <w:ind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4．卫生健康支出（类）行政事业单位医疗（款）事业单位医疗（项）。</w:t>
      </w:r>
      <w:r>
        <w:rPr>
          <w:rFonts w:hint="eastAsia" w:ascii="仿宋_GB2312" w:hAnsi="仿宋_GB2312" w:eastAsia="仿宋_GB2312" w:cs="仿宋_GB2312"/>
          <w:color w:val="auto"/>
          <w:sz w:val="32"/>
          <w:szCs w:val="32"/>
          <w:highlight w:val="none"/>
          <w:lang w:val="en-US" w:eastAsia="zh-CN"/>
        </w:rPr>
        <w:t>年初预算为12.48万元，支出决算为12.23万元，完成年初预算的97.80%。决算数与年初预算数存在差异的主要原因是实际缴纳医保上半年基数低于预算核算标准。</w:t>
      </w:r>
    </w:p>
    <w:p>
      <w:pPr>
        <w:widowControl/>
        <w:wordWrap/>
        <w:adjustRightInd/>
        <w:snapToGrid/>
        <w:spacing w:line="590" w:lineRule="exact"/>
        <w:ind w:left="0" w:leftChars="0" w:right="0" w:firstLine="643"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lang w:val="en-US" w:eastAsia="zh-CN"/>
        </w:rPr>
        <w:t>农林水（类）水利（款）水利行业业务管理（项）。</w:t>
      </w:r>
      <w:r>
        <w:rPr>
          <w:rFonts w:hint="eastAsia" w:ascii="仿宋_GB2312" w:hAnsi="仿宋_GB2312" w:eastAsia="仿宋_GB2312" w:cs="仿宋_GB2312"/>
          <w:color w:val="auto"/>
          <w:sz w:val="32"/>
          <w:szCs w:val="32"/>
          <w:highlight w:val="none"/>
          <w:lang w:val="en-US" w:eastAsia="zh-CN"/>
        </w:rPr>
        <w:t>年初预算为</w:t>
      </w:r>
      <w:r>
        <w:rPr>
          <w:rFonts w:hint="eastAsia" w:ascii="仿宋_GB2312" w:hAnsi="仿宋_GB2312" w:eastAsia="仿宋_GB2312" w:cs="仿宋_GB2312"/>
          <w:color w:val="000000"/>
          <w:sz w:val="32"/>
          <w:szCs w:val="32"/>
          <w:highlight w:val="none"/>
          <w:lang w:val="en-US" w:eastAsia="zh-CN"/>
        </w:rPr>
        <w:t>373.55</w:t>
      </w:r>
      <w:r>
        <w:rPr>
          <w:rFonts w:hint="eastAsia" w:ascii="仿宋_GB2312" w:hAnsi="仿宋_GB2312" w:eastAsia="仿宋_GB2312" w:cs="仿宋_GB2312"/>
          <w:color w:val="auto"/>
          <w:sz w:val="32"/>
          <w:szCs w:val="32"/>
          <w:highlight w:val="none"/>
          <w:lang w:val="en-US" w:eastAsia="zh-CN"/>
        </w:rPr>
        <w:t>万元，支出决算为389.54万元，完成年初预算的</w:t>
      </w:r>
      <w:r>
        <w:rPr>
          <w:rFonts w:hint="eastAsia" w:ascii="仿宋_GB2312" w:hAnsi="仿宋_GB2312" w:eastAsia="仿宋_GB2312" w:cs="仿宋_GB2312"/>
          <w:color w:val="000000"/>
          <w:sz w:val="32"/>
          <w:szCs w:val="32"/>
          <w:highlight w:val="none"/>
          <w:lang w:val="en-US" w:eastAsia="zh-CN"/>
        </w:rPr>
        <w:t>104.28%。决算数与年初预算数存在差异的主要原因是</w:t>
      </w:r>
      <w:r>
        <w:rPr>
          <w:rFonts w:hint="eastAsia" w:ascii="仿宋_GB2312" w:hAnsi="仿宋_GB2312" w:eastAsia="仿宋_GB2312" w:cs="仿宋_GB2312"/>
          <w:sz w:val="32"/>
          <w:szCs w:val="32"/>
          <w:lang w:val="en-US" w:eastAsia="zh-CN"/>
        </w:rPr>
        <w:t>2021年发放2019年未休假工资及2020年1-9月提标平时考核奖。</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年度一般公共预算财政拨款基本支出</w:t>
      </w:r>
      <w:r>
        <w:rPr>
          <w:rFonts w:hint="eastAsia" w:ascii="仿宋_GB2312" w:hAnsi="仿宋_GB2312" w:eastAsia="仿宋_GB2312" w:cs="仿宋_GB2312"/>
          <w:sz w:val="32"/>
          <w:szCs w:val="32"/>
          <w:lang w:val="en-US" w:eastAsia="zh-CN"/>
        </w:rPr>
        <w:t>430.30</w:t>
      </w:r>
      <w:r>
        <w:rPr>
          <w:rFonts w:hint="eastAsia" w:ascii="仿宋_GB2312" w:hAnsi="仿宋_GB2312" w:eastAsia="仿宋_GB2312" w:cs="仿宋_GB2312"/>
          <w:sz w:val="32"/>
          <w:szCs w:val="32"/>
        </w:rPr>
        <w:t>万元。其中：人员经费</w:t>
      </w:r>
      <w:r>
        <w:rPr>
          <w:rFonts w:hint="eastAsia" w:ascii="仿宋_GB2312" w:hAnsi="仿宋_GB2312" w:eastAsia="仿宋_GB2312" w:cs="仿宋_GB2312"/>
          <w:sz w:val="32"/>
          <w:szCs w:val="32"/>
          <w:lang w:val="en-US" w:eastAsia="zh-CN"/>
        </w:rPr>
        <w:t>406.05</w:t>
      </w:r>
      <w:r>
        <w:rPr>
          <w:rFonts w:hint="eastAsia" w:ascii="仿宋_GB2312" w:hAnsi="仿宋_GB2312" w:eastAsia="仿宋_GB2312" w:cs="仿宋_GB2312"/>
          <w:sz w:val="32"/>
          <w:szCs w:val="32"/>
        </w:rPr>
        <w:t>万元，主要包括：基本工资、津贴补贴、</w:t>
      </w:r>
      <w:r>
        <w:rPr>
          <w:rFonts w:hint="eastAsia" w:ascii="仿宋_GB2312" w:hAnsi="仿宋_GB2312" w:eastAsia="仿宋_GB2312" w:cs="仿宋_GB2312"/>
          <w:sz w:val="32"/>
          <w:szCs w:val="32"/>
          <w:lang w:eastAsia="zh-CN"/>
        </w:rPr>
        <w:t>奖金、</w:t>
      </w:r>
      <w:r>
        <w:rPr>
          <w:rFonts w:hint="eastAsia" w:ascii="仿宋_GB2312" w:hAnsi="仿宋_GB2312" w:eastAsia="仿宋_GB2312" w:cs="仿宋_GB2312"/>
          <w:sz w:val="32"/>
          <w:szCs w:val="32"/>
        </w:rPr>
        <w:t>绩效工资、机关事业单位基本养老保险缴费、</w:t>
      </w:r>
      <w:r>
        <w:rPr>
          <w:rFonts w:hint="eastAsia" w:ascii="仿宋_GB2312" w:hAnsi="仿宋_GB2312" w:eastAsia="仿宋_GB2312" w:cs="仿宋_GB2312"/>
          <w:color w:val="auto"/>
          <w:sz w:val="32"/>
          <w:szCs w:val="32"/>
          <w:highlight w:val="none"/>
          <w:lang w:val="en-US" w:eastAsia="zh-CN"/>
        </w:rPr>
        <w:t>职工基本医疗保险缴费、</w:t>
      </w:r>
      <w:r>
        <w:rPr>
          <w:rFonts w:hint="eastAsia" w:ascii="仿宋_GB2312" w:hAnsi="仿宋_GB2312" w:eastAsia="仿宋_GB2312" w:cs="仿宋_GB2312"/>
          <w:sz w:val="32"/>
          <w:szCs w:val="32"/>
        </w:rPr>
        <w:t>其他社会保障缴费、退休费、住房公积金；公用经费</w:t>
      </w:r>
      <w:r>
        <w:rPr>
          <w:rFonts w:hint="eastAsia" w:ascii="仿宋_GB2312" w:hAnsi="仿宋_GB2312" w:eastAsia="仿宋_GB2312" w:cs="仿宋_GB2312"/>
          <w:sz w:val="32"/>
          <w:szCs w:val="32"/>
          <w:lang w:val="en-US" w:eastAsia="zh-CN"/>
        </w:rPr>
        <w:t>24.25</w:t>
      </w:r>
      <w:r>
        <w:rPr>
          <w:rFonts w:hint="eastAsia" w:ascii="仿宋_GB2312" w:hAnsi="仿宋_GB2312" w:eastAsia="仿宋_GB2312" w:cs="仿宋_GB2312"/>
          <w:sz w:val="32"/>
          <w:szCs w:val="32"/>
        </w:rPr>
        <w:t>万元，主要包括：办公费、水费、电费、邮电费、取暖费、物业管理费、差旅费、维修（护）费、租赁费、培训费、委托业务费、工会经费、福利费、公务用车运行维护费、其他交通费用。</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年度“三公”经费财政拨款支出预算为</w:t>
      </w:r>
      <w:r>
        <w:rPr>
          <w:rFonts w:hint="eastAsia" w:ascii="仿宋_GB2312" w:hAnsi="仿宋_GB2312" w:eastAsia="仿宋_GB2312" w:cs="仿宋_GB2312"/>
          <w:sz w:val="32"/>
          <w:szCs w:val="32"/>
          <w:lang w:val="en-US" w:eastAsia="zh-CN"/>
        </w:rPr>
        <w:t>2.50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1.81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72.40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年度“三公”经费支出决算数与预算数存在差异的主要原因是</w:t>
      </w:r>
      <w:r>
        <w:rPr>
          <w:rFonts w:hint="eastAsia" w:ascii="仿宋_GB2312" w:hAnsi="仿宋_GB2312" w:eastAsia="仿宋_GB2312" w:cs="仿宋_GB2312"/>
          <w:sz w:val="32"/>
          <w:szCs w:val="32"/>
          <w:highlight w:val="none"/>
        </w:rPr>
        <w:t>严格执行中央八项规定精神，厉行节约压缩三公经费支出</w:t>
      </w:r>
      <w:r>
        <w:rPr>
          <w:rFonts w:hint="eastAsia" w:ascii="仿宋_GB2312" w:hAnsi="仿宋_GB2312" w:eastAsia="仿宋_GB2312" w:cs="仿宋_GB2312"/>
          <w:color w:val="auto"/>
          <w:sz w:val="32"/>
          <w:szCs w:val="32"/>
          <w:highlight w:val="none"/>
          <w:lang w:val="en-US" w:eastAsia="zh-CN"/>
        </w:rPr>
        <w:t>。</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年度“三公”经费财政拨款支出决算中，因公出国（境）费支出决算</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公务用车购置及运行费支出决算</w:t>
      </w:r>
      <w:r>
        <w:rPr>
          <w:rFonts w:hint="eastAsia" w:ascii="仿宋_GB2312" w:hAnsi="仿宋_GB2312" w:eastAsia="仿宋_GB2312" w:cs="仿宋_GB2312"/>
          <w:sz w:val="32"/>
          <w:szCs w:val="32"/>
          <w:lang w:val="en-US" w:eastAsia="zh-CN"/>
        </w:rPr>
        <w:t>1.81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90.50</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%；公务接待费支出决算</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%。具体情况如下：</w:t>
      </w:r>
    </w:p>
    <w:p>
      <w:pPr>
        <w:widowControl/>
        <w:spacing w:line="59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万元。决算数与预算数不存在差异。</w:t>
      </w:r>
      <w:r>
        <w:rPr>
          <w:rFonts w:hint="eastAsia" w:ascii="仿宋_GB2312" w:hAnsi="仿宋_GB2312" w:eastAsia="仿宋_GB2312" w:cs="仿宋_GB2312"/>
          <w:sz w:val="32"/>
          <w:szCs w:val="32"/>
          <w:lang w:eastAsia="zh-CN"/>
        </w:rPr>
        <w:t>全年</w:t>
      </w:r>
      <w:r>
        <w:rPr>
          <w:rFonts w:hint="eastAsia" w:ascii="仿宋_GB2312" w:hAnsi="仿宋_GB2312" w:eastAsia="仿宋_GB2312" w:cs="仿宋_GB2312"/>
          <w:sz w:val="32"/>
          <w:szCs w:val="32"/>
        </w:rPr>
        <w:t>因公出国（境）团组0个，</w:t>
      </w:r>
      <w:r>
        <w:rPr>
          <w:rFonts w:hint="eastAsia" w:ascii="仿宋_GB2312" w:hAnsi="仿宋_GB2312" w:eastAsia="仿宋_GB2312" w:cs="仿宋_GB2312"/>
          <w:sz w:val="32"/>
          <w:szCs w:val="32"/>
          <w:lang w:eastAsia="zh-CN"/>
        </w:rPr>
        <w:t>累计</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2.00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1.81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90.50</w:t>
      </w:r>
      <w:r>
        <w:rPr>
          <w:rFonts w:hint="eastAsia" w:ascii="仿宋_GB2312" w:hAnsi="仿宋_GB2312" w:eastAsia="仿宋_GB2312" w:cs="仿宋_GB2312"/>
          <w:sz w:val="32"/>
          <w:szCs w:val="32"/>
        </w:rPr>
        <w:t>%。决算数与预算数存在差异的主要原因是</w:t>
      </w:r>
      <w:r>
        <w:rPr>
          <w:rFonts w:hint="eastAsia" w:ascii="仿宋_GB2312" w:hAnsi="仿宋_GB2312" w:eastAsia="仿宋_GB2312" w:cs="仿宋_GB2312"/>
          <w:sz w:val="32"/>
          <w:szCs w:val="32"/>
          <w:highlight w:val="none"/>
        </w:rPr>
        <w:t>严格执行中央八项规定精神，厉行节约压缩三公经费支出</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sz w:val="32"/>
          <w:szCs w:val="32"/>
        </w:rPr>
        <w:t>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万元，购置车辆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lang w:val="en-US" w:eastAsia="zh-CN"/>
        </w:rPr>
        <w:t>1.81</w:t>
      </w:r>
      <w:r>
        <w:rPr>
          <w:rFonts w:hint="eastAsia" w:ascii="仿宋_GB2312" w:hAnsi="仿宋_GB2312" w:eastAsia="仿宋_GB2312" w:cs="仿宋_GB2312"/>
          <w:sz w:val="32"/>
          <w:szCs w:val="32"/>
        </w:rPr>
        <w:t>万元。主要用于</w:t>
      </w:r>
      <w:r>
        <w:rPr>
          <w:rFonts w:hint="eastAsia" w:ascii="仿宋_GB2312" w:eastAsia="仿宋_GB2312"/>
          <w:color w:val="000000"/>
          <w:sz w:val="32"/>
          <w:szCs w:val="32"/>
        </w:rPr>
        <w:t>单位公务用车的燃料费、维</w:t>
      </w:r>
      <w:r>
        <w:rPr>
          <w:rFonts w:hint="eastAsia" w:ascii="仿宋_GB2312" w:eastAsia="仿宋_GB2312"/>
          <w:color w:val="000000"/>
          <w:sz w:val="32"/>
          <w:szCs w:val="32"/>
          <w:lang w:eastAsia="zh-CN"/>
        </w:rPr>
        <w:t>修</w:t>
      </w:r>
      <w:r>
        <w:rPr>
          <w:rFonts w:hint="eastAsia" w:ascii="仿宋_GB2312" w:eastAsia="仿宋_GB2312"/>
          <w:color w:val="000000"/>
          <w:sz w:val="32"/>
          <w:szCs w:val="32"/>
        </w:rPr>
        <w:t>费、</w:t>
      </w:r>
      <w:r>
        <w:rPr>
          <w:rFonts w:hint="eastAsia" w:ascii="仿宋_GB2312" w:eastAsia="仿宋_GB2312"/>
          <w:color w:val="000000"/>
          <w:sz w:val="32"/>
          <w:szCs w:val="32"/>
          <w:lang w:eastAsia="zh-CN"/>
        </w:rPr>
        <w:t>车辆检测</w:t>
      </w:r>
      <w:r>
        <w:rPr>
          <w:rFonts w:hint="eastAsia" w:ascii="仿宋_GB2312" w:eastAsia="仿宋_GB2312"/>
          <w:color w:val="000000"/>
          <w:sz w:val="32"/>
          <w:szCs w:val="32"/>
        </w:rPr>
        <w:t>费、保险费等支出</w:t>
      </w:r>
      <w:r>
        <w:rPr>
          <w:rFonts w:hint="eastAsia" w:ascii="仿宋_GB2312" w:hAnsi="仿宋_GB2312" w:eastAsia="仿宋_GB2312" w:cs="仿宋_GB2312"/>
          <w:color w:val="auto"/>
          <w:sz w:val="32"/>
          <w:szCs w:val="32"/>
          <w:highlight w:val="none"/>
          <w:lang w:val="en-US" w:eastAsia="zh-CN"/>
        </w:rPr>
        <w:t>。</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年期末，单位开支财政拨款的公务用车保有量为</w:t>
      </w:r>
      <w:r>
        <w:rPr>
          <w:rFonts w:hint="eastAsia" w:ascii="仿宋_GB2312" w:hAnsi="仿宋_GB2312" w:eastAsia="仿宋_GB2312" w:cs="仿宋_GB2312"/>
          <w:sz w:val="32"/>
          <w:szCs w:val="32"/>
          <w:lang w:val="en-US" w:eastAsia="zh-CN"/>
        </w:rPr>
        <w:t>2辆</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0.50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%。决算数与预算数存在差异的主要原因是</w:t>
      </w:r>
      <w:r>
        <w:rPr>
          <w:rFonts w:hint="eastAsia" w:ascii="仿宋_GB2312" w:hAnsi="仿宋_GB2312" w:eastAsia="仿宋_GB2312" w:cs="仿宋_GB2312"/>
          <w:sz w:val="32"/>
          <w:szCs w:val="32"/>
          <w:highlight w:val="none"/>
        </w:rPr>
        <w:t>严格执行中央八项规定精神，厉行节约压缩</w:t>
      </w:r>
      <w:r>
        <w:rPr>
          <w:rFonts w:hint="eastAsia" w:ascii="仿宋_GB2312" w:hAnsi="仿宋_GB2312" w:eastAsia="仿宋_GB2312" w:cs="仿宋_GB2312"/>
          <w:sz w:val="32"/>
          <w:szCs w:val="32"/>
          <w:highlight w:val="none"/>
          <w:lang w:eastAsia="zh-CN"/>
        </w:rPr>
        <w:t>公务接待</w:t>
      </w:r>
      <w:r>
        <w:rPr>
          <w:rFonts w:hint="eastAsia" w:ascii="仿宋_GB2312" w:hAnsi="仿宋_GB2312" w:eastAsia="仿宋_GB2312" w:cs="仿宋_GB2312"/>
          <w:sz w:val="32"/>
          <w:szCs w:val="32"/>
          <w:highlight w:val="none"/>
        </w:rPr>
        <w:t>经费支出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年共接待国（境）外来访团组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个、来访外宾</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人次（不包括陪同人员）。</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年共接待国内来访团组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个、来宾</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人次（不包括陪同人员）。</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八、政府性基金预算财政拨款支出决算情况说明</w:t>
      </w:r>
    </w:p>
    <w:p>
      <w:pPr>
        <w:widowControl/>
        <w:wordWrap/>
        <w:adjustRightInd/>
        <w:snapToGrid/>
        <w:spacing w:line="590" w:lineRule="exact"/>
        <w:ind w:left="0" w:leftChars="0" w:right="0" w:firstLine="640" w:firstLineChars="200"/>
        <w:jc w:val="both"/>
        <w:textAlignment w:val="auto"/>
        <w:outlineLvl w:val="9"/>
        <w:rPr>
          <w:rFonts w:hint="eastAsia" w:ascii="仿宋_GB2312" w:hAnsi="Times New Roman" w:eastAsia="仿宋_GB2312" w:cs="仿宋_GB2312"/>
          <w:kern w:val="2"/>
          <w:sz w:val="32"/>
          <w:szCs w:val="32"/>
          <w:lang w:val="en-US" w:eastAsia="zh-CN" w:bidi="ar"/>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auto"/>
          <w:sz w:val="32"/>
          <w:szCs w:val="32"/>
          <w:highlight w:val="none"/>
          <w:lang w:val="en-US" w:eastAsia="zh-CN"/>
        </w:rPr>
        <w:t>。不存在</w:t>
      </w:r>
      <w:r>
        <w:rPr>
          <w:rFonts w:hint="default" w:ascii="仿宋_GB2312" w:hAnsi="Times New Roman" w:eastAsia="仿宋_GB2312" w:cs="仿宋_GB2312"/>
          <w:kern w:val="2"/>
          <w:sz w:val="32"/>
          <w:szCs w:val="32"/>
          <w:lang w:val="en-US" w:eastAsia="zh-CN" w:bidi="ar"/>
        </w:rPr>
        <w:t>项目年末结转和结余资金数额较大</w:t>
      </w:r>
      <w:r>
        <w:rPr>
          <w:rFonts w:hint="eastAsia" w:ascii="仿宋_GB2312" w:hAnsi="Times New Roman" w:eastAsia="仿宋_GB2312" w:cs="仿宋_GB2312"/>
          <w:kern w:val="2"/>
          <w:sz w:val="32"/>
          <w:szCs w:val="32"/>
          <w:lang w:val="en-US" w:eastAsia="zh-CN" w:bidi="ar"/>
        </w:rPr>
        <w:t>。</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情况说明：我单位2021年度没有政府性基金收入，也没有使用政府性基金安排的支出。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九、机关运行经费支出情况说明</w:t>
      </w:r>
    </w:p>
    <w:p>
      <w:pPr>
        <w:widowControl/>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十、政府采购支出情况说明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年度政府采购支出总额</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万元、政府采购工程支出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万元、政府采购服务支出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万元。授予中小企业合同金额</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万元，其中：授予小微企业合同金额</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十一、国有资产占用情况说明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年期末，我单位共有车辆</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辆，其中：省级领导干部用车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辆、主要领导干部用车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辆、机要通信用车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辆、应急保障车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辆、离退休干部用车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十二、预算绩效情况说明</w:t>
      </w:r>
    </w:p>
    <w:p>
      <w:pPr>
        <w:widowControl/>
        <w:spacing w:line="360" w:lineRule="auto"/>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highlight w:val="none"/>
        </w:rPr>
        <w:t>单位</w:t>
      </w:r>
      <w:r>
        <w:rPr>
          <w:rFonts w:hint="eastAsia" w:ascii="仿宋_GB2312" w:hAnsi="仿宋_GB2312" w:eastAsia="仿宋_GB2312" w:cs="仿宋_GB2312"/>
          <w:sz w:val="32"/>
          <w:szCs w:val="32"/>
        </w:rPr>
        <w:t>按照《中共许昌市委 许昌市人民政府关于全面实施预算绩效管理的实施意见》（许发〔2021〕13号）文件要求，对本</w:t>
      </w:r>
      <w:r>
        <w:rPr>
          <w:rFonts w:hint="eastAsia" w:ascii="仿宋_GB2312" w:hAnsi="仿宋_GB2312" w:eastAsia="仿宋_GB2312" w:cs="仿宋_GB2312"/>
          <w:sz w:val="32"/>
          <w:szCs w:val="32"/>
          <w:highlight w:val="none"/>
        </w:rPr>
        <w:t>单位</w:t>
      </w:r>
      <w:r>
        <w:rPr>
          <w:rFonts w:hint="eastAsia" w:ascii="仿宋_GB2312" w:hAnsi="仿宋_GB2312" w:eastAsia="仿宋_GB2312" w:cs="仿宋_GB2312"/>
          <w:sz w:val="32"/>
          <w:szCs w:val="32"/>
        </w:rPr>
        <w:t>整体支出和项目支出开展全过程预算绩效管理。</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lang w:val="en-US" w:eastAsia="zh-CN"/>
        </w:rPr>
        <w:t>我单位</w:t>
      </w:r>
      <w:r>
        <w:rPr>
          <w:rFonts w:hint="eastAsia" w:ascii="仿宋_GB2312" w:hAnsi="仿宋_GB2312" w:eastAsia="仿宋_GB2312" w:cs="仿宋_GB2312"/>
          <w:sz w:val="32"/>
          <w:szCs w:val="32"/>
        </w:rPr>
        <w:t>以绩效目标实现为导向，加强组织领导，制定工作方案，认真组织开展绩效工作，按照年度目标任务，逐项落实责任人和完成时间节点。</w:t>
      </w:r>
      <w:r>
        <w:rPr>
          <w:rFonts w:hint="eastAsia" w:ascii="仿宋_GB2312" w:eastAsia="仿宋_GB2312"/>
          <w:sz w:val="32"/>
          <w:szCs w:val="32"/>
        </w:rPr>
        <w:t>对本单位预算绩效监控工作进行明确分工，明确工作要求，整体预算绩效做到日常监控，并对绩效运行监控信息进行收集、审核、分析、填报，分析偏离绩效目标的原因，并及时采取纠偏措施，</w:t>
      </w:r>
      <w:r>
        <w:rPr>
          <w:rFonts w:hint="eastAsia" w:ascii="仿宋_GB2312" w:hAnsi="仿宋_GB2312" w:eastAsia="仿宋_GB2312" w:cs="仿宋_GB2312"/>
          <w:sz w:val="32"/>
          <w:szCs w:val="32"/>
        </w:rPr>
        <w:t>定期对绩效目标完成情况开展自查，及时发现问题并解决问题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将绩效评价结果更好地应用到工作中。</w:t>
      </w:r>
    </w:p>
    <w:p>
      <w:pPr>
        <w:widowControl/>
        <w:spacing w:line="360" w:lineRule="auto"/>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（二）单位整体和项目绩效自评结果。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按照《许昌市财政局关于开展2021年度市级预算绩效自评工作的通知》（许财效〔</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号）等文件精神，我</w:t>
      </w:r>
      <w:r>
        <w:rPr>
          <w:rFonts w:hint="eastAsia" w:ascii="仿宋_GB2312" w:hAnsi="仿宋_GB2312" w:eastAsia="仿宋_GB2312" w:cs="仿宋_GB2312"/>
          <w:sz w:val="32"/>
          <w:szCs w:val="32"/>
          <w:highlight w:val="none"/>
        </w:rPr>
        <w:t>单位</w:t>
      </w:r>
      <w:r>
        <w:rPr>
          <w:rFonts w:hint="eastAsia" w:ascii="仿宋_GB2312" w:hAnsi="仿宋_GB2312" w:eastAsia="仿宋_GB2312" w:cs="仿宋_GB2312"/>
          <w:sz w:val="32"/>
          <w:szCs w:val="32"/>
        </w:rPr>
        <w:t>对本</w:t>
      </w:r>
      <w:r>
        <w:rPr>
          <w:rFonts w:hint="eastAsia" w:ascii="仿宋_GB2312" w:hAnsi="仿宋_GB2312" w:eastAsia="仿宋_GB2312" w:cs="仿宋_GB2312"/>
          <w:sz w:val="32"/>
          <w:szCs w:val="32"/>
          <w:highlight w:val="none"/>
        </w:rPr>
        <w:t>单位</w:t>
      </w:r>
      <w:r>
        <w:rPr>
          <w:rFonts w:hint="eastAsia" w:ascii="仿宋_GB2312" w:hAnsi="仿宋_GB2312" w:eastAsia="仿宋_GB2312" w:cs="仿宋_GB2312"/>
          <w:sz w:val="32"/>
          <w:szCs w:val="32"/>
        </w:rPr>
        <w:t>整体绩效目标和项目支出绩效目标进行了自评。</w:t>
      </w:r>
      <w:r>
        <w:rPr>
          <w:rFonts w:hint="eastAsia" w:ascii="仿宋_GB2312" w:hAnsi="仿宋_GB2312" w:eastAsia="仿宋_GB2312" w:cs="仿宋_GB2312"/>
          <w:color w:val="auto"/>
          <w:sz w:val="32"/>
          <w:szCs w:val="32"/>
          <w:highlight w:val="none"/>
          <w:lang w:val="en-US" w:eastAsia="zh-CN"/>
        </w:rPr>
        <w:t>一是</w:t>
      </w:r>
      <w:r>
        <w:rPr>
          <w:rFonts w:hint="eastAsia" w:ascii="仿宋_GB2312" w:hAnsi="仿宋_GB2312" w:eastAsia="仿宋_GB2312" w:cs="仿宋_GB2312"/>
          <w:sz w:val="32"/>
          <w:szCs w:val="32"/>
          <w:highlight w:val="none"/>
        </w:rPr>
        <w:t>单位</w:t>
      </w:r>
      <w:r>
        <w:rPr>
          <w:rFonts w:hint="eastAsia" w:ascii="仿宋_GB2312" w:hAnsi="仿宋_GB2312" w:eastAsia="仿宋_GB2312" w:cs="仿宋_GB2312"/>
          <w:color w:val="auto"/>
          <w:sz w:val="32"/>
          <w:szCs w:val="32"/>
          <w:highlight w:val="none"/>
          <w:lang w:val="en-US" w:eastAsia="zh-CN"/>
        </w:rPr>
        <w:t>整体绩效自评情况。</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年度严格执行年初预算，资金使用及管理规范，制度落实到位，绩效考核目标任务圆满完成，</w:t>
      </w:r>
      <w:r>
        <w:rPr>
          <w:rFonts w:hint="eastAsia" w:ascii="仿宋_GB2312" w:hAnsi="仿宋_GB2312" w:eastAsia="仿宋_GB2312" w:cs="仿宋_GB2312"/>
          <w:color w:val="auto"/>
          <w:sz w:val="32"/>
          <w:szCs w:val="32"/>
          <w:highlight w:val="none"/>
          <w:lang w:val="en-US" w:eastAsia="zh-CN"/>
        </w:rPr>
        <w:t>顺利完成城市规划区内污水处理费的征收、城镇污水排入排水管网许可证的办理、城市污水处理费征收、排水许可管理法律法规进行宣传、对移交立案材料进行审核、符合条件的按照程序办理等年度主要任务和总目标，按照整体支出绩效评价指标体系对照打分得出结果为96分，等级为优秀。二是项目绩效自评情况。我单位2021年预算没有项目收支，并且项目支出全部为上年结转资金，因此没有开展项目绩效评价。</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highlight w:val="none"/>
        </w:rPr>
        <w:t>单位</w:t>
      </w:r>
      <w:r>
        <w:rPr>
          <w:rFonts w:hint="eastAsia" w:ascii="仿宋_GB2312" w:hAnsi="仿宋_GB2312" w:eastAsia="仿宋_GB2312" w:cs="仿宋_GB2312"/>
          <w:sz w:val="32"/>
          <w:szCs w:val="32"/>
        </w:rPr>
        <w:t>共有</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个项目批复了绩效目标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项目金额0.00万元</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基于项目预期目标的实现程度，对2021年度项目支出绩效进行自评，绩效自评平均得分为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分。其中：</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个项目评价等级为“优”、</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个项目评价等级为“良”、</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个项目评价等级为“中”、</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个项目评价等级为“差”。</w:t>
      </w:r>
    </w:p>
    <w:p>
      <w:pPr>
        <w:widowControl/>
        <w:spacing w:line="360" w:lineRule="auto"/>
        <w:ind w:firstLine="643" w:firstLineChars="200"/>
        <w:outlineLvl w:val="2"/>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（三）重点绩效评价结果。</w:t>
      </w:r>
      <w:r>
        <w:rPr>
          <w:rFonts w:hint="eastAsia" w:ascii="仿宋_GB2312" w:hAnsi="仿宋_GB2312" w:eastAsia="仿宋_GB2312" w:cs="仿宋_GB2312"/>
          <w:sz w:val="32"/>
          <w:szCs w:val="32"/>
        </w:rPr>
        <w:t xml:space="preserve"> </w:t>
      </w:r>
    </w:p>
    <w:p>
      <w:pPr>
        <w:widowControl/>
        <w:ind w:firstLine="640" w:firstLineChars="200"/>
        <w:jc w:val="left"/>
        <w:rPr>
          <w:rFonts w:hint="default" w:ascii="黑体" w:hAnsi="宋体" w:eastAsia="黑体" w:cs="宋体"/>
          <w:kern w:val="0"/>
          <w:sz w:val="28"/>
          <w:szCs w:val="28"/>
          <w:lang w:val="en-US" w:eastAsia="zh-CN"/>
        </w:rPr>
      </w:pPr>
      <w:r>
        <w:rPr>
          <w:rFonts w:hint="eastAsia" w:ascii="仿宋_GB2312" w:hAnsi="仿宋_GB2312" w:eastAsia="仿宋_GB2312" w:cs="仿宋_GB2312"/>
          <w:sz w:val="32"/>
          <w:szCs w:val="32"/>
          <w:lang w:val="en-US" w:eastAsia="zh-CN"/>
        </w:rPr>
        <w:t>2021年度我单位没有开展重点绩效评价的项目。</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tabs>
          <w:tab w:val="left" w:pos="2349"/>
        </w:tabs>
        <w:jc w:val="left"/>
        <w:outlineLvl w:val="0"/>
        <w:rPr>
          <w:rFonts w:hint="eastAsia" w:ascii="黑体" w:hAnsi="黑体" w:eastAsia="黑体" w:cs="黑体"/>
          <w:sz w:val="48"/>
          <w:szCs w:val="48"/>
          <w:lang w:eastAsia="zh-CN"/>
        </w:rPr>
      </w:pPr>
    </w:p>
    <w:p>
      <w:pPr>
        <w:jc w:val="center"/>
        <w:outlineLvl w:val="0"/>
        <w:rPr>
          <w:rFonts w:hint="eastAsia" w:ascii="黑体" w:hAnsi="黑体" w:eastAsia="黑体" w:cs="黑体"/>
          <w:sz w:val="48"/>
          <w:szCs w:val="48"/>
        </w:rPr>
      </w:pPr>
    </w:p>
    <w:p>
      <w:pPr>
        <w:jc w:val="both"/>
        <w:outlineLvl w:val="0"/>
        <w:rPr>
          <w:rFonts w:hint="eastAsia" w:ascii="黑体" w:hAnsi="黑体" w:eastAsia="黑体" w:cs="黑体"/>
          <w:sz w:val="48"/>
          <w:szCs w:val="48"/>
        </w:rPr>
      </w:pPr>
    </w:p>
    <w:p>
      <w:pPr>
        <w:jc w:val="both"/>
        <w:outlineLvl w:val="0"/>
        <w:rPr>
          <w:rFonts w:hint="eastAsia" w:ascii="黑体" w:hAnsi="黑体" w:eastAsia="黑体" w:cs="黑体"/>
          <w:sz w:val="48"/>
          <w:szCs w:val="48"/>
        </w:rPr>
      </w:pPr>
    </w:p>
    <w:p>
      <w:pPr>
        <w:jc w:val="both"/>
        <w:outlineLvl w:val="0"/>
        <w:rPr>
          <w:rFonts w:hint="eastAsia" w:ascii="黑体" w:hAnsi="黑体" w:eastAsia="黑体" w:cs="黑体"/>
          <w:sz w:val="48"/>
          <w:szCs w:val="48"/>
        </w:rPr>
      </w:pPr>
    </w:p>
    <w:p>
      <w:pPr>
        <w:jc w:val="both"/>
        <w:outlineLvl w:val="0"/>
        <w:rPr>
          <w:rFonts w:hint="eastAsia" w:ascii="黑体" w:hAnsi="黑体" w:eastAsia="黑体" w:cs="黑体"/>
          <w:sz w:val="48"/>
          <w:szCs w:val="48"/>
        </w:rPr>
      </w:pPr>
    </w:p>
    <w:p>
      <w:pPr>
        <w:jc w:val="both"/>
        <w:outlineLvl w:val="0"/>
        <w:rPr>
          <w:rFonts w:hint="eastAsia" w:ascii="黑体" w:hAnsi="黑体" w:eastAsia="黑体" w:cs="黑体"/>
          <w:sz w:val="48"/>
          <w:szCs w:val="48"/>
        </w:rPr>
      </w:pPr>
    </w:p>
    <w:p>
      <w:pPr>
        <w:jc w:val="both"/>
        <w:outlineLvl w:val="0"/>
        <w:rPr>
          <w:rFonts w:hint="eastAsia" w:ascii="黑体" w:hAnsi="黑体" w:eastAsia="黑体" w:cs="黑体"/>
          <w:sz w:val="48"/>
          <w:szCs w:val="48"/>
        </w:rPr>
      </w:pPr>
    </w:p>
    <w:p>
      <w:pPr>
        <w:jc w:val="both"/>
        <w:outlineLvl w:val="0"/>
        <w:rPr>
          <w:rFonts w:hint="eastAsia" w:ascii="黑体" w:hAnsi="黑体" w:eastAsia="黑体" w:cs="黑体"/>
          <w:sz w:val="48"/>
          <w:szCs w:val="48"/>
        </w:rPr>
      </w:pPr>
    </w:p>
    <w:p>
      <w:pPr>
        <w:jc w:val="both"/>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第四部分  名词解释</w:t>
      </w:r>
    </w:p>
    <w:p>
      <w:pPr>
        <w:jc w:val="center"/>
        <w:rPr>
          <w:rFonts w:hint="eastAsia" w:ascii="黑体" w:hAnsi="黑体" w:eastAsia="黑体" w:cs="黑体"/>
          <w:sz w:val="48"/>
          <w:szCs w:val="48"/>
        </w:rPr>
      </w:pPr>
    </w:p>
    <w:p>
      <w:pPr>
        <w:jc w:val="center"/>
        <w:outlineLvl w:val="0"/>
        <w:rPr>
          <w:rFonts w:hint="eastAsia"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247650" cy="131445"/>
              <wp:effectExtent l="0" t="0" r="0" b="0"/>
              <wp:wrapNone/>
              <wp:docPr id="3" name="文本框 6"/>
              <wp:cNvGraphicFramePr/>
              <a:graphic xmlns:a="http://schemas.openxmlformats.org/drawingml/2006/main">
                <a:graphicData uri="http://schemas.microsoft.com/office/word/2010/wordprocessingShape">
                  <wps:wsp>
                    <wps:cNvSpPr/>
                    <wps:spPr>
                      <a:xfrm>
                        <a:off x="0" y="0"/>
                        <a:ext cx="247650" cy="13144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- 2 -</w:t>
                          </w:r>
                          <w:r>
                            <w:rPr>
                              <w:rFonts w:hint="eastAsia"/>
                              <w:sz w:val="18"/>
                            </w:rPr>
                            <w:fldChar w:fldCharType="end"/>
                          </w:r>
                        </w:p>
                      </w:txbxContent>
                    </wps:txbx>
                    <wps:bodyPr vert="horz" wrap="none" lIns="0" tIns="0" rIns="0" bIns="0" anchor="t" anchorCtr="0" upright="1">
                      <a:spAutoFit/>
                    </wps:bodyPr>
                  </wps:wsp>
                </a:graphicData>
              </a:graphic>
            </wp:anchor>
          </w:drawing>
        </mc:Choice>
        <mc:Fallback>
          <w:pict>
            <v:rect id="文本框 6" o:spid="_x0000_s1026" o:spt="1" style="position:absolute;left:0pt;margin-top:0pt;height:10.35pt;width:19.5pt;mso-position-horizontal:center;mso-position-horizontal-relative:margin;mso-wrap-style:none;z-index:251661312;mso-width-relative:page;mso-height-relative:page;" filled="f" stroked="f" coordsize="21600,21600" o:gfxdata="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g6+Rr0QAAAAMBAAAPAAAAAAAAAAEA&#10;IAAAACIAAABkcnMvZG93bnJldi54bWxQSwECFAAUAAAACACHTuJA5iMb990BAACyAwAADgAAAAAA&#10;AAABACAAAAAgAQAAZHJzL2Uyb0RvYy54bWxQSwUGAAAAAAYABgBZAQAAb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- 2 -</w:t>
                    </w:r>
                    <w:r>
                      <w:rPr>
                        <w:rFonts w:hint="eastAsia"/>
                        <w:sz w:val="18"/>
                      </w:rPr>
                      <w:fldChar w:fldCharType="end"/>
                    </w:r>
                  </w:p>
                </w:txbxContent>
              </v:textbox>
            </v:rect>
          </w:pict>
        </mc:Fallback>
      </mc:AlternateContent>
    </w: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53035"/>
              <wp:effectExtent l="0" t="0" r="0" b="0"/>
              <wp:wrapNone/>
              <wp:docPr id="1" name="文本框 1027"/>
              <wp:cNvGraphicFramePr/>
              <a:graphic xmlns:a="http://schemas.openxmlformats.org/drawingml/2006/main">
                <a:graphicData uri="http://schemas.microsoft.com/office/word/2010/wordprocessingShape">
                  <wps:wsp>
                    <wps:cNvSpPr/>
                    <wps:spPr>
                      <a:xfrm>
                        <a:off x="0" y="0"/>
                        <a:ext cx="114935" cy="153035"/>
                      </a:xfrm>
                      <a:prstGeom prst="rect">
                        <a:avLst/>
                      </a:prstGeom>
                      <a:noFill/>
                      <a:ln>
                        <a:noFill/>
                      </a:ln>
                    </wps:spPr>
                    <wps:txbx>
                      <w:txbxContent>
                        <w:p>
                          <w:pPr>
                            <w:rPr>
                              <w:rFonts w:hint="eastAsia"/>
                            </w:rPr>
                          </w:pPr>
                        </w:p>
                      </w:txbxContent>
                    </wps:txbx>
                    <wps:bodyPr vert="horz" wrap="none" lIns="0" tIns="0" rIns="0" bIns="0" anchor="t" anchorCtr="0" upright="1">
                      <a:spAutoFit/>
                    </wps:bodyPr>
                  </wps:wsp>
                </a:graphicData>
              </a:graphic>
            </wp:anchor>
          </w:drawing>
        </mc:Choice>
        <mc:Fallback>
          <w:pict>
            <v:rect id="文本框 1027" o:spid="_x0000_s1026" o:spt="1" style="position:absolute;left:0pt;margin-top:0pt;height:12.05pt;width:9.05pt;mso-position-horizontal:center;mso-position-horizontal-relative:margin;mso-wrap-style:none;z-index:251659264;mso-width-relative:page;mso-height-relative:page;" filled="f" stroked="f" coordsize="21600,21600" o:gfxdata="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5f4xHRAAAAAwEAAA8AAAAAAAAA&#10;AQAgAAAAIgAAAGRycy9kb3ducmV2LnhtbFBLAQIUABQAAAAIAIdO4kBJvZlv3wEAALUDAAAOAAAA&#10;AAAAAAEAIAAAACABAABkcnMvZTJvRG9jLnhtbFBLBQYAAAAABgAGAFkBAABxBQAAAAA=&#10;">
              <v:fill on="f" focussize="0,0"/>
              <v:stroke on="f"/>
              <v:imagedata o:title=""/>
              <o:lock v:ext="edit" aspectratio="f"/>
              <v:textbox inset="0mm,0mm,0mm,0mm" style="mso-fit-shape-to-text:t;">
                <w:txbxContent>
                  <w:p>
                    <w:pPr>
                      <w:rPr>
                        <w:rFonts w:hint="eastAsia"/>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47650" cy="131445"/>
              <wp:effectExtent l="0" t="0" r="0" b="0"/>
              <wp:wrapNone/>
              <wp:docPr id="2" name="文本框 7"/>
              <wp:cNvGraphicFramePr/>
              <a:graphic xmlns:a="http://schemas.openxmlformats.org/drawingml/2006/main">
                <a:graphicData uri="http://schemas.microsoft.com/office/word/2010/wordprocessingShape">
                  <wps:wsp>
                    <wps:cNvSpPr/>
                    <wps:spPr>
                      <a:xfrm>
                        <a:off x="0" y="0"/>
                        <a:ext cx="247650" cy="13144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- 1 -</w:t>
                          </w:r>
                          <w:r>
                            <w:rPr>
                              <w:rFonts w:hint="eastAsia"/>
                              <w:sz w:val="18"/>
                            </w:rPr>
                            <w:fldChar w:fldCharType="end"/>
                          </w:r>
                        </w:p>
                      </w:txbxContent>
                    </wps:txbx>
                    <wps:bodyPr vert="horz" wrap="none" lIns="0" tIns="0" rIns="0" bIns="0" anchor="t" anchorCtr="0" upright="1">
                      <a:spAutoFit/>
                    </wps:bodyPr>
                  </wps:wsp>
                </a:graphicData>
              </a:graphic>
            </wp:anchor>
          </w:drawing>
        </mc:Choice>
        <mc:Fallback>
          <w:pict>
            <v:rect id="文本框 7" o:spid="_x0000_s1026" o:spt="1" style="position:absolute;left:0pt;margin-top:0pt;height:10.35pt;width:19.5pt;mso-position-horizontal:center;mso-position-horizontal-relative:margin;mso-wrap-style:none;z-index:251660288;mso-width-relative:page;mso-height-relative:page;" filled="f" stroked="f" coordsize="21600,21600" o:gfxdata="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g6+Rr0QAAAAMBAAAPAAAAAAAAAAEA&#10;IAAAACIAAABkcnMvZG93bnJldi54bWxQSwECFAAUAAAACACHTuJAWXAZW90BAACyAwAADgAAAAAA&#10;AAABACAAAAAgAQAAZHJzL2Uyb0RvYy54bWxQSwUGAAAAAAYABgBZAQAAb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- 1 -</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E207FD"/>
    <w:multiLevelType w:val="singleLevel"/>
    <w:tmpl w:val="EBE207FD"/>
    <w:lvl w:ilvl="0" w:tentative="0">
      <w:start w:val="1"/>
      <w:numFmt w:val="decimal"/>
      <w:suff w:val="nothing"/>
      <w:lvlText w:val="%1．"/>
      <w:lvlJc w:val="left"/>
      <w:pPr>
        <w:ind w:left="-13"/>
      </w:p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yMDIwMzU0OWRmZDU5MzdkOGFmMzE1ZDBjNmIxYTUifQ=="/>
    <w:docVar w:name="KSO_WPS_MARK_KEY" w:val="badf3f38-bf16-4784-bd50-daa684148921"/>
  </w:docVars>
  <w:rsids>
    <w:rsidRoot w:val="00172A27"/>
    <w:rsid w:val="0467208B"/>
    <w:rsid w:val="11EE155E"/>
    <w:rsid w:val="2AEF1D21"/>
    <w:rsid w:val="402F1DD7"/>
    <w:rsid w:val="4B9949D9"/>
    <w:rsid w:val="74585623"/>
    <w:rsid w:val="7B2447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unhideWhenUsed/>
    <w:uiPriority w:val="99"/>
    <w:tblPr>
      <w:tblStyle w:val="3"/>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7888</Words>
  <Characters>9572</Characters>
  <Lines>0</Lines>
  <Paragraphs>0</Paragraphs>
  <TotalTime>50</TotalTime>
  <ScaleCrop>false</ScaleCrop>
  <LinksUpToDate>false</LinksUpToDate>
  <CharactersWithSpaces>9782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2023-02-14T00:36:00Z</dcterms:created>
  <dc:creator>Administrator</dc:creator>
  <cp:lastModifiedBy>悟の</cp:lastModifiedBy>
  <dcterms:modified xsi:type="dcterms:W3CDTF">2023-05-29T03:10:34Z</dcterms:modified>
  <dc:title>2021年度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BD0A2EBBE1294D01AB997FDF79DA3820_13</vt:lpwstr>
  </property>
</Properties>
</file>