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w:t>
      </w:r>
      <w:r>
        <w:rPr>
          <w:rFonts w:ascii="黑体" w:hAnsi="黑体" w:eastAsia="黑体" w:cs="黑体"/>
          <w:color w:val="auto"/>
          <w:sz w:val="52"/>
          <w:szCs w:val="52"/>
          <w:highlight w:val="none"/>
        </w:rPr>
        <w:t>市森林公安局</w:t>
      </w:r>
      <w:r>
        <w:rPr>
          <w:rFonts w:hint="eastAsia" w:ascii="黑体" w:hAnsi="黑体" w:eastAsia="黑体" w:cs="黑体"/>
          <w:color w:val="auto"/>
          <w:sz w:val="52"/>
          <w:szCs w:val="52"/>
          <w:highlight w:val="none"/>
        </w:rPr>
        <w:t>单位决算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w:t>
      </w:r>
      <w:r>
        <w:rPr>
          <w:rFonts w:ascii="黑体" w:hAnsi="黑体" w:eastAsia="黑体" w:cs="黑体"/>
          <w:color w:val="auto"/>
          <w:sz w:val="32"/>
          <w:szCs w:val="32"/>
          <w:highlight w:val="none"/>
        </w:rPr>
        <w:t>市森林公安局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单位职责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2021年度单位决算表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年度单位决算情况说明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w:t>
      </w:r>
      <w:r>
        <w:rPr>
          <w:rFonts w:ascii="黑体" w:hAnsi="黑体" w:eastAsia="黑体" w:cs="黑体"/>
          <w:color w:val="auto"/>
          <w:sz w:val="48"/>
          <w:szCs w:val="48"/>
          <w:highlight w:val="none"/>
        </w:rPr>
        <w:t>市森林公安局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一、单位</w:t>
      </w:r>
      <w:r>
        <w:rPr>
          <w:rFonts w:hint="eastAsia" w:ascii="黑体" w:hAnsi="黑体" w:eastAsia="黑体" w:cs="黑体"/>
          <w:bCs/>
          <w:color w:val="auto"/>
          <w:sz w:val="32"/>
          <w:szCs w:val="32"/>
          <w:highlight w:val="none"/>
        </w:rPr>
        <w:t>职责</w:t>
      </w:r>
    </w:p>
    <w:p>
      <w:pPr>
        <w:snapToGrid w:val="0"/>
        <w:spacing w:line="360" w:lineRule="auto"/>
        <w:ind w:firstLine="640" w:firstLineChars="200"/>
        <w:rPr>
          <w:rFonts w:ascii="仿宋_GB2312" w:hAnsi="仿宋" w:eastAsia="仿宋_GB2312"/>
          <w:color w:val="auto"/>
          <w:sz w:val="32"/>
          <w:szCs w:val="32"/>
          <w:highlight w:val="none"/>
        </w:rPr>
      </w:pPr>
      <w:r>
        <w:rPr>
          <w:rFonts w:hint="eastAsia" w:ascii="仿宋_GB2312" w:hAnsi="仿宋" w:eastAsia="仿宋_GB2312" w:cs="宋体"/>
          <w:color w:val="auto"/>
          <w:kern w:val="0"/>
          <w:sz w:val="32"/>
          <w:szCs w:val="32"/>
          <w:highlight w:val="none"/>
        </w:rPr>
        <w:t>贯彻上级公安机关部署的统一行动和斗争；负责打击本行政区域内破坏森林及野生动植物资源的违法犯罪活动，查处破坏森林及野生动植物资源案件；继续承担</w:t>
      </w:r>
      <w:r>
        <w:rPr>
          <w:rFonts w:ascii="仿宋_GB2312" w:hAnsi="仿宋" w:eastAsia="仿宋_GB2312" w:cs="宋体"/>
          <w:color w:val="auto"/>
          <w:kern w:val="0"/>
          <w:sz w:val="32"/>
          <w:szCs w:val="32"/>
          <w:highlight w:val="none"/>
        </w:rPr>
        <w:t>森林和草原</w:t>
      </w:r>
      <w:r>
        <w:rPr>
          <w:rFonts w:hint="eastAsia" w:ascii="仿宋_GB2312" w:hAnsi="仿宋" w:eastAsia="仿宋_GB2312" w:cs="宋体"/>
          <w:color w:val="auto"/>
          <w:kern w:val="0"/>
          <w:sz w:val="32"/>
          <w:szCs w:val="32"/>
          <w:highlight w:val="none"/>
        </w:rPr>
        <w:t>防火</w:t>
      </w:r>
      <w:r>
        <w:rPr>
          <w:rFonts w:ascii="仿宋_GB2312" w:hAnsi="仿宋" w:eastAsia="仿宋_GB2312" w:cs="宋体"/>
          <w:color w:val="auto"/>
          <w:kern w:val="0"/>
          <w:sz w:val="32"/>
          <w:szCs w:val="32"/>
          <w:highlight w:val="none"/>
        </w:rPr>
        <w:t>工作，负责火场警戒、交通疏导、治安维护、火案侦破等，查处森林和草原领域其他违法犯罪行为</w:t>
      </w:r>
      <w:r>
        <w:rPr>
          <w:rFonts w:hint="eastAsia" w:ascii="仿宋_GB2312" w:hAnsi="仿宋" w:eastAsia="仿宋_GB2312" w:cs="宋体"/>
          <w:color w:val="auto"/>
          <w:kern w:val="0"/>
          <w:sz w:val="32"/>
          <w:szCs w:val="32"/>
          <w:highlight w:val="none"/>
        </w:rPr>
        <w:t>。</w:t>
      </w:r>
      <w:r>
        <w:rPr>
          <w:rFonts w:ascii="仿宋_GB2312" w:hAnsi="仿宋" w:eastAsia="仿宋_GB2312" w:cs="宋体"/>
          <w:color w:val="auto"/>
          <w:kern w:val="0"/>
          <w:sz w:val="32"/>
          <w:szCs w:val="32"/>
          <w:highlight w:val="none"/>
        </w:rPr>
        <w:t>协同</w:t>
      </w:r>
      <w:r>
        <w:rPr>
          <w:rFonts w:hint="eastAsia" w:ascii="仿宋_GB2312" w:hAnsi="仿宋" w:eastAsia="仿宋_GB2312" w:cs="宋体"/>
          <w:color w:val="auto"/>
          <w:kern w:val="0"/>
          <w:sz w:val="32"/>
          <w:szCs w:val="32"/>
          <w:highlight w:val="none"/>
        </w:rPr>
        <w:t>自然资源</w:t>
      </w:r>
      <w:r>
        <w:rPr>
          <w:rFonts w:ascii="仿宋_GB2312" w:hAnsi="仿宋" w:eastAsia="仿宋_GB2312" w:cs="宋体"/>
          <w:color w:val="auto"/>
          <w:kern w:val="0"/>
          <w:sz w:val="32"/>
          <w:szCs w:val="32"/>
          <w:highlight w:val="none"/>
        </w:rPr>
        <w:t>和规划（</w:t>
      </w:r>
      <w:r>
        <w:rPr>
          <w:rFonts w:hint="eastAsia" w:ascii="仿宋_GB2312" w:hAnsi="仿宋" w:eastAsia="仿宋_GB2312" w:cs="宋体"/>
          <w:color w:val="auto"/>
          <w:kern w:val="0"/>
          <w:sz w:val="32"/>
          <w:szCs w:val="32"/>
          <w:highlight w:val="none"/>
        </w:rPr>
        <w:t>林业</w:t>
      </w:r>
      <w:r>
        <w:rPr>
          <w:rFonts w:ascii="仿宋_GB2312" w:hAnsi="仿宋" w:eastAsia="仿宋_GB2312" w:cs="宋体"/>
          <w:color w:val="auto"/>
          <w:kern w:val="0"/>
          <w:sz w:val="32"/>
          <w:szCs w:val="32"/>
          <w:highlight w:val="none"/>
        </w:rPr>
        <w:t>）开展防火宣传、火灾</w:t>
      </w:r>
      <w:r>
        <w:rPr>
          <w:rFonts w:hint="eastAsia" w:ascii="仿宋_GB2312" w:hAnsi="仿宋" w:eastAsia="仿宋_GB2312" w:cs="宋体"/>
          <w:color w:val="auto"/>
          <w:kern w:val="0"/>
          <w:sz w:val="32"/>
          <w:szCs w:val="32"/>
          <w:highlight w:val="none"/>
        </w:rPr>
        <w:t>隐</w:t>
      </w:r>
      <w:r>
        <w:rPr>
          <w:rFonts w:ascii="仿宋_GB2312" w:hAnsi="仿宋" w:eastAsia="仿宋_GB2312" w:cs="宋体"/>
          <w:color w:val="auto"/>
          <w:kern w:val="0"/>
          <w:sz w:val="32"/>
          <w:szCs w:val="32"/>
          <w:highlight w:val="none"/>
        </w:rPr>
        <w:t>患排查、重点区域巡护、违规用火处罚等工作</w:t>
      </w:r>
      <w:r>
        <w:rPr>
          <w:rFonts w:hint="eastAsia" w:ascii="仿宋_GB2312" w:hAnsi="仿宋" w:eastAsia="仿宋_GB2312" w:cs="宋体"/>
          <w:color w:val="auto"/>
          <w:kern w:val="0"/>
          <w:sz w:val="32"/>
          <w:szCs w:val="32"/>
          <w:highlight w:val="none"/>
        </w:rPr>
        <w:t>。</w:t>
      </w: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w:t>
      </w:r>
      <w:r>
        <w:rPr>
          <w:rFonts w:ascii="仿宋_GB2312" w:hAnsi="仿宋_GB2312" w:eastAsia="仿宋_GB2312" w:cs="仿宋_GB2312"/>
          <w:color w:val="auto"/>
          <w:kern w:val="0"/>
          <w:sz w:val="32"/>
          <w:szCs w:val="32"/>
          <w:highlight w:val="none"/>
        </w:rPr>
        <w:t>市森林公安局</w:t>
      </w:r>
      <w:r>
        <w:rPr>
          <w:rFonts w:hint="eastAsia" w:ascii="仿宋_GB2312" w:hAnsi="仿宋_GB2312" w:eastAsia="仿宋_GB2312" w:cs="仿宋_GB2312"/>
          <w:color w:val="auto"/>
          <w:kern w:val="0"/>
          <w:sz w:val="32"/>
          <w:szCs w:val="32"/>
          <w:highlight w:val="none"/>
        </w:rPr>
        <w:t>内设机构3个，包括：办公室</w:t>
      </w:r>
      <w:r>
        <w:rPr>
          <w:rFonts w:ascii="仿宋_GB2312" w:hAnsi="仿宋_GB2312" w:eastAsia="仿宋_GB2312" w:cs="仿宋_GB2312"/>
          <w:color w:val="auto"/>
          <w:kern w:val="0"/>
          <w:sz w:val="32"/>
          <w:szCs w:val="32"/>
          <w:highlight w:val="none"/>
        </w:rPr>
        <w:t>、法制科、刑事侦查队三个科室，</w:t>
      </w:r>
      <w:r>
        <w:rPr>
          <w:rFonts w:hint="eastAsia" w:ascii="仿宋_GB2312" w:hAnsi="仿宋_GB2312" w:eastAsia="仿宋_GB2312" w:cs="仿宋_GB2312"/>
          <w:color w:val="auto"/>
          <w:kern w:val="0"/>
          <w:sz w:val="32"/>
          <w:szCs w:val="32"/>
          <w:highlight w:val="none"/>
        </w:rPr>
        <w:t>另设有</w:t>
      </w:r>
      <w:r>
        <w:rPr>
          <w:rFonts w:ascii="仿宋_GB2312" w:hAnsi="仿宋_GB2312" w:eastAsia="仿宋_GB2312" w:cs="仿宋_GB2312"/>
          <w:color w:val="auto"/>
          <w:kern w:val="0"/>
          <w:sz w:val="32"/>
          <w:szCs w:val="32"/>
          <w:highlight w:val="none"/>
        </w:rPr>
        <w:t>直属派出所一个</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w:t>
      </w:r>
      <w:r>
        <w:rPr>
          <w:rFonts w:ascii="仿宋_GB2312" w:hAnsi="仿宋_GB2312" w:eastAsia="仿宋_GB2312" w:cs="仿宋_GB2312"/>
          <w:color w:val="auto"/>
          <w:kern w:val="0"/>
          <w:sz w:val="32"/>
          <w:szCs w:val="32"/>
          <w:highlight w:val="none"/>
        </w:rPr>
        <w:t>市森林公安局</w:t>
      </w:r>
      <w:r>
        <w:rPr>
          <w:rFonts w:hint="eastAsia" w:ascii="仿宋_GB2312" w:hAnsi="仿宋_GB2312" w:eastAsia="仿宋_GB2312" w:cs="仿宋_GB2312"/>
          <w:color w:val="auto"/>
          <w:kern w:val="0"/>
          <w:sz w:val="32"/>
          <w:szCs w:val="32"/>
          <w:highlight w:val="none"/>
        </w:rPr>
        <w:t>单位决算包括：本级决算</w:t>
      </w:r>
      <w:r>
        <w:rPr>
          <w:rFonts w:hint="eastAsia" w:ascii="仿宋_GB2312" w:hAnsi="仿宋_GB2312" w:eastAsia="仿宋_GB2312" w:cs="仿宋_GB2312"/>
          <w:color w:val="auto"/>
          <w:kern w:val="0"/>
          <w:sz w:val="32"/>
          <w:szCs w:val="32"/>
          <w:highlight w:val="none"/>
          <w:lang w:val="en-US" w:eastAsia="zh-CN"/>
        </w:rPr>
        <w:t>(1个）</w:t>
      </w:r>
      <w:r>
        <w:rPr>
          <w:rFonts w:ascii="仿宋_GB2312" w:hAnsi="仿宋_GB2312" w:eastAsia="仿宋_GB2312" w:cs="仿宋_GB2312"/>
          <w:color w:val="auto"/>
          <w:kern w:val="0"/>
          <w:sz w:val="32"/>
          <w:szCs w:val="32"/>
          <w:highlight w:val="none"/>
        </w:rPr>
        <w:t>。</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w:t>
      </w:r>
      <w:r>
        <w:rPr>
          <w:rFonts w:ascii="仿宋_GB2312" w:hAnsi="仿宋_GB2312" w:eastAsia="仿宋_GB2312" w:cs="仿宋_GB2312"/>
          <w:color w:val="auto"/>
          <w:kern w:val="0"/>
          <w:sz w:val="32"/>
          <w:szCs w:val="32"/>
          <w:highlight w:val="none"/>
        </w:rPr>
        <w:t>本</w:t>
      </w:r>
      <w:r>
        <w:rPr>
          <w:rFonts w:hint="eastAsia" w:ascii="仿宋_GB2312" w:hAnsi="仿宋_GB2312" w:eastAsia="仿宋_GB2312" w:cs="仿宋_GB2312"/>
          <w:color w:val="auto"/>
          <w:kern w:val="0"/>
          <w:sz w:val="32"/>
          <w:szCs w:val="32"/>
          <w:highlight w:val="none"/>
        </w:rPr>
        <w:t>单位2021年度单位决算</w:t>
      </w:r>
      <w:r>
        <w:rPr>
          <w:rFonts w:ascii="仿宋_GB2312" w:hAnsi="仿宋_GB2312" w:eastAsia="仿宋_GB2312" w:cs="仿宋_GB2312"/>
          <w:color w:val="auto"/>
          <w:kern w:val="0"/>
          <w:sz w:val="32"/>
          <w:szCs w:val="32"/>
          <w:highlight w:val="none"/>
        </w:rPr>
        <w:t>编制范围的单位共</w:t>
      </w:r>
      <w:r>
        <w:rPr>
          <w:rFonts w:hint="eastAsia" w:ascii="仿宋_GB2312" w:hAnsi="仿宋_GB2312" w:eastAsia="仿宋_GB2312" w:cs="仿宋_GB2312"/>
          <w:color w:val="auto"/>
          <w:kern w:val="0"/>
          <w:sz w:val="32"/>
          <w:szCs w:val="32"/>
          <w:highlight w:val="none"/>
        </w:rPr>
        <w:t>1个。</w:t>
      </w:r>
      <w:r>
        <w:rPr>
          <w:rFonts w:ascii="仿宋_GB2312" w:hAnsi="仿宋_GB2312" w:eastAsia="仿宋_GB2312" w:cs="仿宋_GB2312"/>
          <w:color w:val="auto"/>
          <w:kern w:val="0"/>
          <w:sz w:val="32"/>
          <w:szCs w:val="32"/>
          <w:highlight w:val="none"/>
        </w:rPr>
        <w:t>具体</w:t>
      </w:r>
      <w:r>
        <w:rPr>
          <w:rFonts w:hint="eastAsia" w:ascii="仿宋_GB2312" w:hAnsi="仿宋_GB2312" w:eastAsia="仿宋_GB2312" w:cs="仿宋_GB2312"/>
          <w:color w:val="auto"/>
          <w:kern w:val="0"/>
          <w:sz w:val="32"/>
          <w:szCs w:val="32"/>
          <w:highlight w:val="none"/>
        </w:rPr>
        <w:t>是</w:t>
      </w:r>
      <w:r>
        <w:rPr>
          <w:rFonts w:ascii="仿宋_GB2312" w:hAnsi="仿宋_GB2312" w:eastAsia="仿宋_GB2312" w:cs="仿宋_GB2312"/>
          <w:color w:val="auto"/>
          <w:kern w:val="0"/>
          <w:sz w:val="32"/>
          <w:szCs w:val="32"/>
          <w:highlight w:val="none"/>
        </w:rPr>
        <w:t>：</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许昌</w:t>
      </w:r>
      <w:r>
        <w:rPr>
          <w:rFonts w:ascii="仿宋_GB2312" w:hAnsi="仿宋_GB2312" w:eastAsia="仿宋_GB2312" w:cs="仿宋_GB2312"/>
          <w:color w:val="auto"/>
          <w:kern w:val="0"/>
          <w:sz w:val="32"/>
          <w:szCs w:val="32"/>
          <w:highlight w:val="none"/>
        </w:rPr>
        <w:t>市森林公安局</w:t>
      </w:r>
    </w:p>
    <w:p>
      <w:pPr>
        <w:widowControl/>
        <w:ind w:firstLine="640" w:firstLineChars="200"/>
        <w:jc w:val="left"/>
        <w:rPr>
          <w:rFonts w:ascii="仿宋_GB2312" w:hAnsi="仿宋_GB2312" w:eastAsia="仿宋_GB2312" w:cs="仿宋_GB2312"/>
          <w:color w:val="auto"/>
          <w:kern w:val="0"/>
          <w:sz w:val="32"/>
          <w:szCs w:val="32"/>
          <w:highlight w:val="none"/>
        </w:rPr>
      </w:pPr>
    </w:p>
    <w:p>
      <w:pPr>
        <w:widowControl/>
        <w:jc w:val="left"/>
        <w:rPr>
          <w:rFonts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2021年度单位决算表</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880" w:type="dxa"/>
        <w:tblInd w:w="108" w:type="dxa"/>
        <w:tblLayout w:type="fixed"/>
        <w:tblCellMar>
          <w:top w:w="0" w:type="dxa"/>
          <w:left w:w="108" w:type="dxa"/>
          <w:bottom w:w="0" w:type="dxa"/>
          <w:right w:w="108" w:type="dxa"/>
        </w:tblCellMar>
      </w:tblPr>
      <w:tblGrid>
        <w:gridCol w:w="5333"/>
        <w:gridCol w:w="705"/>
        <w:gridCol w:w="1065"/>
        <w:gridCol w:w="5003"/>
        <w:gridCol w:w="705"/>
        <w:gridCol w:w="1069"/>
      </w:tblGrid>
      <w:tr>
        <w:tblPrEx>
          <w:tblCellMar>
            <w:top w:w="0" w:type="dxa"/>
            <w:left w:w="108" w:type="dxa"/>
            <w:bottom w:w="0" w:type="dxa"/>
            <w:right w:w="108" w:type="dxa"/>
          </w:tblCellMar>
        </w:tblPrEx>
        <w:trPr>
          <w:trHeight w:val="706" w:hRule="atLeast"/>
        </w:trPr>
        <w:tc>
          <w:tcPr>
            <w:tcW w:w="13880" w:type="dxa"/>
            <w:gridSpan w:val="6"/>
            <w:tcBorders>
              <w:top w:val="nil"/>
              <w:left w:val="nil"/>
              <w:bottom w:val="nil"/>
              <w:right w:val="nil"/>
            </w:tcBorders>
            <w:shd w:val="clear" w:color="000000" w:fill="FFFFFF"/>
            <w:vAlign w:val="bottom"/>
          </w:tcPr>
          <w:p>
            <w:pPr>
              <w:ind w:firstLine="640" w:firstLineChars="200"/>
              <w:jc w:val="center"/>
              <w:rPr>
                <w:rFonts w:ascii="宋体" w:hAnsi="宋体" w:cs="Arial"/>
                <w:color w:val="auto"/>
                <w:kern w:val="0"/>
                <w:sz w:val="28"/>
                <w:szCs w:val="28"/>
                <w:highlight w:val="none"/>
              </w:rPr>
            </w:pPr>
            <w:r>
              <w:rPr>
                <w:rFonts w:hint="eastAsia" w:ascii="宋体" w:hAnsi="宋体" w:cs="黑体"/>
                <w:color w:val="auto"/>
                <w:sz w:val="32"/>
                <w:szCs w:val="32"/>
                <w:highlight w:val="none"/>
              </w:rPr>
              <w:t>收入支出决算总表</w:t>
            </w:r>
          </w:p>
        </w:tc>
      </w:tr>
      <w:tr>
        <w:tblPrEx>
          <w:tblCellMar>
            <w:top w:w="0" w:type="dxa"/>
            <w:left w:w="108" w:type="dxa"/>
            <w:bottom w:w="0" w:type="dxa"/>
            <w:right w:w="108" w:type="dxa"/>
          </w:tblCellMar>
        </w:tblPrEx>
        <w:trPr>
          <w:trHeight w:val="353" w:hRule="atLeast"/>
        </w:trPr>
        <w:tc>
          <w:tcPr>
            <w:tcW w:w="533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705"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065"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6777" w:type="dxa"/>
            <w:gridSpan w:val="3"/>
            <w:tcBorders>
              <w:top w:val="nil"/>
              <w:left w:val="nil"/>
              <w:bottom w:val="nil"/>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公开01表</w:t>
            </w:r>
          </w:p>
        </w:tc>
      </w:tr>
      <w:tr>
        <w:tblPrEx>
          <w:tblCellMar>
            <w:top w:w="0" w:type="dxa"/>
            <w:left w:w="108" w:type="dxa"/>
            <w:bottom w:w="0" w:type="dxa"/>
            <w:right w:w="108" w:type="dxa"/>
          </w:tblCellMar>
        </w:tblPrEx>
        <w:trPr>
          <w:trHeight w:val="353" w:hRule="atLeast"/>
        </w:trPr>
        <w:tc>
          <w:tcPr>
            <w:tcW w:w="5333" w:type="dxa"/>
            <w:tcBorders>
              <w:top w:val="nil"/>
              <w:left w:val="nil"/>
              <w:bottom w:val="nil"/>
              <w:right w:val="nil"/>
            </w:tcBorders>
            <w:shd w:val="clear" w:color="000000" w:fill="FFFFFF"/>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单位：许昌市森林公安局</w:t>
            </w:r>
          </w:p>
        </w:tc>
        <w:tc>
          <w:tcPr>
            <w:tcW w:w="705"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065"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6777" w:type="dxa"/>
            <w:gridSpan w:val="3"/>
            <w:tcBorders>
              <w:top w:val="nil"/>
              <w:left w:val="nil"/>
              <w:bottom w:val="single" w:color="000000" w:sz="4" w:space="0"/>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64" w:hRule="atLeast"/>
        </w:trPr>
        <w:tc>
          <w:tcPr>
            <w:tcW w:w="7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收入</w:t>
            </w:r>
          </w:p>
        </w:tc>
        <w:tc>
          <w:tcPr>
            <w:tcW w:w="6777"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支出</w:t>
            </w:r>
          </w:p>
        </w:tc>
      </w:tr>
      <w:tr>
        <w:tblPrEx>
          <w:tblCellMar>
            <w:top w:w="0" w:type="dxa"/>
            <w:left w:w="108" w:type="dxa"/>
            <w:bottom w:w="0" w:type="dxa"/>
            <w:right w:w="108" w:type="dxa"/>
          </w:tblCellMar>
        </w:tblPrEx>
        <w:trPr>
          <w:trHeight w:val="717"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06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500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06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6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500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6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r>
      <w:tr>
        <w:tblPrEx>
          <w:tblCellMar>
            <w:top w:w="0" w:type="dxa"/>
            <w:left w:w="108" w:type="dxa"/>
            <w:bottom w:w="0" w:type="dxa"/>
            <w:right w:w="108" w:type="dxa"/>
          </w:tblCellMar>
        </w:tblPrEx>
        <w:trPr>
          <w:trHeight w:val="717"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455.36</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三、国有资本经营预算财政拨款收入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717"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四、上级补助收入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411.39</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五、事业收入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六、经营收入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七、附属单位上缴收入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八、其他收入</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2.61</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auto"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065"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705"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06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70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single" w:color="auto"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065"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single" w:color="auto"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705" w:type="dxa"/>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06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24</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25</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26</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717"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455.36</w:t>
            </w:r>
          </w:p>
        </w:tc>
        <w:tc>
          <w:tcPr>
            <w:tcW w:w="500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510.49</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使用非财政拨款结余</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结余分配</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55.14</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64"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0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06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717" w:hRule="atLeast"/>
        </w:trPr>
        <w:tc>
          <w:tcPr>
            <w:tcW w:w="533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705" w:type="dxa"/>
            <w:tcBorders>
              <w:top w:val="nil"/>
              <w:left w:val="nil"/>
              <w:bottom w:val="single" w:color="000000" w:sz="8"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0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510.49</w:t>
            </w:r>
          </w:p>
        </w:tc>
        <w:tc>
          <w:tcPr>
            <w:tcW w:w="500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70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0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510.49</w:t>
            </w:r>
          </w:p>
        </w:tc>
      </w:tr>
      <w:tr>
        <w:tblPrEx>
          <w:tblCellMar>
            <w:top w:w="0" w:type="dxa"/>
            <w:left w:w="108" w:type="dxa"/>
            <w:bottom w:w="0" w:type="dxa"/>
            <w:right w:w="108" w:type="dxa"/>
          </w:tblCellMar>
        </w:tblPrEx>
        <w:trPr>
          <w:trHeight w:val="375" w:hRule="atLeast"/>
        </w:trPr>
        <w:tc>
          <w:tcPr>
            <w:tcW w:w="13880" w:type="dxa"/>
            <w:gridSpan w:val="6"/>
            <w:tcBorders>
              <w:top w:val="nil"/>
              <w:left w:val="nil"/>
              <w:bottom w:val="nil"/>
              <w:right w:val="nil"/>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注：本表反映单位本年度的总收支和年末结转结余情况。本表金额转换为万元时，因四舍五入可能存在尾差。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76" w:type="dxa"/>
        <w:tblInd w:w="108" w:type="dxa"/>
        <w:tblLayout w:type="fixed"/>
        <w:tblCellMar>
          <w:top w:w="0" w:type="dxa"/>
          <w:left w:w="108" w:type="dxa"/>
          <w:bottom w:w="0" w:type="dxa"/>
          <w:right w:w="108" w:type="dxa"/>
        </w:tblCellMar>
      </w:tblPr>
      <w:tblGrid>
        <w:gridCol w:w="401"/>
        <w:gridCol w:w="313"/>
        <w:gridCol w:w="272"/>
        <w:gridCol w:w="5309"/>
        <w:gridCol w:w="1293"/>
        <w:gridCol w:w="1293"/>
        <w:gridCol w:w="979"/>
        <w:gridCol w:w="979"/>
        <w:gridCol w:w="979"/>
        <w:gridCol w:w="979"/>
        <w:gridCol w:w="979"/>
      </w:tblGrid>
      <w:tr>
        <w:tblPrEx>
          <w:tblCellMar>
            <w:top w:w="0" w:type="dxa"/>
            <w:left w:w="108" w:type="dxa"/>
            <w:bottom w:w="0" w:type="dxa"/>
            <w:right w:w="108" w:type="dxa"/>
          </w:tblCellMar>
        </w:tblPrEx>
        <w:trPr>
          <w:trHeight w:val="360" w:hRule="atLeast"/>
        </w:trPr>
        <w:tc>
          <w:tcPr>
            <w:tcW w:w="13776" w:type="dxa"/>
            <w:gridSpan w:val="11"/>
            <w:tcBorders>
              <w:top w:val="nil"/>
              <w:left w:val="nil"/>
              <w:bottom w:val="nil"/>
              <w:right w:val="nil"/>
            </w:tcBorders>
            <w:shd w:val="clear" w:color="000000" w:fill="FFFFFF"/>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收入决算表</w:t>
            </w:r>
          </w:p>
        </w:tc>
      </w:tr>
      <w:tr>
        <w:tblPrEx>
          <w:tblCellMar>
            <w:top w:w="0" w:type="dxa"/>
            <w:left w:w="108" w:type="dxa"/>
            <w:bottom w:w="0" w:type="dxa"/>
            <w:right w:w="108" w:type="dxa"/>
          </w:tblCellMar>
        </w:tblPrEx>
        <w:trPr>
          <w:trHeight w:val="342" w:hRule="atLeast"/>
        </w:trPr>
        <w:tc>
          <w:tcPr>
            <w:tcW w:w="401"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1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72"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30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9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9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958" w:type="dxa"/>
            <w:gridSpan w:val="2"/>
            <w:tcBorders>
              <w:top w:val="nil"/>
              <w:left w:val="nil"/>
              <w:bottom w:val="nil"/>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公开02表</w:t>
            </w:r>
          </w:p>
        </w:tc>
      </w:tr>
      <w:tr>
        <w:tblPrEx>
          <w:tblCellMar>
            <w:top w:w="0" w:type="dxa"/>
            <w:left w:w="108" w:type="dxa"/>
            <w:bottom w:w="0" w:type="dxa"/>
            <w:right w:w="108" w:type="dxa"/>
          </w:tblCellMar>
        </w:tblPrEx>
        <w:trPr>
          <w:trHeight w:val="342" w:hRule="atLeast"/>
        </w:trPr>
        <w:tc>
          <w:tcPr>
            <w:tcW w:w="6295" w:type="dxa"/>
            <w:gridSpan w:val="4"/>
            <w:tcBorders>
              <w:top w:val="nil"/>
              <w:left w:val="nil"/>
              <w:bottom w:val="single" w:color="000000" w:sz="4" w:space="0"/>
              <w:right w:val="nil"/>
            </w:tcBorders>
            <w:shd w:val="clear" w:color="000000" w:fill="FFFFFF"/>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单位：许昌市森林公安局</w:t>
            </w:r>
          </w:p>
        </w:tc>
        <w:tc>
          <w:tcPr>
            <w:tcW w:w="129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9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7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958"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42" w:hRule="atLeast"/>
        </w:trPr>
        <w:tc>
          <w:tcPr>
            <w:tcW w:w="629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2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本年收入合计</w:t>
            </w:r>
          </w:p>
        </w:tc>
        <w:tc>
          <w:tcPr>
            <w:tcW w:w="12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财政拨款收入</w:t>
            </w:r>
          </w:p>
        </w:tc>
        <w:tc>
          <w:tcPr>
            <w:tcW w:w="97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上级补助收入</w:t>
            </w:r>
          </w:p>
        </w:tc>
        <w:tc>
          <w:tcPr>
            <w:tcW w:w="97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事业收入</w:t>
            </w:r>
          </w:p>
        </w:tc>
        <w:tc>
          <w:tcPr>
            <w:tcW w:w="97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经营收入</w:t>
            </w:r>
          </w:p>
        </w:tc>
        <w:tc>
          <w:tcPr>
            <w:tcW w:w="97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附属单位上缴收入</w:t>
            </w:r>
          </w:p>
        </w:tc>
        <w:tc>
          <w:tcPr>
            <w:tcW w:w="97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其他收入</w:t>
            </w:r>
          </w:p>
        </w:tc>
      </w:tr>
      <w:tr>
        <w:tblPrEx>
          <w:tblCellMar>
            <w:top w:w="0" w:type="dxa"/>
            <w:left w:w="108" w:type="dxa"/>
            <w:bottom w:w="0" w:type="dxa"/>
            <w:right w:w="108" w:type="dxa"/>
          </w:tblCellMar>
        </w:tblPrEx>
        <w:trPr>
          <w:trHeight w:val="34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30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4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3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4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3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42" w:hRule="atLeast"/>
        </w:trPr>
        <w:tc>
          <w:tcPr>
            <w:tcW w:w="6295"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2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2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r>
      <w:tr>
        <w:tblPrEx>
          <w:tblCellMar>
            <w:top w:w="0" w:type="dxa"/>
            <w:left w:w="108" w:type="dxa"/>
            <w:bottom w:w="0" w:type="dxa"/>
            <w:right w:w="108" w:type="dxa"/>
          </w:tblCellMar>
        </w:tblPrEx>
        <w:trPr>
          <w:trHeight w:val="342" w:hRule="atLeast"/>
        </w:trPr>
        <w:tc>
          <w:tcPr>
            <w:tcW w:w="6295"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455.36</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455.36</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公共安全支出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407.77</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407.77</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20402</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公安</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407.77</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407.77</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2040201</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401.60</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401.60</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2040299</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其他公安支出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6.17</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6.17</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25.11</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25.11</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25.11</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25.11</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2080501</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行政单位离退休</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4.39</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4.39</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20.72</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20.72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19.61</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19.61</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auto"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309" w:type="dxa"/>
            <w:tcBorders>
              <w:top w:val="nil"/>
              <w:left w:val="nil"/>
              <w:bottom w:val="single" w:color="auto"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293"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19.61</w:t>
            </w:r>
          </w:p>
        </w:tc>
        <w:tc>
          <w:tcPr>
            <w:tcW w:w="1293"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19.61</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2101101</w:t>
            </w:r>
          </w:p>
        </w:tc>
        <w:tc>
          <w:tcPr>
            <w:tcW w:w="53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行政单位医疗</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9.90</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9.90</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2101103</w:t>
            </w:r>
          </w:p>
        </w:tc>
        <w:tc>
          <w:tcPr>
            <w:tcW w:w="53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9.71</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9.71</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53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城乡社区支出</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0.75</w:t>
            </w:r>
          </w:p>
        </w:tc>
        <w:tc>
          <w:tcPr>
            <w:tcW w:w="12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0.75</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21201</w:t>
            </w:r>
          </w:p>
        </w:tc>
        <w:tc>
          <w:tcPr>
            <w:tcW w:w="5309" w:type="dxa"/>
            <w:tcBorders>
              <w:top w:val="single" w:color="auto" w:sz="4" w:space="0"/>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城乡社区管理事务</w:t>
            </w:r>
          </w:p>
        </w:tc>
        <w:tc>
          <w:tcPr>
            <w:tcW w:w="1293"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0.75</w:t>
            </w:r>
          </w:p>
        </w:tc>
        <w:tc>
          <w:tcPr>
            <w:tcW w:w="1293"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0.75</w:t>
            </w:r>
          </w:p>
        </w:tc>
        <w:tc>
          <w:tcPr>
            <w:tcW w:w="97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2120101</w:t>
            </w:r>
          </w:p>
        </w:tc>
        <w:tc>
          <w:tcPr>
            <w:tcW w:w="53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0.75</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0.75</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42" w:hRule="atLeast"/>
        </w:trPr>
        <w:tc>
          <w:tcPr>
            <w:tcW w:w="13776" w:type="dxa"/>
            <w:gridSpan w:val="11"/>
            <w:tcBorders>
              <w:top w:val="nil"/>
              <w:left w:val="nil"/>
              <w:bottom w:val="nil"/>
              <w:right w:val="nil"/>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注：本表反映单位本年度取得的各项收入情况。本表金额转换为万元时，因四舍五入可能存在尾差。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0" w:type="dxa"/>
        <w:tblInd w:w="108" w:type="dxa"/>
        <w:tblLayout w:type="fixed"/>
        <w:tblCellMar>
          <w:top w:w="0" w:type="dxa"/>
          <w:left w:w="108" w:type="dxa"/>
          <w:bottom w:w="0" w:type="dxa"/>
          <w:right w:w="108" w:type="dxa"/>
        </w:tblCellMar>
      </w:tblPr>
      <w:tblGrid>
        <w:gridCol w:w="445"/>
        <w:gridCol w:w="347"/>
        <w:gridCol w:w="302"/>
        <w:gridCol w:w="5683"/>
        <w:gridCol w:w="1369"/>
        <w:gridCol w:w="1369"/>
        <w:gridCol w:w="1285"/>
        <w:gridCol w:w="1032"/>
        <w:gridCol w:w="1032"/>
        <w:gridCol w:w="1036"/>
      </w:tblGrid>
      <w:tr>
        <w:tblPrEx>
          <w:tblCellMar>
            <w:top w:w="0" w:type="dxa"/>
            <w:left w:w="108" w:type="dxa"/>
            <w:bottom w:w="0" w:type="dxa"/>
            <w:right w:w="108" w:type="dxa"/>
          </w:tblCellMar>
        </w:tblPrEx>
        <w:trPr>
          <w:trHeight w:val="744" w:hRule="atLeast"/>
        </w:trPr>
        <w:tc>
          <w:tcPr>
            <w:tcW w:w="13900" w:type="dxa"/>
            <w:gridSpan w:val="10"/>
            <w:tcBorders>
              <w:top w:val="nil"/>
              <w:left w:val="nil"/>
              <w:bottom w:val="nil"/>
              <w:right w:val="nil"/>
            </w:tcBorders>
            <w:shd w:val="clear" w:color="000000" w:fill="FFFFFF"/>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支出决算表</w:t>
            </w:r>
          </w:p>
        </w:tc>
      </w:tr>
      <w:tr>
        <w:tblPrEx>
          <w:tblCellMar>
            <w:top w:w="0" w:type="dxa"/>
            <w:left w:w="108" w:type="dxa"/>
            <w:bottom w:w="0" w:type="dxa"/>
            <w:right w:w="108" w:type="dxa"/>
          </w:tblCellMar>
        </w:tblPrEx>
        <w:trPr>
          <w:trHeight w:val="372" w:hRule="atLeast"/>
        </w:trPr>
        <w:tc>
          <w:tcPr>
            <w:tcW w:w="445"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47"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02"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68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36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36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85"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032"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068" w:type="dxa"/>
            <w:gridSpan w:val="2"/>
            <w:tcBorders>
              <w:top w:val="nil"/>
              <w:left w:val="nil"/>
              <w:bottom w:val="nil"/>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公开03表</w:t>
            </w:r>
          </w:p>
        </w:tc>
      </w:tr>
      <w:tr>
        <w:tblPrEx>
          <w:tblCellMar>
            <w:top w:w="0" w:type="dxa"/>
            <w:left w:w="108" w:type="dxa"/>
            <w:bottom w:w="0" w:type="dxa"/>
            <w:right w:w="108" w:type="dxa"/>
          </w:tblCellMar>
        </w:tblPrEx>
        <w:trPr>
          <w:trHeight w:val="372" w:hRule="atLeast"/>
        </w:trPr>
        <w:tc>
          <w:tcPr>
            <w:tcW w:w="6777" w:type="dxa"/>
            <w:gridSpan w:val="4"/>
            <w:tcBorders>
              <w:top w:val="nil"/>
              <w:left w:val="nil"/>
              <w:bottom w:val="single" w:color="000000" w:sz="4" w:space="0"/>
              <w:right w:val="nil"/>
            </w:tcBorders>
            <w:shd w:val="clear" w:color="000000" w:fill="FFFFFF"/>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单位：许昌市森林公安局</w:t>
            </w:r>
          </w:p>
        </w:tc>
        <w:tc>
          <w:tcPr>
            <w:tcW w:w="136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36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85"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032"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068"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84" w:hRule="atLeast"/>
        </w:trPr>
        <w:tc>
          <w:tcPr>
            <w:tcW w:w="677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36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本年支出合计</w:t>
            </w:r>
          </w:p>
        </w:tc>
        <w:tc>
          <w:tcPr>
            <w:tcW w:w="136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28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103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上缴上级支出</w:t>
            </w:r>
          </w:p>
        </w:tc>
        <w:tc>
          <w:tcPr>
            <w:tcW w:w="103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经营支出</w:t>
            </w:r>
          </w:p>
        </w:tc>
        <w:tc>
          <w:tcPr>
            <w:tcW w:w="103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对附属单位补助支出</w:t>
            </w:r>
          </w:p>
        </w:tc>
      </w:tr>
      <w:tr>
        <w:tblPrEx>
          <w:tblCellMar>
            <w:top w:w="0" w:type="dxa"/>
            <w:left w:w="108" w:type="dxa"/>
            <w:bottom w:w="0" w:type="dxa"/>
            <w:right w:w="108" w:type="dxa"/>
          </w:tblCellMar>
        </w:tblPrEx>
        <w:trPr>
          <w:trHeight w:val="384" w:hRule="atLeast"/>
        </w:trPr>
        <w:tc>
          <w:tcPr>
            <w:tcW w:w="1094"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68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84" w:hRule="atLeast"/>
        </w:trPr>
        <w:tc>
          <w:tcPr>
            <w:tcW w:w="109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6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84" w:hRule="atLeast"/>
        </w:trPr>
        <w:tc>
          <w:tcPr>
            <w:tcW w:w="109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6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3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84" w:hRule="atLeast"/>
        </w:trPr>
        <w:tc>
          <w:tcPr>
            <w:tcW w:w="6777"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36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36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28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03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03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03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trHeight w:val="384" w:hRule="atLeast"/>
        </w:trPr>
        <w:tc>
          <w:tcPr>
            <w:tcW w:w="6777"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510.49</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498.57</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11.92</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公共安全支出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411.39</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401.60</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9.79</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20402</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公安</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411.39</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401.60</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9.79</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2040201</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401.60</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401.60</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2040299</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其他公安支出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9.79</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9.79</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2080501</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行政单位离退休</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4.42</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4.42</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25.35</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25.35</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2101101</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行政单位医疗</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11.70</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11.70</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auto"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2101103</w:t>
            </w:r>
          </w:p>
        </w:tc>
        <w:tc>
          <w:tcPr>
            <w:tcW w:w="5683" w:type="dxa"/>
            <w:tcBorders>
              <w:top w:val="nil"/>
              <w:left w:val="nil"/>
              <w:bottom w:val="single" w:color="auto"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w:t>
            </w:r>
          </w:p>
        </w:tc>
        <w:tc>
          <w:tcPr>
            <w:tcW w:w="136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11.55</w:t>
            </w:r>
          </w:p>
        </w:tc>
        <w:tc>
          <w:tcPr>
            <w:tcW w:w="136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11.55</w:t>
            </w:r>
          </w:p>
        </w:tc>
        <w:tc>
          <w:tcPr>
            <w:tcW w:w="1285"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56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城乡社区支出</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12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21201</w:t>
            </w:r>
          </w:p>
        </w:tc>
        <w:tc>
          <w:tcPr>
            <w:tcW w:w="56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城乡社区管理事务</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12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2120101</w:t>
            </w:r>
          </w:p>
        </w:tc>
        <w:tc>
          <w:tcPr>
            <w:tcW w:w="56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12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213</w:t>
            </w:r>
          </w:p>
        </w:tc>
        <w:tc>
          <w:tcPr>
            <w:tcW w:w="56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农林水支出</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2.61</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0.49</w:t>
            </w:r>
          </w:p>
        </w:tc>
        <w:tc>
          <w:tcPr>
            <w:tcW w:w="12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2.13</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21302</w:t>
            </w:r>
          </w:p>
        </w:tc>
        <w:tc>
          <w:tcPr>
            <w:tcW w:w="56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林业和草原</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2.61</w:t>
            </w:r>
          </w:p>
        </w:tc>
        <w:tc>
          <w:tcPr>
            <w:tcW w:w="13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0.49</w:t>
            </w:r>
          </w:p>
        </w:tc>
        <w:tc>
          <w:tcPr>
            <w:tcW w:w="12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2.13</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2130201</w:t>
            </w:r>
          </w:p>
        </w:tc>
        <w:tc>
          <w:tcPr>
            <w:tcW w:w="5683" w:type="dxa"/>
            <w:tcBorders>
              <w:top w:val="single" w:color="auto" w:sz="4" w:space="0"/>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136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0.49</w:t>
            </w:r>
          </w:p>
        </w:tc>
        <w:tc>
          <w:tcPr>
            <w:tcW w:w="1369"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0.49</w:t>
            </w:r>
          </w:p>
        </w:tc>
        <w:tc>
          <w:tcPr>
            <w:tcW w:w="1285"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094"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2130213</w:t>
            </w:r>
          </w:p>
        </w:tc>
        <w:tc>
          <w:tcPr>
            <w:tcW w:w="56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执法与监督</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2.13</w:t>
            </w:r>
          </w:p>
        </w:tc>
        <w:tc>
          <w:tcPr>
            <w:tcW w:w="136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2.13</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84" w:hRule="atLeast"/>
        </w:trPr>
        <w:tc>
          <w:tcPr>
            <w:tcW w:w="13900" w:type="dxa"/>
            <w:gridSpan w:val="10"/>
            <w:tcBorders>
              <w:top w:val="nil"/>
              <w:left w:val="nil"/>
              <w:bottom w:val="nil"/>
              <w:right w:val="nil"/>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注：本表反映单位本年度各项支出情况。本表金额转换为万元时，因四舍五入可能存在尾差。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5"/>
        <w:gridCol w:w="3769"/>
        <w:gridCol w:w="507"/>
        <w:gridCol w:w="1093"/>
        <w:gridCol w:w="3562"/>
        <w:gridCol w:w="567"/>
        <w:gridCol w:w="1134"/>
        <w:gridCol w:w="1134"/>
        <w:gridCol w:w="1134"/>
        <w:gridCol w:w="940"/>
        <w:gridCol w:w="133"/>
      </w:tblGrid>
      <w:tr>
        <w:tblPrEx>
          <w:tblCellMar>
            <w:top w:w="0" w:type="dxa"/>
            <w:left w:w="0" w:type="dxa"/>
            <w:bottom w:w="0" w:type="dxa"/>
            <w:right w:w="0" w:type="dxa"/>
          </w:tblCellMar>
        </w:tblPrEx>
        <w:trPr>
          <w:trHeight w:val="600" w:hRule="atLeast"/>
        </w:trPr>
        <w:tc>
          <w:tcPr>
            <w:tcW w:w="13988" w:type="dxa"/>
            <w:gridSpan w:val="11"/>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kern w:val="0"/>
                <w:sz w:val="32"/>
                <w:szCs w:val="32"/>
                <w:highlight w:val="none"/>
                <w:lang w:bidi="ar"/>
              </w:rPr>
            </w:pPr>
            <w:r>
              <w:rPr>
                <w:rFonts w:hint="eastAsia" w:ascii="华文中宋" w:hAnsi="华文中宋" w:eastAsia="华文中宋" w:cs="华文中宋"/>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gridBefore w:val="1"/>
          <w:gridAfter w:val="1"/>
          <w:wBefore w:w="15" w:type="dxa"/>
          <w:wAfter w:w="133" w:type="dxa"/>
          <w:trHeight w:val="255" w:hRule="atLeast"/>
        </w:trPr>
        <w:tc>
          <w:tcPr>
            <w:tcW w:w="376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07"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09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562"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67"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34"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34"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074" w:type="dxa"/>
            <w:gridSpan w:val="2"/>
            <w:tcBorders>
              <w:top w:val="nil"/>
              <w:left w:val="nil"/>
              <w:bottom w:val="nil"/>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公开04表</w:t>
            </w:r>
          </w:p>
        </w:tc>
      </w:tr>
      <w:tr>
        <w:tblPrEx>
          <w:tblCellMar>
            <w:top w:w="0" w:type="dxa"/>
            <w:left w:w="108" w:type="dxa"/>
            <w:bottom w:w="0" w:type="dxa"/>
            <w:right w:w="108" w:type="dxa"/>
          </w:tblCellMar>
        </w:tblPrEx>
        <w:trPr>
          <w:gridBefore w:val="1"/>
          <w:gridAfter w:val="1"/>
          <w:wBefore w:w="15" w:type="dxa"/>
          <w:wAfter w:w="133" w:type="dxa"/>
          <w:trHeight w:val="255" w:hRule="atLeast"/>
        </w:trPr>
        <w:tc>
          <w:tcPr>
            <w:tcW w:w="5369" w:type="dxa"/>
            <w:gridSpan w:val="3"/>
            <w:tcBorders>
              <w:top w:val="nil"/>
              <w:left w:val="nil"/>
              <w:bottom w:val="single" w:color="000000" w:sz="4" w:space="0"/>
              <w:right w:val="nil"/>
            </w:tcBorders>
            <w:shd w:val="clear" w:color="000000" w:fill="FFFFFF"/>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单位：许昌市森林公安局</w:t>
            </w:r>
          </w:p>
        </w:tc>
        <w:tc>
          <w:tcPr>
            <w:tcW w:w="3562"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67"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34"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34"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074"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536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     入</w:t>
            </w:r>
          </w:p>
        </w:tc>
        <w:tc>
          <w:tcPr>
            <w:tcW w:w="8471"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     出</w:t>
            </w:r>
          </w:p>
        </w:tc>
      </w:tr>
      <w:tr>
        <w:tblPrEx>
          <w:tblCellMar>
            <w:top w:w="0" w:type="dxa"/>
            <w:left w:w="108" w:type="dxa"/>
            <w:bottom w:w="0" w:type="dxa"/>
            <w:right w:w="108" w:type="dxa"/>
          </w:tblCellMar>
        </w:tblPrEx>
        <w:trPr>
          <w:gridBefore w:val="1"/>
          <w:gridAfter w:val="1"/>
          <w:wBefore w:w="15" w:type="dxa"/>
          <w:wAfter w:w="133" w:type="dxa"/>
          <w:trHeight w:val="312" w:hRule="atLeast"/>
        </w:trPr>
        <w:tc>
          <w:tcPr>
            <w:tcW w:w="3769"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50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0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356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56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1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一般公共预算财政拨款</w:t>
            </w:r>
          </w:p>
        </w:tc>
        <w:tc>
          <w:tcPr>
            <w:tcW w:w="11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政府性基金预算财政拨款</w:t>
            </w:r>
          </w:p>
        </w:tc>
        <w:tc>
          <w:tcPr>
            <w:tcW w:w="9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国有资本经营预算财政拨款</w:t>
            </w:r>
          </w:p>
        </w:tc>
      </w:tr>
      <w:tr>
        <w:tblPrEx>
          <w:tblCellMar>
            <w:top w:w="0" w:type="dxa"/>
            <w:left w:w="108" w:type="dxa"/>
            <w:bottom w:w="0" w:type="dxa"/>
            <w:right w:w="108" w:type="dxa"/>
          </w:tblCellMar>
        </w:tblPrEx>
        <w:trPr>
          <w:gridBefore w:val="1"/>
          <w:gridAfter w:val="1"/>
          <w:wBefore w:w="15" w:type="dxa"/>
          <w:wAfter w:w="133" w:type="dxa"/>
          <w:trHeight w:val="615" w:hRule="atLeast"/>
        </w:trPr>
        <w:tc>
          <w:tcPr>
            <w:tcW w:w="376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5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356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9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455.36</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411.39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411.39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2.61</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2.61</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auto"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093"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567"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134"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0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56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0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56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0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56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single" w:color="auto"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093"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single" w:color="auto"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567" w:type="dxa"/>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134"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24</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25</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26</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455.36</w:t>
            </w:r>
          </w:p>
        </w:tc>
        <w:tc>
          <w:tcPr>
            <w:tcW w:w="356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510.49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510.49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年初财政拨款结转和结余</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55.14</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年末财政拨款结转和结余</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一般公共预算财政拨款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55.14</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政府性基金预算财政拨款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国有资本经营预算财政拨款</w:t>
            </w:r>
          </w:p>
        </w:tc>
        <w:tc>
          <w:tcPr>
            <w:tcW w:w="5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6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63</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308" w:hRule="atLeast"/>
        </w:trPr>
        <w:tc>
          <w:tcPr>
            <w:tcW w:w="3769"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507" w:type="dxa"/>
            <w:tcBorders>
              <w:top w:val="nil"/>
              <w:left w:val="nil"/>
              <w:bottom w:val="single" w:color="000000" w:sz="8"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510.49</w:t>
            </w:r>
          </w:p>
        </w:tc>
        <w:tc>
          <w:tcPr>
            <w:tcW w:w="356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56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64</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510.49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510.49</w:t>
            </w:r>
          </w:p>
        </w:tc>
        <w:tc>
          <w:tcPr>
            <w:tcW w:w="113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gridAfter w:val="1"/>
          <w:wBefore w:w="15" w:type="dxa"/>
          <w:wAfter w:w="133" w:type="dxa"/>
          <w:trHeight w:val="585" w:hRule="atLeast"/>
        </w:trPr>
        <w:tc>
          <w:tcPr>
            <w:tcW w:w="13840" w:type="dxa"/>
            <w:gridSpan w:val="9"/>
            <w:tcBorders>
              <w:top w:val="nil"/>
              <w:left w:val="nil"/>
              <w:bottom w:val="nil"/>
              <w:right w:val="nil"/>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注：本表反映单位本年度一般公共预算财政拨款、政府性基金预算财政拨款和国有资本经营预算财政拨款的总收支和年末结转结余情况。本表金额转换为万元时，因四舍五入可能存在尾差。</w:t>
            </w:r>
          </w:p>
          <w:tbl>
            <w:tblPr>
              <w:tblStyle w:val="5"/>
              <w:tblW w:w="13680" w:type="dxa"/>
              <w:tblInd w:w="0" w:type="dxa"/>
              <w:tblLayout w:type="fixed"/>
              <w:tblCellMar>
                <w:top w:w="0" w:type="dxa"/>
                <w:left w:w="108" w:type="dxa"/>
                <w:bottom w:w="0" w:type="dxa"/>
                <w:right w:w="108" w:type="dxa"/>
              </w:tblCellMar>
            </w:tblPr>
            <w:tblGrid>
              <w:gridCol w:w="413"/>
              <w:gridCol w:w="323"/>
              <w:gridCol w:w="899"/>
              <w:gridCol w:w="5643"/>
              <w:gridCol w:w="2148"/>
              <w:gridCol w:w="2124"/>
              <w:gridCol w:w="2130"/>
            </w:tblGrid>
            <w:tr>
              <w:tblPrEx>
                <w:tblCellMar>
                  <w:top w:w="0" w:type="dxa"/>
                  <w:left w:w="108" w:type="dxa"/>
                  <w:bottom w:w="0" w:type="dxa"/>
                  <w:right w:w="108" w:type="dxa"/>
                </w:tblCellMar>
              </w:tblPrEx>
              <w:trPr>
                <w:trHeight w:val="765" w:hRule="atLeast"/>
              </w:trPr>
              <w:tc>
                <w:tcPr>
                  <w:tcW w:w="13680" w:type="dxa"/>
                  <w:gridSpan w:val="7"/>
                  <w:tcBorders>
                    <w:top w:val="nil"/>
                    <w:left w:val="nil"/>
                    <w:bottom w:val="nil"/>
                    <w:right w:val="nil"/>
                  </w:tcBorders>
                  <w:shd w:val="clear" w:color="000000" w:fill="FFFFFF"/>
                  <w:vAlign w:val="bottom"/>
                </w:tcPr>
                <w:p>
                  <w:pPr>
                    <w:widowControl/>
                    <w:spacing w:line="120" w:lineRule="auto"/>
                    <w:jc w:val="center"/>
                    <w:rPr>
                      <w:rFonts w:ascii="宋体" w:hAnsi="宋体" w:cs="Arial"/>
                      <w:color w:val="auto"/>
                      <w:kern w:val="0"/>
                      <w:sz w:val="30"/>
                      <w:szCs w:val="30"/>
                      <w:highlight w:val="none"/>
                    </w:rPr>
                  </w:pPr>
                </w:p>
                <w:p>
                  <w:pPr>
                    <w:widowControl/>
                    <w:spacing w:line="120" w:lineRule="auto"/>
                    <w:jc w:val="center"/>
                    <w:rPr>
                      <w:rFonts w:ascii="宋体" w:hAnsi="宋体" w:cs="Arial"/>
                      <w:color w:val="auto"/>
                      <w:kern w:val="0"/>
                      <w:sz w:val="30"/>
                      <w:szCs w:val="30"/>
                      <w:highlight w:val="none"/>
                    </w:rPr>
                  </w:pPr>
                </w:p>
                <w:p>
                  <w:pPr>
                    <w:widowControl/>
                    <w:spacing w:line="120" w:lineRule="auto"/>
                    <w:jc w:val="center"/>
                    <w:rPr>
                      <w:rFonts w:ascii="宋体" w:hAnsi="宋体" w:cs="Arial"/>
                      <w:color w:val="auto"/>
                      <w:kern w:val="0"/>
                      <w:sz w:val="30"/>
                      <w:szCs w:val="30"/>
                      <w:highlight w:val="none"/>
                    </w:rPr>
                  </w:pPr>
                </w:p>
                <w:p>
                  <w:pPr>
                    <w:widowControl/>
                    <w:spacing w:line="120" w:lineRule="auto"/>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一般公共预算财政拨款支出决算表</w:t>
                  </w:r>
                </w:p>
              </w:tc>
            </w:tr>
            <w:tr>
              <w:tblPrEx>
                <w:tblCellMar>
                  <w:top w:w="0" w:type="dxa"/>
                  <w:left w:w="108" w:type="dxa"/>
                  <w:bottom w:w="0" w:type="dxa"/>
                  <w:right w:w="108" w:type="dxa"/>
                </w:tblCellMar>
              </w:tblPrEx>
              <w:trPr>
                <w:trHeight w:val="407" w:hRule="atLeast"/>
              </w:trPr>
              <w:tc>
                <w:tcPr>
                  <w:tcW w:w="41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2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9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643"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148"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4254" w:type="dxa"/>
                  <w:gridSpan w:val="2"/>
                  <w:tcBorders>
                    <w:top w:val="nil"/>
                    <w:left w:val="nil"/>
                    <w:bottom w:val="nil"/>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公开05表</w:t>
                  </w:r>
                </w:p>
              </w:tc>
            </w:tr>
            <w:tr>
              <w:tblPrEx>
                <w:tblCellMar>
                  <w:top w:w="0" w:type="dxa"/>
                  <w:left w:w="108" w:type="dxa"/>
                  <w:bottom w:w="0" w:type="dxa"/>
                  <w:right w:w="108" w:type="dxa"/>
                </w:tblCellMar>
              </w:tblPrEx>
              <w:trPr>
                <w:trHeight w:val="407" w:hRule="atLeast"/>
              </w:trPr>
              <w:tc>
                <w:tcPr>
                  <w:tcW w:w="7278" w:type="dxa"/>
                  <w:gridSpan w:val="4"/>
                  <w:tcBorders>
                    <w:top w:val="nil"/>
                    <w:left w:val="nil"/>
                    <w:bottom w:val="single" w:color="000000" w:sz="4" w:space="0"/>
                    <w:right w:val="nil"/>
                  </w:tcBorders>
                  <w:shd w:val="clear" w:color="000000" w:fill="FFFFFF"/>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单位：许昌市森林公安局</w:t>
                  </w:r>
                </w:p>
              </w:tc>
              <w:tc>
                <w:tcPr>
                  <w:tcW w:w="2148"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4254"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420" w:hRule="atLeast"/>
              </w:trPr>
              <w:tc>
                <w:tcPr>
                  <w:tcW w:w="727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402"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r>
            <w:tr>
              <w:tblPrEx>
                <w:tblCellMar>
                  <w:top w:w="0" w:type="dxa"/>
                  <w:left w:w="108" w:type="dxa"/>
                  <w:bottom w:w="0" w:type="dxa"/>
                  <w:right w:w="108" w:type="dxa"/>
                </w:tblCellMar>
              </w:tblPrEx>
              <w:trPr>
                <w:trHeight w:val="420" w:hRule="atLeast"/>
              </w:trPr>
              <w:tc>
                <w:tcPr>
                  <w:tcW w:w="1635"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64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214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212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213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r>
            <w:tr>
              <w:tblPrEx>
                <w:tblCellMar>
                  <w:top w:w="0" w:type="dxa"/>
                  <w:left w:w="108" w:type="dxa"/>
                  <w:bottom w:w="0" w:type="dxa"/>
                  <w:right w:w="108" w:type="dxa"/>
                </w:tblCellMar>
              </w:tblPrEx>
              <w:trPr>
                <w:trHeight w:val="420" w:hRule="atLeast"/>
              </w:trPr>
              <w:tc>
                <w:tcPr>
                  <w:tcW w:w="163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64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4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420" w:hRule="atLeast"/>
              </w:trPr>
              <w:tc>
                <w:tcPr>
                  <w:tcW w:w="163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64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4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420" w:hRule="atLeast"/>
              </w:trPr>
              <w:tc>
                <w:tcPr>
                  <w:tcW w:w="7278"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21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21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21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r>
            <w:tr>
              <w:tblPrEx>
                <w:tblCellMar>
                  <w:top w:w="0" w:type="dxa"/>
                  <w:left w:w="108" w:type="dxa"/>
                  <w:bottom w:w="0" w:type="dxa"/>
                  <w:right w:w="108" w:type="dxa"/>
                </w:tblCellMar>
              </w:tblPrEx>
              <w:trPr>
                <w:trHeight w:val="420" w:hRule="atLeast"/>
              </w:trPr>
              <w:tc>
                <w:tcPr>
                  <w:tcW w:w="7278"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510.49</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498.57</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11.92</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公共安全支出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411.39</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401.60</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9.79</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20402</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公安</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411.39</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401.60</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9.79</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2040201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401.60</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401.60</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2040299</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其他公安支出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9.79</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9.79</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29.77</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行政单位离退休</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4.42</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4.42</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25.35</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25.35</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23.26</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行政单位医疗</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11.70</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11.70</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auto"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2101103</w:t>
                  </w:r>
                </w:p>
              </w:tc>
              <w:tc>
                <w:tcPr>
                  <w:tcW w:w="5643" w:type="dxa"/>
                  <w:tcBorders>
                    <w:top w:val="nil"/>
                    <w:left w:val="nil"/>
                    <w:bottom w:val="single" w:color="auto"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w:t>
                  </w:r>
                </w:p>
              </w:tc>
              <w:tc>
                <w:tcPr>
                  <w:tcW w:w="2148"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11.55</w:t>
                  </w:r>
                </w:p>
              </w:tc>
              <w:tc>
                <w:tcPr>
                  <w:tcW w:w="2124"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11.55</w:t>
                  </w:r>
                </w:p>
              </w:tc>
              <w:tc>
                <w:tcPr>
                  <w:tcW w:w="2130"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56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城乡社区支出</w:t>
                  </w:r>
                </w:p>
              </w:tc>
              <w:tc>
                <w:tcPr>
                  <w:tcW w:w="2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21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21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21201</w:t>
                  </w:r>
                </w:p>
              </w:tc>
              <w:tc>
                <w:tcPr>
                  <w:tcW w:w="56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城乡社区管理事务</w:t>
                  </w:r>
                </w:p>
              </w:tc>
              <w:tc>
                <w:tcPr>
                  <w:tcW w:w="2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21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21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2120101</w:t>
                  </w:r>
                </w:p>
              </w:tc>
              <w:tc>
                <w:tcPr>
                  <w:tcW w:w="56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2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21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41.34</w:t>
                  </w:r>
                </w:p>
              </w:tc>
              <w:tc>
                <w:tcPr>
                  <w:tcW w:w="21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213</w:t>
                  </w:r>
                </w:p>
              </w:tc>
              <w:tc>
                <w:tcPr>
                  <w:tcW w:w="56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农林水支出</w:t>
                  </w:r>
                </w:p>
              </w:tc>
              <w:tc>
                <w:tcPr>
                  <w:tcW w:w="2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2.61</w:t>
                  </w:r>
                </w:p>
              </w:tc>
              <w:tc>
                <w:tcPr>
                  <w:tcW w:w="21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0.49</w:t>
                  </w:r>
                </w:p>
              </w:tc>
              <w:tc>
                <w:tcPr>
                  <w:tcW w:w="21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2.13</w:t>
                  </w:r>
                </w:p>
              </w:tc>
            </w:tr>
            <w:tr>
              <w:tblPrEx>
                <w:tblCellMar>
                  <w:top w:w="0" w:type="dxa"/>
                  <w:left w:w="108" w:type="dxa"/>
                  <w:bottom w:w="0" w:type="dxa"/>
                  <w:right w:w="108" w:type="dxa"/>
                </w:tblCellMar>
              </w:tblPrEx>
              <w:trPr>
                <w:trHeight w:val="420" w:hRule="atLeast"/>
              </w:trPr>
              <w:tc>
                <w:tcPr>
                  <w:tcW w:w="1635" w:type="dxa"/>
                  <w:gridSpan w:val="3"/>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21302</w:t>
                  </w:r>
                </w:p>
              </w:tc>
              <w:tc>
                <w:tcPr>
                  <w:tcW w:w="5643" w:type="dxa"/>
                  <w:tcBorders>
                    <w:top w:val="single" w:color="auto" w:sz="4" w:space="0"/>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林业和草原</w:t>
                  </w:r>
                </w:p>
              </w:tc>
              <w:tc>
                <w:tcPr>
                  <w:tcW w:w="2148"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2.61</w:t>
                  </w:r>
                </w:p>
              </w:tc>
              <w:tc>
                <w:tcPr>
                  <w:tcW w:w="2124"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0.49</w:t>
                  </w:r>
                </w:p>
              </w:tc>
              <w:tc>
                <w:tcPr>
                  <w:tcW w:w="2130"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2.13</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2130201</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0.49</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0.49</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420" w:hRule="atLeast"/>
              </w:trPr>
              <w:tc>
                <w:tcPr>
                  <w:tcW w:w="1635"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2130213</w:t>
                  </w:r>
                </w:p>
              </w:tc>
              <w:tc>
                <w:tcPr>
                  <w:tcW w:w="564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执法与监督</w:t>
                  </w:r>
                </w:p>
              </w:tc>
              <w:tc>
                <w:tcPr>
                  <w:tcW w:w="21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2.13</w:t>
                  </w:r>
                </w:p>
              </w:tc>
              <w:tc>
                <w:tcPr>
                  <w:tcW w:w="212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1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2.13</w:t>
                  </w:r>
                </w:p>
              </w:tc>
            </w:tr>
            <w:tr>
              <w:tblPrEx>
                <w:tblCellMar>
                  <w:top w:w="0" w:type="dxa"/>
                  <w:left w:w="108" w:type="dxa"/>
                  <w:bottom w:w="0" w:type="dxa"/>
                  <w:right w:w="108" w:type="dxa"/>
                </w:tblCellMar>
              </w:tblPrEx>
              <w:trPr>
                <w:trHeight w:val="420" w:hRule="atLeast"/>
              </w:trPr>
              <w:tc>
                <w:tcPr>
                  <w:tcW w:w="13680" w:type="dxa"/>
                  <w:gridSpan w:val="7"/>
                  <w:tcBorders>
                    <w:top w:val="nil"/>
                    <w:left w:val="nil"/>
                    <w:bottom w:val="nil"/>
                    <w:right w:val="nil"/>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注：本表反映单位本年度一般公共预算财政拨款支出情况。本套报表金额单位转换时可能存在尾数误差。</w:t>
                  </w:r>
                </w:p>
              </w:tc>
            </w:tr>
          </w:tbl>
          <w:p>
            <w:pPr>
              <w:widowControl/>
              <w:jc w:val="left"/>
              <w:rPr>
                <w:rFonts w:ascii="宋体" w:hAnsi="宋体" w:cs="Arial"/>
                <w:color w:val="auto"/>
                <w:kern w:val="0"/>
                <w:sz w:val="22"/>
                <w:highlight w:val="none"/>
              </w:rPr>
            </w:pP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6" w:type="dxa"/>
        <w:tblInd w:w="0" w:type="dxa"/>
        <w:tblLayout w:type="fixed"/>
        <w:tblCellMar>
          <w:top w:w="0" w:type="dxa"/>
          <w:left w:w="0" w:type="dxa"/>
          <w:bottom w:w="0" w:type="dxa"/>
          <w:right w:w="0" w:type="dxa"/>
        </w:tblCellMar>
      </w:tblPr>
      <w:tblGrid>
        <w:gridCol w:w="15"/>
        <w:gridCol w:w="964"/>
        <w:gridCol w:w="3106"/>
        <w:gridCol w:w="1020"/>
        <w:gridCol w:w="1260"/>
        <w:gridCol w:w="1980"/>
        <w:gridCol w:w="987"/>
        <w:gridCol w:w="1144"/>
        <w:gridCol w:w="2576"/>
        <w:gridCol w:w="755"/>
        <w:gridCol w:w="169"/>
      </w:tblGrid>
      <w:tr>
        <w:tblPrEx>
          <w:tblCellMar>
            <w:top w:w="0" w:type="dxa"/>
            <w:left w:w="0" w:type="dxa"/>
            <w:bottom w:w="0" w:type="dxa"/>
            <w:right w:w="0" w:type="dxa"/>
          </w:tblCellMar>
        </w:tblPrEx>
        <w:trPr>
          <w:gridAfter w:val="1"/>
          <w:wAfter w:w="169" w:type="dxa"/>
          <w:trHeight w:val="600" w:hRule="atLeast"/>
        </w:trPr>
        <w:tc>
          <w:tcPr>
            <w:tcW w:w="13807" w:type="dxa"/>
            <w:gridSpan w:val="10"/>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kern w:val="0"/>
                <w:sz w:val="32"/>
                <w:szCs w:val="32"/>
                <w:highlight w:val="none"/>
                <w:lang w:bidi="ar"/>
              </w:rPr>
            </w:pPr>
            <w:r>
              <w:rPr>
                <w:rFonts w:hint="eastAsia" w:ascii="华文中宋" w:hAnsi="华文中宋" w:eastAsia="华文中宋" w:cs="华文中宋"/>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wBefore w:w="15" w:type="dxa"/>
          <w:trHeight w:val="255" w:hRule="atLeast"/>
        </w:trPr>
        <w:tc>
          <w:tcPr>
            <w:tcW w:w="964"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106"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02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6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98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87"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4"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500" w:type="dxa"/>
            <w:gridSpan w:val="3"/>
            <w:tcBorders>
              <w:top w:val="nil"/>
              <w:left w:val="nil"/>
              <w:bottom w:val="nil"/>
              <w:right w:val="nil"/>
            </w:tcBorders>
            <w:shd w:val="clear" w:color="000000" w:fill="FFFFFF"/>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公开06表</w:t>
            </w:r>
          </w:p>
        </w:tc>
      </w:tr>
      <w:tr>
        <w:tblPrEx>
          <w:tblCellMar>
            <w:top w:w="0" w:type="dxa"/>
            <w:left w:w="108" w:type="dxa"/>
            <w:bottom w:w="0" w:type="dxa"/>
            <w:right w:w="108" w:type="dxa"/>
          </w:tblCellMar>
        </w:tblPrEx>
        <w:trPr>
          <w:gridBefore w:val="1"/>
          <w:wBefore w:w="15" w:type="dxa"/>
          <w:trHeight w:val="255" w:hRule="atLeast"/>
        </w:trPr>
        <w:tc>
          <w:tcPr>
            <w:tcW w:w="5090" w:type="dxa"/>
            <w:gridSpan w:val="3"/>
            <w:tcBorders>
              <w:top w:val="nil"/>
              <w:left w:val="nil"/>
              <w:bottom w:val="single" w:color="000000" w:sz="4" w:space="0"/>
              <w:right w:val="nil"/>
            </w:tcBorders>
            <w:shd w:val="clear" w:color="000000" w:fill="FFFFFF"/>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单位：许昌市森林公安局</w:t>
            </w:r>
          </w:p>
        </w:tc>
        <w:tc>
          <w:tcPr>
            <w:tcW w:w="126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98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87"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4"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500" w:type="dxa"/>
            <w:gridSpan w:val="3"/>
            <w:tcBorders>
              <w:top w:val="nil"/>
              <w:left w:val="nil"/>
              <w:bottom w:val="single" w:color="000000" w:sz="4" w:space="0"/>
              <w:right w:val="nil"/>
            </w:tcBorders>
            <w:shd w:val="clear" w:color="000000" w:fill="FFFFFF"/>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gridBefore w:val="1"/>
          <w:wBefore w:w="15" w:type="dxa"/>
          <w:trHeight w:val="308" w:hRule="atLeast"/>
        </w:trPr>
        <w:tc>
          <w:tcPr>
            <w:tcW w:w="509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w:t>
            </w:r>
          </w:p>
        </w:tc>
        <w:tc>
          <w:tcPr>
            <w:tcW w:w="8871"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w:t>
            </w:r>
          </w:p>
        </w:tc>
      </w:tr>
      <w:tr>
        <w:tblPrEx>
          <w:tblCellMar>
            <w:top w:w="0" w:type="dxa"/>
            <w:left w:w="108" w:type="dxa"/>
            <w:bottom w:w="0" w:type="dxa"/>
            <w:right w:w="108" w:type="dxa"/>
          </w:tblCellMar>
        </w:tblPrEx>
        <w:trPr>
          <w:gridBefore w:val="1"/>
          <w:wBefore w:w="15" w:type="dxa"/>
          <w:trHeight w:val="312" w:hRule="atLeast"/>
        </w:trPr>
        <w:tc>
          <w:tcPr>
            <w:tcW w:w="964"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310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0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12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19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98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114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257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924"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gridBefore w:val="1"/>
          <w:wBefore w:w="15" w:type="dxa"/>
          <w:trHeight w:val="312" w:hRule="atLeast"/>
        </w:trPr>
        <w:tc>
          <w:tcPr>
            <w:tcW w:w="9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10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9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5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2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工资福利支出</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435.89</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商品和服务支出</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55.36</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债务利息及费用支出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30101</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基本工资</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83.91</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30201</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9.43</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30701</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国内债务付息</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30102</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津贴补贴</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94.80</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30202</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印刷费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0.74</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30702</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国外债务付息</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30103</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131.06</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30203</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咨询费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资本性支出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30106</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伙食补助费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30204</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手续费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31001</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房屋建筑物购建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30107</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绩效工资</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30205</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水费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0.32</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31002</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办公设备购置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1.94</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30108</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25.35</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30206</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电费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2.39</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31003</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专用设备购置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30109</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职业年金缴费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30207</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邮电费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0.99</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31005</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基础设施建设</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30110</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职工基本医疗保险缴费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11.70</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30208</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取暖费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31006</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大型修缮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30111</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11.55</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30209</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物业管理费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31007</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信息网络及软件购置更新</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30112</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其他社会保障缴费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0.16</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30211</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差旅费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1.23</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31008</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物资储备</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30113</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住房公积金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23.80</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30212</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因公出国（境）费用</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31009</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土地补偿</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30114</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30213</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维修（护）费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1.68</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31010</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安置补助</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30199</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其他工资福利支出</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53.55</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30214</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租赁费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0.21</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31011</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地上附着物和青苗补偿</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对个人和家庭的补助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30215</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会议费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31012</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拆迁补偿</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30301</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离休费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30216</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培训费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0.56</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31013</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30302</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退休费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4.42</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30217</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公务接待费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0.32</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31019</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其他交通工具购置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30303</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退职（役）费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30218</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专用材料费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31021</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文物和陈列品购置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30304</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抚恤金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30224</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被装购置费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1.21</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31022</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无形资产购置</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30305</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生活补助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0.58</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30225</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专用燃料费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31099</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其他资本性支出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0.38</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30306</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救济费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30226</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劳务费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5.72</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30307</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30227</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委托业务费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39906</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赠与</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30308</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助学金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30228</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工会经费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39907</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国家赔偿费用支出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645"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30309</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奖励金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30229</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福利费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1.71</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39908</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对民间非营利组织和群众性自治组织补贴</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30310</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个人农业生产补贴</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30231</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公务用车运行维护费</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5.60</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39999</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其他支出</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30311</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代缴社会保险费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30239</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其他交通费用</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18.83</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30399</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其他对个人和家庭的补助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30240</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税金及附加费用</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964"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0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30299</w:t>
            </w:r>
          </w:p>
        </w:tc>
        <w:tc>
          <w:tcPr>
            <w:tcW w:w="1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其他商品和服务支出</w:t>
            </w:r>
          </w:p>
        </w:tc>
        <w:tc>
          <w:tcPr>
            <w:tcW w:w="9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2.29</w:t>
            </w:r>
          </w:p>
        </w:tc>
        <w:tc>
          <w:tcPr>
            <w:tcW w:w="11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7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Before w:val="1"/>
          <w:wBefore w:w="15" w:type="dxa"/>
          <w:trHeight w:val="308" w:hRule="atLeast"/>
        </w:trPr>
        <w:tc>
          <w:tcPr>
            <w:tcW w:w="4070"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人员经费合计</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440.89</w:t>
            </w:r>
          </w:p>
        </w:tc>
        <w:tc>
          <w:tcPr>
            <w:tcW w:w="7947" w:type="dxa"/>
            <w:gridSpan w:val="5"/>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公用经费合计</w:t>
            </w:r>
          </w:p>
        </w:tc>
        <w:tc>
          <w:tcPr>
            <w:tcW w:w="924"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57.69</w:t>
            </w:r>
          </w:p>
        </w:tc>
      </w:tr>
      <w:tr>
        <w:tblPrEx>
          <w:tblCellMar>
            <w:top w:w="0" w:type="dxa"/>
            <w:left w:w="108" w:type="dxa"/>
            <w:bottom w:w="0" w:type="dxa"/>
            <w:right w:w="108" w:type="dxa"/>
          </w:tblCellMar>
        </w:tblPrEx>
        <w:trPr>
          <w:gridBefore w:val="1"/>
          <w:wBefore w:w="15" w:type="dxa"/>
          <w:trHeight w:val="308" w:hRule="atLeast"/>
        </w:trPr>
        <w:tc>
          <w:tcPr>
            <w:tcW w:w="13961" w:type="dxa"/>
            <w:gridSpan w:val="10"/>
            <w:tcBorders>
              <w:top w:val="nil"/>
              <w:left w:val="nil"/>
              <w:bottom w:val="nil"/>
              <w:right w:val="nil"/>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注：本表反映单位本年度一般公共预算财政拨款基本支出明细情况。本表金额转换为万元时，因四舍五入可能存在尾差。</w:t>
            </w:r>
          </w:p>
          <w:tbl>
            <w:tblPr>
              <w:tblStyle w:val="5"/>
              <w:tblW w:w="13680" w:type="dxa"/>
              <w:tblInd w:w="0" w:type="dxa"/>
              <w:tblLayout w:type="fixed"/>
              <w:tblCellMar>
                <w:top w:w="0" w:type="dxa"/>
                <w:left w:w="108" w:type="dxa"/>
                <w:bottom w:w="0" w:type="dxa"/>
                <w:right w:w="108" w:type="dxa"/>
              </w:tblCellMar>
            </w:tblPr>
            <w:tblGrid>
              <w:gridCol w:w="1140"/>
              <w:gridCol w:w="1140"/>
              <w:gridCol w:w="1140"/>
              <w:gridCol w:w="1140"/>
              <w:gridCol w:w="1140"/>
              <w:gridCol w:w="1140"/>
              <w:gridCol w:w="1140"/>
              <w:gridCol w:w="1140"/>
              <w:gridCol w:w="1140"/>
              <w:gridCol w:w="1140"/>
              <w:gridCol w:w="1140"/>
              <w:gridCol w:w="1140"/>
            </w:tblGrid>
            <w:tr>
              <w:tblPrEx>
                <w:tblCellMar>
                  <w:top w:w="0" w:type="dxa"/>
                  <w:left w:w="108" w:type="dxa"/>
                  <w:bottom w:w="0" w:type="dxa"/>
                  <w:right w:w="108" w:type="dxa"/>
                </w:tblCellMar>
              </w:tblPrEx>
              <w:trPr>
                <w:trHeight w:val="390" w:hRule="atLeast"/>
              </w:trPr>
              <w:tc>
                <w:tcPr>
                  <w:tcW w:w="13680" w:type="dxa"/>
                  <w:gridSpan w:val="12"/>
                  <w:tcBorders>
                    <w:top w:val="nil"/>
                    <w:left w:val="nil"/>
                    <w:bottom w:val="nil"/>
                    <w:right w:val="nil"/>
                  </w:tcBorders>
                  <w:shd w:val="clear" w:color="000000" w:fill="FFFFFF"/>
                  <w:vAlign w:val="bottom"/>
                </w:tcPr>
                <w:p>
                  <w:pPr>
                    <w:widowControl/>
                    <w:jc w:val="center"/>
                    <w:rPr>
                      <w:rFonts w:ascii="宋体" w:hAnsi="宋体" w:cs="Arial"/>
                      <w:color w:val="auto"/>
                      <w:kern w:val="0"/>
                      <w:sz w:val="30"/>
                      <w:szCs w:val="30"/>
                      <w:highlight w:val="none"/>
                    </w:rPr>
                  </w:pPr>
                </w:p>
                <w:p>
                  <w:pPr>
                    <w:widowControl/>
                    <w:jc w:val="center"/>
                    <w:rPr>
                      <w:rFonts w:ascii="宋体" w:hAnsi="宋体" w:cs="Arial"/>
                      <w:color w:val="auto"/>
                      <w:kern w:val="0"/>
                      <w:sz w:val="30"/>
                      <w:szCs w:val="30"/>
                      <w:highlight w:val="none"/>
                    </w:rPr>
                  </w:pPr>
                </w:p>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一般公共预算财政拨款“三公”经费支出决算表</w:t>
                  </w:r>
                </w:p>
              </w:tc>
            </w:tr>
            <w:tr>
              <w:tblPrEx>
                <w:tblCellMar>
                  <w:top w:w="0" w:type="dxa"/>
                  <w:left w:w="108" w:type="dxa"/>
                  <w:bottom w:w="0" w:type="dxa"/>
                  <w:right w:w="108" w:type="dxa"/>
                </w:tblCellMar>
              </w:tblPrEx>
              <w:trPr>
                <w:trHeight w:val="255" w:hRule="atLeast"/>
              </w:trPr>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280" w:type="dxa"/>
                  <w:gridSpan w:val="2"/>
                  <w:tcBorders>
                    <w:top w:val="nil"/>
                    <w:left w:val="nil"/>
                    <w:bottom w:val="nil"/>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公开07表</w:t>
                  </w:r>
                </w:p>
              </w:tc>
            </w:tr>
            <w:tr>
              <w:tblPrEx>
                <w:tblCellMar>
                  <w:top w:w="0" w:type="dxa"/>
                  <w:left w:w="108" w:type="dxa"/>
                  <w:bottom w:w="0" w:type="dxa"/>
                  <w:right w:w="108" w:type="dxa"/>
                </w:tblCellMar>
              </w:tblPrEx>
              <w:trPr>
                <w:trHeight w:val="255" w:hRule="atLeast"/>
              </w:trPr>
              <w:tc>
                <w:tcPr>
                  <w:tcW w:w="4560" w:type="dxa"/>
                  <w:gridSpan w:val="4"/>
                  <w:tcBorders>
                    <w:top w:val="nil"/>
                    <w:left w:val="nil"/>
                    <w:bottom w:val="single" w:color="000000" w:sz="4" w:space="0"/>
                    <w:right w:val="nil"/>
                  </w:tcBorders>
                  <w:shd w:val="clear" w:color="000000" w:fill="FFFFFF"/>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单位：许昌市森林公安局</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4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280"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84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预算数</w:t>
                  </w:r>
                </w:p>
              </w:tc>
              <w:tc>
                <w:tcPr>
                  <w:tcW w:w="684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08" w:hRule="atLeast"/>
              </w:trPr>
              <w:tc>
                <w:tcPr>
                  <w:tcW w:w="11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42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42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r>
            <w:tr>
              <w:tblPrEx>
                <w:tblCellMar>
                  <w:top w:w="0" w:type="dxa"/>
                  <w:left w:w="108" w:type="dxa"/>
                  <w:bottom w:w="0" w:type="dxa"/>
                  <w:right w:w="108" w:type="dxa"/>
                </w:tblCellMar>
              </w:tblPrEx>
              <w:trPr>
                <w:trHeight w:val="915" w:hRule="atLeast"/>
              </w:trPr>
              <w:tc>
                <w:tcPr>
                  <w:tcW w:w="11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highlight w:val="none"/>
                    </w:rPr>
                  </w:pPr>
                </w:p>
              </w:tc>
              <w:tc>
                <w:tcPr>
                  <w:tcW w:w="11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highlight w:val="none"/>
                    </w:rPr>
                  </w:pP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1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highlight w:val="none"/>
                    </w:rPr>
                  </w:pPr>
                </w:p>
              </w:tc>
              <w:tc>
                <w:tcPr>
                  <w:tcW w:w="11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highlight w:val="none"/>
                    </w:rPr>
                  </w:pPr>
                </w:p>
              </w:tc>
              <w:tc>
                <w:tcPr>
                  <w:tcW w:w="11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highlight w:val="none"/>
                    </w:rPr>
                  </w:pP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r>
            <w:tr>
              <w:tblPrEx>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16.00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16.00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0.50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5.93</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5.60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5.60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0.32</w:t>
                  </w:r>
                </w:p>
              </w:tc>
            </w:tr>
            <w:tr>
              <w:tblPrEx>
                <w:tblCellMar>
                  <w:top w:w="0" w:type="dxa"/>
                  <w:left w:w="108" w:type="dxa"/>
                  <w:bottom w:w="0" w:type="dxa"/>
                  <w:right w:w="108" w:type="dxa"/>
                </w:tblCellMar>
              </w:tblPrEx>
              <w:trPr>
                <w:trHeight w:val="615" w:hRule="atLeast"/>
              </w:trPr>
              <w:tc>
                <w:tcPr>
                  <w:tcW w:w="13680" w:type="dxa"/>
                  <w:gridSpan w:val="12"/>
                  <w:tcBorders>
                    <w:top w:val="nil"/>
                    <w:left w:val="nil"/>
                    <w:bottom w:val="nil"/>
                    <w:right w:val="nil"/>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left"/>
              <w:rPr>
                <w:rFonts w:ascii="宋体" w:hAnsi="宋体" w:cs="Arial"/>
                <w:color w:val="auto"/>
                <w:kern w:val="0"/>
                <w:sz w:val="22"/>
                <w:highlight w:val="none"/>
              </w:rPr>
            </w:pPr>
          </w:p>
        </w:tc>
      </w:tr>
    </w:tbl>
    <w:p>
      <w:pPr>
        <w:rPr>
          <w:rFonts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00" w:type="dxa"/>
        <w:tblInd w:w="108" w:type="dxa"/>
        <w:tblLayout w:type="fixed"/>
        <w:tblCellMar>
          <w:top w:w="0" w:type="dxa"/>
          <w:left w:w="108" w:type="dxa"/>
          <w:bottom w:w="0" w:type="dxa"/>
          <w:right w:w="108" w:type="dxa"/>
        </w:tblCellMar>
      </w:tblPr>
      <w:tblGrid>
        <w:gridCol w:w="250"/>
        <w:gridCol w:w="250"/>
        <w:gridCol w:w="250"/>
        <w:gridCol w:w="2299"/>
        <w:gridCol w:w="1791"/>
        <w:gridCol w:w="1791"/>
        <w:gridCol w:w="1791"/>
        <w:gridCol w:w="1791"/>
        <w:gridCol w:w="1793"/>
        <w:gridCol w:w="1794"/>
      </w:tblGrid>
      <w:tr>
        <w:tblPrEx>
          <w:tblCellMar>
            <w:top w:w="0" w:type="dxa"/>
            <w:left w:w="108" w:type="dxa"/>
            <w:bottom w:w="0" w:type="dxa"/>
            <w:right w:w="108" w:type="dxa"/>
          </w:tblCellMar>
        </w:tblPrEx>
        <w:trPr>
          <w:trHeight w:val="638" w:hRule="atLeast"/>
        </w:trPr>
        <w:tc>
          <w:tcPr>
            <w:tcW w:w="13800" w:type="dxa"/>
            <w:gridSpan w:val="10"/>
            <w:tcBorders>
              <w:top w:val="nil"/>
              <w:left w:val="nil"/>
              <w:bottom w:val="nil"/>
              <w:right w:val="nil"/>
            </w:tcBorders>
            <w:shd w:val="clear" w:color="000000" w:fill="FFFFFF"/>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政府性基金预算财政拨款收入支出决算表</w:t>
            </w:r>
          </w:p>
        </w:tc>
      </w:tr>
      <w:tr>
        <w:tblPrEx>
          <w:tblCellMar>
            <w:top w:w="0" w:type="dxa"/>
            <w:left w:w="108" w:type="dxa"/>
            <w:bottom w:w="0" w:type="dxa"/>
            <w:right w:w="108" w:type="dxa"/>
          </w:tblCellMar>
        </w:tblPrEx>
        <w:trPr>
          <w:trHeight w:val="319" w:hRule="atLeast"/>
        </w:trPr>
        <w:tc>
          <w:tcPr>
            <w:tcW w:w="25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5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50"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299"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587" w:type="dxa"/>
            <w:gridSpan w:val="2"/>
            <w:tcBorders>
              <w:top w:val="nil"/>
              <w:left w:val="nil"/>
              <w:bottom w:val="nil"/>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公开08表</w:t>
            </w:r>
          </w:p>
        </w:tc>
      </w:tr>
      <w:tr>
        <w:tblPrEx>
          <w:tblCellMar>
            <w:top w:w="0" w:type="dxa"/>
            <w:left w:w="108" w:type="dxa"/>
            <w:bottom w:w="0" w:type="dxa"/>
            <w:right w:w="108" w:type="dxa"/>
          </w:tblCellMar>
        </w:tblPrEx>
        <w:trPr>
          <w:trHeight w:val="319" w:hRule="atLeast"/>
        </w:trPr>
        <w:tc>
          <w:tcPr>
            <w:tcW w:w="3049" w:type="dxa"/>
            <w:gridSpan w:val="4"/>
            <w:tcBorders>
              <w:top w:val="nil"/>
              <w:left w:val="nil"/>
              <w:bottom w:val="single" w:color="000000" w:sz="4" w:space="0"/>
              <w:right w:val="nil"/>
            </w:tcBorders>
            <w:shd w:val="clear" w:color="000000" w:fill="FFFFFF"/>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单位：许昌市森林公安局</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791" w:type="dxa"/>
            <w:tcBorders>
              <w:top w:val="nil"/>
              <w:left w:val="nil"/>
              <w:bottom w:val="nil"/>
              <w:right w:val="nil"/>
            </w:tcBorders>
            <w:shd w:val="clear" w:color="000000" w:fill="FFFFFF"/>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587" w:type="dxa"/>
            <w:gridSpan w:val="2"/>
            <w:tcBorders>
              <w:top w:val="nil"/>
              <w:left w:val="nil"/>
              <w:bottom w:val="single" w:color="000000" w:sz="4" w:space="0"/>
              <w:right w:val="nil"/>
            </w:tcBorders>
            <w:shd w:val="clear" w:color="000000" w:fill="FFFFFF"/>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29" w:hRule="atLeast"/>
        </w:trPr>
        <w:tc>
          <w:tcPr>
            <w:tcW w:w="304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79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179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w:t>
            </w:r>
          </w:p>
        </w:tc>
        <w:tc>
          <w:tcPr>
            <w:tcW w:w="5375"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c>
          <w:tcPr>
            <w:tcW w:w="179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r>
      <w:tr>
        <w:tblPrEx>
          <w:tblCellMar>
            <w:top w:w="0" w:type="dxa"/>
            <w:left w:w="108" w:type="dxa"/>
            <w:bottom w:w="0" w:type="dxa"/>
            <w:right w:w="108" w:type="dxa"/>
          </w:tblCellMar>
        </w:tblPrEx>
        <w:trPr>
          <w:trHeight w:val="329" w:hRule="atLeast"/>
        </w:trPr>
        <w:tc>
          <w:tcPr>
            <w:tcW w:w="75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229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79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highlight w:val="none"/>
              </w:rPr>
            </w:pPr>
          </w:p>
        </w:tc>
        <w:tc>
          <w:tcPr>
            <w:tcW w:w="179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highlight w:val="none"/>
              </w:rPr>
            </w:pPr>
          </w:p>
        </w:tc>
        <w:tc>
          <w:tcPr>
            <w:tcW w:w="179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79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7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17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29" w:hRule="atLeast"/>
        </w:trPr>
        <w:tc>
          <w:tcPr>
            <w:tcW w:w="75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2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627" w:hRule="atLeast"/>
        </w:trPr>
        <w:tc>
          <w:tcPr>
            <w:tcW w:w="75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2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29" w:hRule="atLeast"/>
        </w:trPr>
        <w:tc>
          <w:tcPr>
            <w:tcW w:w="3049"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79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79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79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79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7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79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trHeight w:val="329" w:hRule="atLeast"/>
        </w:trPr>
        <w:tc>
          <w:tcPr>
            <w:tcW w:w="3049"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29" w:hRule="atLeast"/>
        </w:trPr>
        <w:tc>
          <w:tcPr>
            <w:tcW w:w="750"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9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9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29" w:hRule="atLeast"/>
        </w:trPr>
        <w:tc>
          <w:tcPr>
            <w:tcW w:w="13800" w:type="dxa"/>
            <w:gridSpan w:val="10"/>
            <w:tcBorders>
              <w:top w:val="nil"/>
              <w:left w:val="nil"/>
              <w:bottom w:val="nil"/>
              <w:right w:val="nil"/>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注：本表反映单位本年度政府性基金预算财政拨款收入、支出及结转和结余情况。本表金额转换为万元时，因四舍五入可能存在尾差。</w:t>
            </w:r>
          </w:p>
        </w:tc>
      </w:tr>
      <w:tr>
        <w:tblPrEx>
          <w:tblCellMar>
            <w:top w:w="0" w:type="dxa"/>
            <w:left w:w="108" w:type="dxa"/>
            <w:bottom w:w="0" w:type="dxa"/>
            <w:right w:w="108" w:type="dxa"/>
          </w:tblCellMar>
        </w:tblPrEx>
        <w:trPr>
          <w:trHeight w:val="319" w:hRule="atLeast"/>
        </w:trPr>
        <w:tc>
          <w:tcPr>
            <w:tcW w:w="13800" w:type="dxa"/>
            <w:gridSpan w:val="10"/>
            <w:tcBorders>
              <w:top w:val="nil"/>
              <w:left w:val="nil"/>
              <w:bottom w:val="nil"/>
              <w:right w:val="nil"/>
            </w:tcBorders>
            <w:shd w:val="clear" w:color="000000" w:fill="FFFFFF"/>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说明：我单位没有政府性基金收入，也没有使用政府性基金安排的支出，故本表无数据。</w:t>
            </w:r>
          </w:p>
        </w:tc>
      </w:tr>
    </w:tbl>
    <w:p>
      <w:pPr>
        <w:widowControl/>
        <w:spacing w:line="590" w:lineRule="exact"/>
        <w:jc w:val="left"/>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2021年度单位决算情况说明</w:t>
      </w:r>
    </w:p>
    <w:p>
      <w:pPr>
        <w:widowControl/>
        <w:jc w:val="left"/>
        <w:rPr>
          <w:rFonts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年度收、支总计均为510.49万元。与上年度相比，收、支总计各减少54.16万元，下降9</w:t>
      </w:r>
      <w:r>
        <w:rPr>
          <w:rFonts w:ascii="仿宋_GB2312" w:hAnsi="仿宋_GB2312" w:eastAsia="仿宋_GB2312" w:cs="仿宋_GB2312"/>
          <w:color w:val="auto"/>
          <w:sz w:val="32"/>
          <w:szCs w:val="32"/>
          <w:highlight w:val="none"/>
        </w:rPr>
        <w:t>.59</w:t>
      </w:r>
      <w:r>
        <w:rPr>
          <w:rFonts w:hint="eastAsia" w:ascii="仿宋_GB2312" w:hAnsi="仿宋_GB2312" w:eastAsia="仿宋_GB2312" w:cs="仿宋_GB2312"/>
          <w:color w:val="auto"/>
          <w:sz w:val="32"/>
          <w:szCs w:val="32"/>
          <w:highlight w:val="none"/>
        </w:rPr>
        <w:t>%。主要原因是年底收回结余</w:t>
      </w:r>
      <w:r>
        <w:rPr>
          <w:rFonts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年度收入合计4</w:t>
      </w:r>
      <w:r>
        <w:rPr>
          <w:rFonts w:ascii="仿宋_GB2312" w:hAnsi="仿宋_GB2312" w:eastAsia="仿宋_GB2312" w:cs="仿宋_GB2312"/>
          <w:color w:val="auto"/>
          <w:sz w:val="32"/>
          <w:szCs w:val="32"/>
          <w:highlight w:val="none"/>
        </w:rPr>
        <w:t>55.36</w:t>
      </w:r>
      <w:r>
        <w:rPr>
          <w:rFonts w:hint="eastAsia" w:ascii="仿宋_GB2312" w:hAnsi="仿宋_GB2312" w:eastAsia="仿宋_GB2312" w:cs="仿宋_GB2312"/>
          <w:color w:val="auto"/>
          <w:sz w:val="32"/>
          <w:szCs w:val="32"/>
          <w:highlight w:val="none"/>
        </w:rPr>
        <w:t>万元，其中：财政拨款收入455.36万元，占1</w:t>
      </w:r>
      <w:r>
        <w:rPr>
          <w:rFonts w:ascii="仿宋_GB2312" w:hAnsi="仿宋_GB2312" w:eastAsia="仿宋_GB2312" w:cs="仿宋_GB2312"/>
          <w:color w:val="auto"/>
          <w:sz w:val="32"/>
          <w:szCs w:val="32"/>
          <w:highlight w:val="none"/>
        </w:rPr>
        <w:t>00.00</w:t>
      </w:r>
      <w:r>
        <w:rPr>
          <w:rFonts w:hint="eastAsia" w:ascii="仿宋_GB2312" w:hAnsi="仿宋_GB2312" w:eastAsia="仿宋_GB2312" w:cs="仿宋_GB2312"/>
          <w:color w:val="auto"/>
          <w:sz w:val="32"/>
          <w:szCs w:val="32"/>
          <w:highlight w:val="none"/>
        </w:rPr>
        <w:t>%；上级补助收入0.00万元，占0.00%；事业收入0.00万元，占0.00%；经营收入0.00万元，占0.00%；附属单位上缴收入0.00万元，占0.00%；其他收入0.00万元，占0.00%。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年度支出合计5</w:t>
      </w:r>
      <w:r>
        <w:rPr>
          <w:rFonts w:ascii="仿宋_GB2312" w:hAnsi="仿宋_GB2312" w:eastAsia="仿宋_GB2312" w:cs="仿宋_GB2312"/>
          <w:color w:val="auto"/>
          <w:sz w:val="32"/>
          <w:szCs w:val="32"/>
          <w:highlight w:val="none"/>
        </w:rPr>
        <w:t>10.49</w:t>
      </w:r>
      <w:r>
        <w:rPr>
          <w:rFonts w:hint="eastAsia" w:ascii="仿宋_GB2312" w:hAnsi="仿宋_GB2312" w:eastAsia="仿宋_GB2312" w:cs="仿宋_GB2312"/>
          <w:color w:val="auto"/>
          <w:sz w:val="32"/>
          <w:szCs w:val="32"/>
          <w:highlight w:val="none"/>
        </w:rPr>
        <w:t>万元，其中：基本支出498.57万元，占9</w:t>
      </w:r>
      <w:r>
        <w:rPr>
          <w:rFonts w:ascii="仿宋_GB2312" w:hAnsi="仿宋_GB2312" w:eastAsia="仿宋_GB2312" w:cs="仿宋_GB2312"/>
          <w:color w:val="auto"/>
          <w:sz w:val="32"/>
          <w:szCs w:val="32"/>
          <w:highlight w:val="none"/>
        </w:rPr>
        <w:t>7.66</w:t>
      </w:r>
      <w:r>
        <w:rPr>
          <w:rFonts w:hint="eastAsia" w:ascii="仿宋_GB2312" w:hAnsi="仿宋_GB2312" w:eastAsia="仿宋_GB2312" w:cs="仿宋_GB2312"/>
          <w:color w:val="auto"/>
          <w:sz w:val="32"/>
          <w:szCs w:val="32"/>
          <w:highlight w:val="none"/>
        </w:rPr>
        <w:t>%；项目支出11.92万元，占2</w:t>
      </w:r>
      <w:r>
        <w:rPr>
          <w:rFonts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t>%；上缴上级支出0.00万元，占0.00%；经营支出0.00万元，占0.00%；对附属单位补助支出0.00万元，占0.00%。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年度财政拨款收、支总计均为5</w:t>
      </w:r>
      <w:r>
        <w:rPr>
          <w:rFonts w:ascii="仿宋_GB2312" w:hAnsi="仿宋_GB2312" w:eastAsia="仿宋_GB2312" w:cs="仿宋_GB2312"/>
          <w:color w:val="auto"/>
          <w:sz w:val="32"/>
          <w:szCs w:val="32"/>
          <w:highlight w:val="none"/>
        </w:rPr>
        <w:t>10.49</w:t>
      </w:r>
      <w:r>
        <w:rPr>
          <w:rFonts w:hint="eastAsia" w:ascii="仿宋_GB2312" w:hAnsi="仿宋_GB2312" w:eastAsia="仿宋_GB2312" w:cs="仿宋_GB2312"/>
          <w:color w:val="auto"/>
          <w:sz w:val="32"/>
          <w:szCs w:val="32"/>
          <w:highlight w:val="none"/>
        </w:rPr>
        <w:t>万元。与上年度相比，财政拨款收、支总计各减少5</w:t>
      </w:r>
      <w:r>
        <w:rPr>
          <w:rFonts w:ascii="仿宋_GB2312" w:hAnsi="仿宋_GB2312" w:eastAsia="仿宋_GB2312" w:cs="仿宋_GB2312"/>
          <w:color w:val="auto"/>
          <w:sz w:val="32"/>
          <w:szCs w:val="32"/>
          <w:highlight w:val="none"/>
        </w:rPr>
        <w:t>2.64</w:t>
      </w:r>
      <w:r>
        <w:rPr>
          <w:rFonts w:hint="eastAsia" w:ascii="仿宋_GB2312" w:hAnsi="仿宋_GB2312" w:eastAsia="仿宋_GB2312" w:cs="仿宋_GB2312"/>
          <w:color w:val="auto"/>
          <w:sz w:val="32"/>
          <w:szCs w:val="32"/>
          <w:highlight w:val="none"/>
        </w:rPr>
        <w:t>万元，下降9.35%。主要原因是年底收回结余</w:t>
      </w:r>
      <w:r>
        <w:rPr>
          <w:rFonts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年度一般公共预算财政拨款支出5</w:t>
      </w:r>
      <w:r>
        <w:rPr>
          <w:rFonts w:ascii="仿宋_GB2312" w:hAnsi="仿宋_GB2312" w:eastAsia="仿宋_GB2312" w:cs="仿宋_GB2312"/>
          <w:color w:val="auto"/>
          <w:sz w:val="32"/>
          <w:szCs w:val="32"/>
          <w:highlight w:val="none"/>
        </w:rPr>
        <w:t>10.49</w:t>
      </w:r>
      <w:r>
        <w:rPr>
          <w:rFonts w:hint="eastAsia" w:ascii="仿宋_GB2312" w:hAnsi="仿宋_GB2312" w:eastAsia="仿宋_GB2312" w:cs="仿宋_GB2312"/>
          <w:color w:val="auto"/>
          <w:sz w:val="32"/>
          <w:szCs w:val="32"/>
          <w:highlight w:val="none"/>
        </w:rPr>
        <w:t>万元，占支出合计的1</w:t>
      </w:r>
      <w:r>
        <w:rPr>
          <w:rFonts w:ascii="仿宋_GB2312" w:hAnsi="仿宋_GB2312" w:eastAsia="仿宋_GB2312" w:cs="仿宋_GB2312"/>
          <w:color w:val="auto"/>
          <w:sz w:val="32"/>
          <w:szCs w:val="32"/>
          <w:highlight w:val="none"/>
        </w:rPr>
        <w:t>00.00</w:t>
      </w:r>
      <w:r>
        <w:rPr>
          <w:rFonts w:hint="eastAsia" w:ascii="仿宋_GB2312" w:hAnsi="仿宋_GB2312" w:eastAsia="仿宋_GB2312" w:cs="仿宋_GB2312"/>
          <w:color w:val="auto"/>
          <w:sz w:val="32"/>
          <w:szCs w:val="32"/>
          <w:highlight w:val="none"/>
        </w:rPr>
        <w:t>%。与上年度相比，一般公共预算财政拨款支出增加27.36万元，增长5</w:t>
      </w:r>
      <w:r>
        <w:rPr>
          <w:rFonts w:ascii="仿宋_GB2312" w:hAnsi="仿宋_GB2312" w:eastAsia="仿宋_GB2312" w:cs="仿宋_GB2312"/>
          <w:color w:val="auto"/>
          <w:sz w:val="32"/>
          <w:szCs w:val="32"/>
          <w:highlight w:val="none"/>
        </w:rPr>
        <w:t>.66</w:t>
      </w:r>
      <w:r>
        <w:rPr>
          <w:rFonts w:hint="eastAsia" w:ascii="仿宋_GB2312" w:hAnsi="仿宋_GB2312" w:eastAsia="仿宋_GB2312" w:cs="仿宋_GB2312"/>
          <w:color w:val="auto"/>
          <w:sz w:val="32"/>
          <w:szCs w:val="32"/>
          <w:highlight w:val="none"/>
        </w:rPr>
        <w:t>%。主要原因是工资福利支出</w:t>
      </w:r>
      <w:r>
        <w:rPr>
          <w:rFonts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年度一般公共预算财政拨款支出510.49万元，主要用于以下方面：一般公共服务（类）支出2.12万元，占0.42%；公共安全（类）</w:t>
      </w:r>
      <w:r>
        <w:rPr>
          <w:rFonts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rPr>
        <w:t>411.39万元</w:t>
      </w:r>
      <w:r>
        <w:rPr>
          <w:rFonts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rPr>
        <w:t>80.59</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社会保障</w:t>
      </w:r>
      <w:r>
        <w:rPr>
          <w:rFonts w:ascii="仿宋_GB2312" w:hAnsi="仿宋_GB2312" w:eastAsia="仿宋_GB2312" w:cs="仿宋_GB2312"/>
          <w:color w:val="auto"/>
          <w:sz w:val="32"/>
          <w:szCs w:val="32"/>
          <w:highlight w:val="none"/>
        </w:rPr>
        <w:t>和就业</w:t>
      </w:r>
      <w:r>
        <w:rPr>
          <w:rFonts w:hint="eastAsia" w:ascii="仿宋_GB2312" w:hAnsi="仿宋_GB2312" w:eastAsia="仿宋_GB2312" w:cs="仿宋_GB2312"/>
          <w:color w:val="auto"/>
          <w:sz w:val="32"/>
          <w:szCs w:val="32"/>
          <w:highlight w:val="none"/>
        </w:rPr>
        <w:t>（类）</w:t>
      </w:r>
      <w:r>
        <w:rPr>
          <w:rFonts w:ascii="仿宋_GB2312" w:hAnsi="仿宋_GB2312" w:eastAsia="仿宋_GB2312" w:cs="仿宋_GB2312"/>
          <w:color w:val="auto"/>
          <w:sz w:val="32"/>
          <w:szCs w:val="32"/>
          <w:highlight w:val="none"/>
        </w:rPr>
        <w:t>支出29.77</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占</w:t>
      </w:r>
      <w:r>
        <w:rPr>
          <w:rFonts w:ascii="仿宋_GB2312" w:hAnsi="仿宋_GB2312" w:eastAsia="仿宋_GB2312" w:cs="仿宋_GB2312"/>
          <w:color w:val="auto"/>
          <w:sz w:val="32"/>
          <w:szCs w:val="32"/>
          <w:highlight w:val="none"/>
        </w:rPr>
        <w:t>5.83</w:t>
      </w:r>
      <w:r>
        <w:rPr>
          <w:rFonts w:hint="eastAsia" w:ascii="仿宋_GB2312" w:hAnsi="仿宋_GB2312" w:eastAsia="仿宋_GB2312" w:cs="仿宋_GB2312"/>
          <w:color w:val="auto"/>
          <w:sz w:val="32"/>
          <w:szCs w:val="32"/>
          <w:highlight w:val="none"/>
        </w:rPr>
        <w:t>%；卫生</w:t>
      </w:r>
      <w:r>
        <w:rPr>
          <w:rFonts w:ascii="仿宋_GB2312" w:hAnsi="仿宋_GB2312" w:eastAsia="仿宋_GB2312" w:cs="仿宋_GB2312"/>
          <w:color w:val="auto"/>
          <w:sz w:val="32"/>
          <w:szCs w:val="32"/>
          <w:highlight w:val="none"/>
        </w:rPr>
        <w:t>健康</w:t>
      </w:r>
      <w:r>
        <w:rPr>
          <w:rFonts w:hint="eastAsia" w:ascii="仿宋_GB2312" w:hAnsi="仿宋_GB2312" w:eastAsia="仿宋_GB2312" w:cs="仿宋_GB2312"/>
          <w:color w:val="auto"/>
          <w:sz w:val="32"/>
          <w:szCs w:val="32"/>
          <w:highlight w:val="none"/>
        </w:rPr>
        <w:t>（类）支出</w:t>
      </w:r>
      <w:r>
        <w:rPr>
          <w:rFonts w:ascii="仿宋_GB2312" w:hAnsi="仿宋_GB2312" w:eastAsia="仿宋_GB2312" w:cs="仿宋_GB2312"/>
          <w:color w:val="auto"/>
          <w:sz w:val="32"/>
          <w:szCs w:val="32"/>
          <w:highlight w:val="none"/>
        </w:rPr>
        <w:t>23.26</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，占4.56%</w:t>
      </w:r>
      <w:r>
        <w:rPr>
          <w:rFonts w:hint="eastAsia" w:ascii="仿宋_GB2312" w:hAnsi="仿宋_GB2312" w:eastAsia="仿宋_GB2312" w:cs="仿宋_GB2312"/>
          <w:color w:val="auto"/>
          <w:sz w:val="32"/>
          <w:szCs w:val="32"/>
          <w:highlight w:val="none"/>
        </w:rPr>
        <w:t>；城乡</w:t>
      </w:r>
      <w:r>
        <w:rPr>
          <w:rFonts w:ascii="仿宋_GB2312" w:hAnsi="仿宋_GB2312" w:eastAsia="仿宋_GB2312" w:cs="仿宋_GB2312"/>
          <w:color w:val="auto"/>
          <w:sz w:val="32"/>
          <w:szCs w:val="32"/>
          <w:highlight w:val="none"/>
        </w:rPr>
        <w:t>社区</w:t>
      </w:r>
      <w:r>
        <w:rPr>
          <w:rFonts w:hint="eastAsia" w:ascii="仿宋_GB2312" w:hAnsi="仿宋_GB2312" w:eastAsia="仿宋_GB2312" w:cs="仿宋_GB2312"/>
          <w:color w:val="auto"/>
          <w:sz w:val="32"/>
          <w:szCs w:val="32"/>
          <w:highlight w:val="none"/>
        </w:rPr>
        <w:t>（类）支出</w:t>
      </w:r>
      <w:r>
        <w:rPr>
          <w:rFonts w:ascii="仿宋_GB2312" w:hAnsi="仿宋_GB2312" w:eastAsia="仿宋_GB2312" w:cs="仿宋_GB2312"/>
          <w:color w:val="auto"/>
          <w:sz w:val="32"/>
          <w:szCs w:val="32"/>
          <w:highlight w:val="none"/>
        </w:rPr>
        <w:t>41.34</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，占8.10%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农林水（</w:t>
      </w:r>
      <w:r>
        <w:rPr>
          <w:rFonts w:hint="eastAsia" w:ascii="仿宋_GB2312" w:hAnsi="仿宋_GB2312" w:eastAsia="仿宋_GB2312" w:cs="仿宋_GB2312"/>
          <w:color w:val="auto"/>
          <w:sz w:val="32"/>
          <w:szCs w:val="32"/>
          <w:highlight w:val="none"/>
        </w:rPr>
        <w:t>类</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支出</w:t>
      </w:r>
      <w:r>
        <w:rPr>
          <w:rFonts w:ascii="仿宋_GB2312" w:hAnsi="仿宋_GB2312" w:eastAsia="仿宋_GB2312" w:cs="仿宋_GB2312"/>
          <w:color w:val="auto"/>
          <w:sz w:val="32"/>
          <w:szCs w:val="32"/>
          <w:highlight w:val="none"/>
        </w:rPr>
        <w:t>2.61</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，占0.50%</w:t>
      </w:r>
      <w:r>
        <w:rPr>
          <w:rFonts w:hint="eastAsia" w:ascii="仿宋_GB2312" w:hAnsi="仿宋_GB2312" w:eastAsia="仿宋_GB2312" w:cs="仿宋_GB2312"/>
          <w:color w:val="auto"/>
          <w:sz w:val="32"/>
          <w:szCs w:val="32"/>
          <w:highlight w:val="none"/>
        </w:rPr>
        <w:t>。</w:t>
      </w:r>
    </w:p>
    <w:p>
      <w:pPr>
        <w:widowControl/>
        <w:spacing w:line="590" w:lineRule="exact"/>
        <w:ind w:firstLine="482" w:firstLineChars="15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年度一般公共预算财政拨款支出年初预算为475.73万元，支出决算为5</w:t>
      </w:r>
      <w:r>
        <w:rPr>
          <w:rFonts w:ascii="仿宋_GB2312" w:hAnsi="仿宋_GB2312" w:eastAsia="仿宋_GB2312" w:cs="仿宋_GB2312"/>
          <w:color w:val="auto"/>
          <w:sz w:val="32"/>
          <w:szCs w:val="32"/>
          <w:highlight w:val="none"/>
        </w:rPr>
        <w:t>10.49</w:t>
      </w:r>
      <w:r>
        <w:rPr>
          <w:rFonts w:hint="eastAsia" w:ascii="仿宋_GB2312" w:hAnsi="仿宋_GB2312" w:eastAsia="仿宋_GB2312" w:cs="仿宋_GB2312"/>
          <w:color w:val="auto"/>
          <w:sz w:val="32"/>
          <w:szCs w:val="32"/>
          <w:highlight w:val="none"/>
        </w:rPr>
        <w:t>万元，完成年初预算的1</w:t>
      </w:r>
      <w:r>
        <w:rPr>
          <w:rFonts w:ascii="仿宋_GB2312" w:hAnsi="仿宋_GB2312" w:eastAsia="仿宋_GB2312" w:cs="仿宋_GB2312"/>
          <w:color w:val="auto"/>
          <w:sz w:val="32"/>
          <w:szCs w:val="32"/>
          <w:highlight w:val="none"/>
        </w:rPr>
        <w:t>07.31</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w:t>
      </w:r>
      <w:r>
        <w:rPr>
          <w:rFonts w:ascii="仿宋_GB2312" w:hAnsi="仿宋_GB2312" w:eastAsia="仿宋_GB2312" w:cs="仿宋_GB2312"/>
          <w:b/>
          <w:bCs/>
          <w:color w:val="auto"/>
          <w:sz w:val="32"/>
          <w:szCs w:val="32"/>
          <w:highlight w:val="none"/>
        </w:rPr>
        <w:t>公共服务支出</w:t>
      </w:r>
      <w:r>
        <w:rPr>
          <w:rFonts w:hint="eastAsia" w:ascii="仿宋_GB2312" w:hAnsi="仿宋_GB2312" w:eastAsia="仿宋_GB2312" w:cs="仿宋_GB2312"/>
          <w:b/>
          <w:bCs/>
          <w:color w:val="auto"/>
          <w:sz w:val="32"/>
          <w:szCs w:val="32"/>
          <w:highlight w:val="none"/>
        </w:rPr>
        <w:t>（类）群众</w:t>
      </w:r>
      <w:r>
        <w:rPr>
          <w:rFonts w:ascii="仿宋_GB2312" w:hAnsi="仿宋_GB2312" w:eastAsia="仿宋_GB2312" w:cs="仿宋_GB2312"/>
          <w:b/>
          <w:bCs/>
          <w:color w:val="auto"/>
          <w:sz w:val="32"/>
          <w:szCs w:val="32"/>
          <w:highlight w:val="none"/>
        </w:rPr>
        <w:t>团体事务</w:t>
      </w:r>
      <w:r>
        <w:rPr>
          <w:rFonts w:hint="eastAsia" w:ascii="仿宋_GB2312" w:hAnsi="仿宋_GB2312" w:eastAsia="仿宋_GB2312" w:cs="仿宋_GB2312"/>
          <w:b/>
          <w:bCs/>
          <w:color w:val="auto"/>
          <w:sz w:val="32"/>
          <w:szCs w:val="32"/>
          <w:highlight w:val="none"/>
        </w:rPr>
        <w:t>（款）工会</w:t>
      </w:r>
      <w:r>
        <w:rPr>
          <w:rFonts w:ascii="仿宋_GB2312" w:hAnsi="仿宋_GB2312" w:eastAsia="仿宋_GB2312" w:cs="仿宋_GB2312"/>
          <w:b/>
          <w:bCs/>
          <w:color w:val="auto"/>
          <w:sz w:val="32"/>
          <w:szCs w:val="32"/>
          <w:highlight w:val="none"/>
        </w:rPr>
        <w:t>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年初预算为2</w:t>
      </w:r>
      <w:r>
        <w:rPr>
          <w:rFonts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rPr>
        <w:t>万元，支出决算为2</w:t>
      </w:r>
      <w:r>
        <w:rPr>
          <w:rFonts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rPr>
        <w:t>万元，完成年初预算的1</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%。决算数与年初预算数不存在差异。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rPr>
        <w:t>．公共</w:t>
      </w:r>
      <w:r>
        <w:rPr>
          <w:rFonts w:ascii="仿宋_GB2312" w:hAnsi="仿宋_GB2312" w:eastAsia="仿宋_GB2312" w:cs="仿宋_GB2312"/>
          <w:b/>
          <w:bCs/>
          <w:color w:val="auto"/>
          <w:sz w:val="32"/>
          <w:szCs w:val="32"/>
          <w:highlight w:val="none"/>
        </w:rPr>
        <w:t>安全支出（</w:t>
      </w:r>
      <w:r>
        <w:rPr>
          <w:rFonts w:hint="eastAsia" w:ascii="仿宋_GB2312" w:hAnsi="仿宋_GB2312" w:eastAsia="仿宋_GB2312" w:cs="仿宋_GB2312"/>
          <w:b/>
          <w:bCs/>
          <w:color w:val="auto"/>
          <w:sz w:val="32"/>
          <w:szCs w:val="32"/>
          <w:highlight w:val="none"/>
        </w:rPr>
        <w:t>类</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公安</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款</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行政</w:t>
      </w:r>
      <w:r>
        <w:rPr>
          <w:rFonts w:ascii="仿宋_GB2312" w:hAnsi="仿宋_GB2312" w:eastAsia="仿宋_GB2312" w:cs="仿宋_GB2312"/>
          <w:b/>
          <w:bCs/>
          <w:color w:val="auto"/>
          <w:sz w:val="32"/>
          <w:szCs w:val="32"/>
          <w:highlight w:val="none"/>
        </w:rPr>
        <w:t>运行（</w:t>
      </w:r>
      <w:r>
        <w:rPr>
          <w:rFonts w:hint="eastAsia" w:ascii="仿宋_GB2312" w:hAnsi="仿宋_GB2312" w:eastAsia="仿宋_GB2312" w:cs="仿宋_GB2312"/>
          <w:b/>
          <w:bCs/>
          <w:color w:val="auto"/>
          <w:sz w:val="32"/>
          <w:szCs w:val="32"/>
          <w:highlight w:val="none"/>
        </w:rPr>
        <w:t>项</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420.85</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401.60</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95.43</w:t>
      </w:r>
      <w:r>
        <w:rPr>
          <w:rFonts w:hint="eastAsia" w:ascii="仿宋_GB2312" w:hAnsi="仿宋_GB2312" w:eastAsia="仿宋_GB2312" w:cs="仿宋_GB2312"/>
          <w:color w:val="auto"/>
          <w:sz w:val="32"/>
          <w:szCs w:val="32"/>
          <w:highlight w:val="none"/>
        </w:rPr>
        <w:t>%。决算数与年初预算数存在差异</w:t>
      </w:r>
      <w:r>
        <w:rPr>
          <w:rFonts w:ascii="仿宋_GB2312" w:hAnsi="仿宋_GB2312" w:eastAsia="仿宋_GB2312" w:cs="仿宋_GB2312"/>
          <w:color w:val="auto"/>
          <w:sz w:val="32"/>
          <w:szCs w:val="32"/>
          <w:highlight w:val="none"/>
        </w:rPr>
        <w:t>的主要原因是</w:t>
      </w:r>
      <w:r>
        <w:rPr>
          <w:rFonts w:hint="eastAsia" w:ascii="仿宋_GB2312" w:hAnsi="仿宋_GB2312" w:eastAsia="仿宋_GB2312" w:cs="仿宋_GB2312"/>
          <w:color w:val="auto"/>
          <w:sz w:val="32"/>
          <w:szCs w:val="32"/>
          <w:highlight w:val="none"/>
        </w:rPr>
        <w:t>根据财政</w:t>
      </w:r>
      <w:r>
        <w:rPr>
          <w:rFonts w:ascii="仿宋_GB2312" w:hAnsi="仿宋_GB2312" w:eastAsia="仿宋_GB2312" w:cs="仿宋_GB2312"/>
          <w:color w:val="auto"/>
          <w:sz w:val="32"/>
          <w:szCs w:val="32"/>
          <w:highlight w:val="none"/>
        </w:rPr>
        <w:t>相关</w:t>
      </w:r>
      <w:r>
        <w:rPr>
          <w:rFonts w:hint="eastAsia" w:ascii="仿宋_GB2312" w:hAnsi="仿宋_GB2312" w:eastAsia="仿宋_GB2312" w:cs="仿宋_GB2312"/>
          <w:color w:val="auto"/>
          <w:sz w:val="32"/>
          <w:szCs w:val="32"/>
          <w:highlight w:val="none"/>
        </w:rPr>
        <w:t>规定</w:t>
      </w:r>
      <w:r>
        <w:rPr>
          <w:rFonts w:ascii="仿宋_GB2312" w:hAnsi="仿宋_GB2312" w:eastAsia="仿宋_GB2312" w:cs="仿宋_GB2312"/>
          <w:color w:val="auto"/>
          <w:sz w:val="32"/>
          <w:szCs w:val="32"/>
          <w:highlight w:val="none"/>
        </w:rPr>
        <w:t>，严格控制各项经费支出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rPr>
        <w:t>．公共</w:t>
      </w:r>
      <w:r>
        <w:rPr>
          <w:rFonts w:ascii="仿宋_GB2312" w:hAnsi="仿宋_GB2312" w:eastAsia="仿宋_GB2312" w:cs="仿宋_GB2312"/>
          <w:b/>
          <w:bCs/>
          <w:color w:val="auto"/>
          <w:sz w:val="32"/>
          <w:szCs w:val="32"/>
          <w:highlight w:val="none"/>
        </w:rPr>
        <w:t>安全支出（</w:t>
      </w:r>
      <w:r>
        <w:rPr>
          <w:rFonts w:hint="eastAsia" w:ascii="仿宋_GB2312" w:hAnsi="仿宋_GB2312" w:eastAsia="仿宋_GB2312" w:cs="仿宋_GB2312"/>
          <w:b/>
          <w:bCs/>
          <w:color w:val="auto"/>
          <w:sz w:val="32"/>
          <w:szCs w:val="32"/>
          <w:highlight w:val="none"/>
        </w:rPr>
        <w:t>类</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公安</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款</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其他公安</w:t>
      </w:r>
      <w:r>
        <w:rPr>
          <w:rFonts w:ascii="仿宋_GB2312" w:hAnsi="仿宋_GB2312" w:eastAsia="仿宋_GB2312" w:cs="仿宋_GB2312"/>
          <w:b/>
          <w:bCs/>
          <w:color w:val="auto"/>
          <w:sz w:val="32"/>
          <w:szCs w:val="32"/>
          <w:highlight w:val="none"/>
        </w:rPr>
        <w:t>支出（</w:t>
      </w:r>
      <w:r>
        <w:rPr>
          <w:rFonts w:hint="eastAsia" w:ascii="仿宋_GB2312" w:hAnsi="仿宋_GB2312" w:eastAsia="仿宋_GB2312" w:cs="仿宋_GB2312"/>
          <w:b/>
          <w:bCs/>
          <w:color w:val="auto"/>
          <w:sz w:val="32"/>
          <w:szCs w:val="32"/>
          <w:highlight w:val="none"/>
        </w:rPr>
        <w:t>项</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年初预算为0.00万元，支出决算为</w:t>
      </w:r>
      <w:r>
        <w:rPr>
          <w:rFonts w:ascii="仿宋_GB2312" w:hAnsi="仿宋_GB2312" w:eastAsia="仿宋_GB2312" w:cs="仿宋_GB2312"/>
          <w:color w:val="auto"/>
          <w:sz w:val="32"/>
          <w:szCs w:val="32"/>
          <w:highlight w:val="none"/>
        </w:rPr>
        <w:t>9.79</w:t>
      </w:r>
      <w:r>
        <w:rPr>
          <w:rFonts w:hint="eastAsia" w:ascii="仿宋_GB2312" w:hAnsi="仿宋_GB2312" w:eastAsia="仿宋_GB2312" w:cs="仿宋_GB2312"/>
          <w:color w:val="auto"/>
          <w:sz w:val="32"/>
          <w:szCs w:val="32"/>
          <w:highlight w:val="none"/>
        </w:rPr>
        <w:t>万元。决算数与年初预算数存在</w:t>
      </w:r>
      <w:r>
        <w:rPr>
          <w:rFonts w:ascii="仿宋_GB2312" w:hAnsi="仿宋_GB2312" w:eastAsia="仿宋_GB2312" w:cs="仿宋_GB2312"/>
          <w:color w:val="auto"/>
          <w:sz w:val="32"/>
          <w:szCs w:val="32"/>
          <w:highlight w:val="none"/>
        </w:rPr>
        <w:t>差异的主要原因是</w:t>
      </w:r>
      <w:r>
        <w:rPr>
          <w:rFonts w:hint="eastAsia" w:ascii="仿宋_GB2312" w:hAnsi="仿宋_GB2312" w:eastAsia="仿宋_GB2312" w:cs="仿宋_GB2312"/>
          <w:color w:val="auto"/>
          <w:sz w:val="32"/>
          <w:szCs w:val="32"/>
          <w:highlight w:val="none"/>
        </w:rPr>
        <w:t>中央、</w:t>
      </w:r>
      <w:r>
        <w:rPr>
          <w:rFonts w:ascii="仿宋_GB2312" w:hAnsi="仿宋_GB2312" w:eastAsia="仿宋_GB2312" w:cs="仿宋_GB2312"/>
          <w:color w:val="auto"/>
          <w:sz w:val="32"/>
          <w:szCs w:val="32"/>
          <w:highlight w:val="none"/>
        </w:rPr>
        <w:t>省级</w:t>
      </w:r>
      <w:r>
        <w:rPr>
          <w:rFonts w:hint="eastAsia" w:ascii="仿宋_GB2312" w:hAnsi="仿宋_GB2312" w:eastAsia="仿宋_GB2312" w:cs="仿宋_GB2312"/>
          <w:color w:val="auto"/>
          <w:sz w:val="32"/>
          <w:szCs w:val="32"/>
          <w:highlight w:val="none"/>
        </w:rPr>
        <w:t>政法纪检</w:t>
      </w:r>
      <w:r>
        <w:rPr>
          <w:rFonts w:ascii="仿宋_GB2312" w:hAnsi="仿宋_GB2312" w:eastAsia="仿宋_GB2312" w:cs="仿宋_GB2312"/>
          <w:color w:val="auto"/>
          <w:sz w:val="32"/>
          <w:szCs w:val="32"/>
          <w:highlight w:val="none"/>
        </w:rPr>
        <w:t>监察转移支付资金不</w:t>
      </w:r>
      <w:r>
        <w:rPr>
          <w:rFonts w:hint="eastAsia" w:ascii="仿宋_GB2312" w:hAnsi="仿宋_GB2312" w:eastAsia="仿宋_GB2312" w:cs="仿宋_GB2312"/>
          <w:color w:val="auto"/>
          <w:sz w:val="32"/>
          <w:szCs w:val="32"/>
          <w:highlight w:val="none"/>
        </w:rPr>
        <w:t>在</w:t>
      </w:r>
      <w:r>
        <w:rPr>
          <w:rFonts w:ascii="仿宋_GB2312" w:hAnsi="仿宋_GB2312" w:eastAsia="仿宋_GB2312" w:cs="仿宋_GB2312"/>
          <w:color w:val="auto"/>
          <w:sz w:val="32"/>
          <w:szCs w:val="32"/>
          <w:highlight w:val="none"/>
        </w:rPr>
        <w:t>预算</w:t>
      </w:r>
      <w:r>
        <w:rPr>
          <w:rFonts w:hint="eastAsia" w:ascii="仿宋_GB2312" w:hAnsi="仿宋_GB2312" w:eastAsia="仿宋_GB2312" w:cs="仿宋_GB2312"/>
          <w:color w:val="auto"/>
          <w:sz w:val="32"/>
          <w:szCs w:val="32"/>
          <w:highlight w:val="none"/>
        </w:rPr>
        <w:t>拨款</w:t>
      </w:r>
      <w:r>
        <w:rPr>
          <w:rFonts w:ascii="仿宋_GB2312" w:hAnsi="仿宋_GB2312" w:eastAsia="仿宋_GB2312" w:cs="仿宋_GB2312"/>
          <w:color w:val="auto"/>
          <w:sz w:val="32"/>
          <w:szCs w:val="32"/>
          <w:highlight w:val="none"/>
        </w:rPr>
        <w:t>中显示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b/>
          <w:bCs/>
          <w:color w:val="auto"/>
          <w:sz w:val="32"/>
          <w:szCs w:val="32"/>
          <w:highlight w:val="none"/>
        </w:rPr>
      </w:pPr>
      <w:r>
        <w:rPr>
          <w:rFonts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rPr>
        <w:t>．社会</w:t>
      </w:r>
      <w:r>
        <w:rPr>
          <w:rFonts w:ascii="仿宋_GB2312" w:hAnsi="仿宋_GB2312" w:eastAsia="仿宋_GB2312" w:cs="仿宋_GB2312"/>
          <w:b/>
          <w:bCs/>
          <w:color w:val="auto"/>
          <w:sz w:val="32"/>
          <w:szCs w:val="32"/>
          <w:highlight w:val="none"/>
        </w:rPr>
        <w:t>保障和就业支出</w:t>
      </w:r>
      <w:r>
        <w:rPr>
          <w:rFonts w:hint="eastAsia" w:ascii="仿宋_GB2312" w:hAnsi="仿宋_GB2312" w:eastAsia="仿宋_GB2312" w:cs="仿宋_GB2312"/>
          <w:b/>
          <w:bCs/>
          <w:color w:val="auto"/>
          <w:sz w:val="32"/>
          <w:szCs w:val="32"/>
          <w:highlight w:val="none"/>
        </w:rPr>
        <w:t>（类）行政事业</w:t>
      </w:r>
      <w:r>
        <w:rPr>
          <w:rFonts w:ascii="仿宋_GB2312" w:hAnsi="仿宋_GB2312" w:eastAsia="仿宋_GB2312" w:cs="仿宋_GB2312"/>
          <w:b/>
          <w:bCs/>
          <w:color w:val="auto"/>
          <w:sz w:val="32"/>
          <w:szCs w:val="32"/>
          <w:highlight w:val="none"/>
        </w:rPr>
        <w:t>单位养老支出</w:t>
      </w:r>
      <w:r>
        <w:rPr>
          <w:rFonts w:hint="eastAsia" w:ascii="仿宋_GB2312" w:hAnsi="仿宋_GB2312" w:eastAsia="仿宋_GB2312" w:cs="仿宋_GB2312"/>
          <w:b/>
          <w:bCs/>
          <w:color w:val="auto"/>
          <w:sz w:val="32"/>
          <w:szCs w:val="32"/>
          <w:highlight w:val="none"/>
        </w:rPr>
        <w:t>（款）行政</w:t>
      </w:r>
      <w:r>
        <w:rPr>
          <w:rFonts w:ascii="仿宋_GB2312" w:hAnsi="仿宋_GB2312" w:eastAsia="仿宋_GB2312" w:cs="仿宋_GB2312"/>
          <w:b/>
          <w:bCs/>
          <w:color w:val="auto"/>
          <w:sz w:val="32"/>
          <w:szCs w:val="32"/>
          <w:highlight w:val="none"/>
        </w:rPr>
        <w:t>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4.09</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4.42</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108.07</w:t>
      </w:r>
      <w:r>
        <w:rPr>
          <w:rFonts w:hint="eastAsia" w:ascii="仿宋_GB2312" w:hAnsi="仿宋_GB2312" w:eastAsia="仿宋_GB2312" w:cs="仿宋_GB2312"/>
          <w:color w:val="auto"/>
          <w:sz w:val="32"/>
          <w:szCs w:val="32"/>
          <w:highlight w:val="none"/>
        </w:rPr>
        <w:t>%。决算数与年初预算数存在差异的主要原因是支出数增加一名</w:t>
      </w:r>
      <w:r>
        <w:rPr>
          <w:rFonts w:ascii="仿宋_GB2312" w:hAnsi="仿宋_GB2312" w:eastAsia="仿宋_GB2312" w:cs="仿宋_GB2312"/>
          <w:color w:val="auto"/>
          <w:sz w:val="32"/>
          <w:szCs w:val="32"/>
          <w:highlight w:val="none"/>
        </w:rPr>
        <w:t>退休人员</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退休费增加。</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5</w:t>
      </w:r>
      <w:r>
        <w:rPr>
          <w:rFonts w:hint="eastAsia" w:ascii="仿宋_GB2312" w:hAnsi="仿宋_GB2312" w:eastAsia="仿宋_GB2312" w:cs="仿宋_GB2312"/>
          <w:b/>
          <w:bCs/>
          <w:color w:val="auto"/>
          <w:sz w:val="32"/>
          <w:szCs w:val="32"/>
          <w:highlight w:val="none"/>
        </w:rPr>
        <w:t>．社会</w:t>
      </w:r>
      <w:r>
        <w:rPr>
          <w:rFonts w:ascii="仿宋_GB2312" w:hAnsi="仿宋_GB2312" w:eastAsia="仿宋_GB2312" w:cs="仿宋_GB2312"/>
          <w:b/>
          <w:bCs/>
          <w:color w:val="auto"/>
          <w:sz w:val="32"/>
          <w:szCs w:val="32"/>
          <w:highlight w:val="none"/>
        </w:rPr>
        <w:t>保障和就业支出</w:t>
      </w:r>
      <w:r>
        <w:rPr>
          <w:rFonts w:hint="eastAsia" w:ascii="仿宋_GB2312" w:hAnsi="仿宋_GB2312" w:eastAsia="仿宋_GB2312" w:cs="仿宋_GB2312"/>
          <w:b/>
          <w:bCs/>
          <w:color w:val="auto"/>
          <w:sz w:val="32"/>
          <w:szCs w:val="32"/>
          <w:highlight w:val="none"/>
        </w:rPr>
        <w:t>（类）行政事业</w:t>
      </w:r>
      <w:r>
        <w:rPr>
          <w:rFonts w:ascii="仿宋_GB2312" w:hAnsi="仿宋_GB2312" w:eastAsia="仿宋_GB2312" w:cs="仿宋_GB2312"/>
          <w:b/>
          <w:bCs/>
          <w:color w:val="auto"/>
          <w:sz w:val="32"/>
          <w:szCs w:val="32"/>
          <w:highlight w:val="none"/>
        </w:rPr>
        <w:t>单位养老支出</w:t>
      </w:r>
      <w:r>
        <w:rPr>
          <w:rFonts w:hint="eastAsia" w:ascii="仿宋_GB2312" w:hAnsi="仿宋_GB2312" w:eastAsia="仿宋_GB2312" w:cs="仿宋_GB2312"/>
          <w:b/>
          <w:bCs/>
          <w:color w:val="auto"/>
          <w:sz w:val="32"/>
          <w:szCs w:val="32"/>
          <w:highlight w:val="none"/>
        </w:rPr>
        <w:t>（款）机关事业</w:t>
      </w:r>
      <w:r>
        <w:rPr>
          <w:rFonts w:ascii="仿宋_GB2312" w:hAnsi="仿宋_GB2312" w:eastAsia="仿宋_GB2312" w:cs="仿宋_GB2312"/>
          <w:b/>
          <w:bCs/>
          <w:color w:val="auto"/>
          <w:sz w:val="32"/>
          <w:szCs w:val="32"/>
          <w:highlight w:val="none"/>
        </w:rPr>
        <w:t>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24.75</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25.35</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102.42</w:t>
      </w:r>
      <w:r>
        <w:rPr>
          <w:rFonts w:hint="eastAsia" w:ascii="仿宋_GB2312" w:hAnsi="仿宋_GB2312" w:eastAsia="仿宋_GB2312" w:cs="仿宋_GB2312"/>
          <w:color w:val="auto"/>
          <w:sz w:val="32"/>
          <w:szCs w:val="32"/>
          <w:highlight w:val="none"/>
        </w:rPr>
        <w:t>%。决算数与年初预算数存在差异的主要原因是养老基数调整。</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6</w:t>
      </w:r>
      <w:r>
        <w:rPr>
          <w:rFonts w:hint="eastAsia" w:ascii="仿宋_GB2312" w:hAnsi="仿宋_GB2312" w:eastAsia="仿宋_GB2312" w:cs="仿宋_GB2312"/>
          <w:b/>
          <w:bCs/>
          <w:color w:val="auto"/>
          <w:sz w:val="32"/>
          <w:szCs w:val="32"/>
          <w:highlight w:val="none"/>
        </w:rPr>
        <w:t>．卫生</w:t>
      </w:r>
      <w:r>
        <w:rPr>
          <w:rFonts w:ascii="仿宋_GB2312" w:hAnsi="仿宋_GB2312" w:eastAsia="仿宋_GB2312" w:cs="仿宋_GB2312"/>
          <w:b/>
          <w:bCs/>
          <w:color w:val="auto"/>
          <w:sz w:val="32"/>
          <w:szCs w:val="32"/>
          <w:highlight w:val="none"/>
        </w:rPr>
        <w:t>健康支出</w:t>
      </w:r>
      <w:r>
        <w:rPr>
          <w:rFonts w:hint="eastAsia" w:ascii="仿宋_GB2312" w:hAnsi="仿宋_GB2312" w:eastAsia="仿宋_GB2312" w:cs="仿宋_GB2312"/>
          <w:b/>
          <w:bCs/>
          <w:color w:val="auto"/>
          <w:sz w:val="32"/>
          <w:szCs w:val="32"/>
          <w:highlight w:val="none"/>
        </w:rPr>
        <w:t>（类）行政</w:t>
      </w:r>
      <w:r>
        <w:rPr>
          <w:rFonts w:ascii="仿宋_GB2312" w:hAnsi="仿宋_GB2312" w:eastAsia="仿宋_GB2312" w:cs="仿宋_GB2312"/>
          <w:b/>
          <w:bCs/>
          <w:color w:val="auto"/>
          <w:sz w:val="32"/>
          <w:szCs w:val="32"/>
          <w:highlight w:val="none"/>
        </w:rPr>
        <w:t>事业单位医疗</w:t>
      </w:r>
      <w:r>
        <w:rPr>
          <w:rFonts w:hint="eastAsia" w:ascii="仿宋_GB2312" w:hAnsi="仿宋_GB2312" w:eastAsia="仿宋_GB2312" w:cs="仿宋_GB2312"/>
          <w:b/>
          <w:bCs/>
          <w:color w:val="auto"/>
          <w:sz w:val="32"/>
          <w:szCs w:val="32"/>
          <w:highlight w:val="none"/>
        </w:rPr>
        <w:t>（款）行政单位</w:t>
      </w:r>
      <w:r>
        <w:rPr>
          <w:rFonts w:ascii="仿宋_GB2312" w:hAnsi="仿宋_GB2312" w:eastAsia="仿宋_GB2312" w:cs="仿宋_GB2312"/>
          <w:b/>
          <w:bCs/>
          <w:color w:val="auto"/>
          <w:sz w:val="32"/>
          <w:szCs w:val="32"/>
          <w:highlight w:val="none"/>
        </w:rPr>
        <w:t>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12.25</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11.70</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95.51</w:t>
      </w:r>
      <w:r>
        <w:rPr>
          <w:rFonts w:hint="eastAsia" w:ascii="仿宋_GB2312" w:hAnsi="仿宋_GB2312" w:eastAsia="仿宋_GB2312" w:cs="仿宋_GB2312"/>
          <w:color w:val="auto"/>
          <w:sz w:val="32"/>
          <w:szCs w:val="32"/>
          <w:highlight w:val="none"/>
        </w:rPr>
        <w:t>%。决算数与年初预算数存在差异的主要原因是本年度增加</w:t>
      </w:r>
      <w:r>
        <w:rPr>
          <w:rFonts w:ascii="仿宋_GB2312" w:hAnsi="仿宋_GB2312" w:eastAsia="仿宋_GB2312" w:cs="仿宋_GB2312"/>
          <w:color w:val="auto"/>
          <w:sz w:val="32"/>
          <w:szCs w:val="32"/>
          <w:highlight w:val="none"/>
        </w:rPr>
        <w:t>一名</w:t>
      </w:r>
      <w:r>
        <w:rPr>
          <w:rFonts w:hint="eastAsia" w:ascii="仿宋_GB2312" w:hAnsi="仿宋_GB2312" w:eastAsia="仿宋_GB2312" w:cs="仿宋_GB2312"/>
          <w:color w:val="auto"/>
          <w:sz w:val="32"/>
          <w:szCs w:val="32"/>
          <w:highlight w:val="none"/>
        </w:rPr>
        <w:t>退休</w:t>
      </w:r>
      <w:r>
        <w:rPr>
          <w:rFonts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支出数减少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7</w:t>
      </w:r>
      <w:r>
        <w:rPr>
          <w:rFonts w:hint="eastAsia" w:ascii="仿宋_GB2312" w:hAnsi="仿宋_GB2312" w:eastAsia="仿宋_GB2312" w:cs="仿宋_GB2312"/>
          <w:b/>
          <w:bCs/>
          <w:color w:val="auto"/>
          <w:sz w:val="32"/>
          <w:szCs w:val="32"/>
          <w:highlight w:val="none"/>
        </w:rPr>
        <w:t>．卫生</w:t>
      </w:r>
      <w:r>
        <w:rPr>
          <w:rFonts w:ascii="仿宋_GB2312" w:hAnsi="仿宋_GB2312" w:eastAsia="仿宋_GB2312" w:cs="仿宋_GB2312"/>
          <w:b/>
          <w:bCs/>
          <w:color w:val="auto"/>
          <w:sz w:val="32"/>
          <w:szCs w:val="32"/>
          <w:highlight w:val="none"/>
        </w:rPr>
        <w:t>健康支出</w:t>
      </w:r>
      <w:r>
        <w:rPr>
          <w:rFonts w:hint="eastAsia" w:ascii="仿宋_GB2312" w:hAnsi="仿宋_GB2312" w:eastAsia="仿宋_GB2312" w:cs="仿宋_GB2312"/>
          <w:b/>
          <w:bCs/>
          <w:color w:val="auto"/>
          <w:sz w:val="32"/>
          <w:szCs w:val="32"/>
          <w:highlight w:val="none"/>
        </w:rPr>
        <w:t>（类）行政</w:t>
      </w:r>
      <w:r>
        <w:rPr>
          <w:rFonts w:ascii="仿宋_GB2312" w:hAnsi="仿宋_GB2312" w:eastAsia="仿宋_GB2312" w:cs="仿宋_GB2312"/>
          <w:b/>
          <w:bCs/>
          <w:color w:val="auto"/>
          <w:sz w:val="32"/>
          <w:szCs w:val="32"/>
          <w:highlight w:val="none"/>
        </w:rPr>
        <w:t>事业单位医疗</w:t>
      </w:r>
      <w:r>
        <w:rPr>
          <w:rFonts w:hint="eastAsia" w:ascii="仿宋_GB2312" w:hAnsi="仿宋_GB2312" w:eastAsia="仿宋_GB2312" w:cs="仿宋_GB2312"/>
          <w:b/>
          <w:bCs/>
          <w:color w:val="auto"/>
          <w:sz w:val="32"/>
          <w:szCs w:val="32"/>
          <w:highlight w:val="none"/>
        </w:rPr>
        <w:t>（款）公务员</w:t>
      </w:r>
      <w:r>
        <w:rPr>
          <w:rFonts w:ascii="仿宋_GB2312" w:hAnsi="仿宋_GB2312" w:eastAsia="仿宋_GB2312" w:cs="仿宋_GB2312"/>
          <w:b/>
          <w:bCs/>
          <w:color w:val="auto"/>
          <w:sz w:val="32"/>
          <w:szCs w:val="32"/>
          <w:highlight w:val="none"/>
        </w:rPr>
        <w:t>医疗补助</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11.67</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11.55</w:t>
      </w:r>
      <w:r>
        <w:rPr>
          <w:rFonts w:hint="eastAsia" w:ascii="仿宋_GB2312" w:hAnsi="仿宋_GB2312" w:eastAsia="仿宋_GB2312" w:cs="仿宋_GB2312"/>
          <w:color w:val="auto"/>
          <w:sz w:val="32"/>
          <w:szCs w:val="32"/>
          <w:highlight w:val="none"/>
        </w:rPr>
        <w:t>元，完成年初预算的</w:t>
      </w:r>
      <w:r>
        <w:rPr>
          <w:rFonts w:ascii="仿宋_GB2312" w:hAnsi="仿宋_GB2312" w:eastAsia="仿宋_GB2312" w:cs="仿宋_GB2312"/>
          <w:color w:val="auto"/>
          <w:sz w:val="32"/>
          <w:szCs w:val="32"/>
          <w:highlight w:val="none"/>
        </w:rPr>
        <w:t>98.97</w:t>
      </w:r>
      <w:r>
        <w:rPr>
          <w:rFonts w:hint="eastAsia" w:ascii="仿宋_GB2312" w:hAnsi="仿宋_GB2312" w:eastAsia="仿宋_GB2312" w:cs="仿宋_GB2312"/>
          <w:color w:val="auto"/>
          <w:sz w:val="32"/>
          <w:szCs w:val="32"/>
          <w:highlight w:val="none"/>
        </w:rPr>
        <w:t>%。决算数与年初预算数存在差异的主要原因是本年度增加一名退休</w:t>
      </w:r>
      <w:r>
        <w:rPr>
          <w:rFonts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支出数减少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 xml:space="preserve">8. </w:t>
      </w:r>
      <w:r>
        <w:rPr>
          <w:rFonts w:hint="eastAsia" w:ascii="仿宋_GB2312" w:hAnsi="仿宋_GB2312" w:eastAsia="仿宋_GB2312" w:cs="仿宋_GB2312"/>
          <w:b/>
          <w:bCs/>
          <w:color w:val="auto"/>
          <w:sz w:val="32"/>
          <w:szCs w:val="32"/>
          <w:highlight w:val="none"/>
        </w:rPr>
        <w:t>城乡</w:t>
      </w:r>
      <w:r>
        <w:rPr>
          <w:rFonts w:ascii="仿宋_GB2312" w:hAnsi="仿宋_GB2312" w:eastAsia="仿宋_GB2312" w:cs="仿宋_GB2312"/>
          <w:b/>
          <w:bCs/>
          <w:color w:val="auto"/>
          <w:sz w:val="32"/>
          <w:szCs w:val="32"/>
          <w:highlight w:val="none"/>
        </w:rPr>
        <w:t>社区支出</w:t>
      </w:r>
      <w:r>
        <w:rPr>
          <w:rFonts w:hint="eastAsia" w:ascii="仿宋_GB2312" w:hAnsi="仿宋_GB2312" w:eastAsia="仿宋_GB2312" w:cs="仿宋_GB2312"/>
          <w:b/>
          <w:bCs/>
          <w:color w:val="auto"/>
          <w:sz w:val="32"/>
          <w:szCs w:val="32"/>
          <w:highlight w:val="none"/>
        </w:rPr>
        <w:t>（类）城乡</w:t>
      </w:r>
      <w:r>
        <w:rPr>
          <w:rFonts w:ascii="仿宋_GB2312" w:hAnsi="仿宋_GB2312" w:eastAsia="仿宋_GB2312" w:cs="仿宋_GB2312"/>
          <w:b/>
          <w:bCs/>
          <w:color w:val="auto"/>
          <w:sz w:val="32"/>
          <w:szCs w:val="32"/>
          <w:highlight w:val="none"/>
        </w:rPr>
        <w:t>社区管理事务</w:t>
      </w:r>
      <w:r>
        <w:rPr>
          <w:rFonts w:hint="eastAsia" w:ascii="仿宋_GB2312" w:hAnsi="仿宋_GB2312" w:eastAsia="仿宋_GB2312" w:cs="仿宋_GB2312"/>
          <w:b/>
          <w:bCs/>
          <w:color w:val="auto"/>
          <w:sz w:val="32"/>
          <w:szCs w:val="32"/>
          <w:highlight w:val="none"/>
        </w:rPr>
        <w:t>（款）行政</w:t>
      </w:r>
      <w:r>
        <w:rPr>
          <w:rFonts w:ascii="仿宋_GB2312" w:hAnsi="仿宋_GB2312" w:eastAsia="仿宋_GB2312" w:cs="仿宋_GB2312"/>
          <w:b/>
          <w:bCs/>
          <w:color w:val="auto"/>
          <w:sz w:val="32"/>
          <w:szCs w:val="32"/>
          <w:highlight w:val="none"/>
        </w:rPr>
        <w:t>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41.34</w:t>
      </w:r>
      <w:r>
        <w:rPr>
          <w:rFonts w:hint="eastAsia" w:ascii="仿宋_GB2312" w:hAnsi="仿宋_GB2312" w:eastAsia="仿宋_GB2312" w:cs="仿宋_GB2312"/>
          <w:color w:val="auto"/>
          <w:sz w:val="32"/>
          <w:szCs w:val="32"/>
          <w:highlight w:val="none"/>
        </w:rPr>
        <w:t>万元。决算数与年初预算数存在差异的主要原因是支出数</w:t>
      </w:r>
      <w:r>
        <w:rPr>
          <w:rFonts w:ascii="仿宋_GB2312" w:hAnsi="仿宋_GB2312" w:eastAsia="仿宋_GB2312" w:cs="仿宋_GB2312"/>
          <w:color w:val="auto"/>
          <w:sz w:val="32"/>
          <w:szCs w:val="32"/>
          <w:highlight w:val="none"/>
        </w:rPr>
        <w:t>为上年度结转资金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9</w:t>
      </w:r>
      <w:r>
        <w:rPr>
          <w:rFonts w:hint="eastAsia" w:ascii="仿宋_GB2312" w:hAnsi="仿宋_GB2312" w:eastAsia="仿宋_GB2312" w:cs="仿宋_GB2312"/>
          <w:b/>
          <w:bCs/>
          <w:color w:val="auto"/>
          <w:sz w:val="32"/>
          <w:szCs w:val="32"/>
          <w:highlight w:val="none"/>
        </w:rPr>
        <w:t>．农林水</w:t>
      </w:r>
      <w:r>
        <w:rPr>
          <w:rFonts w:ascii="仿宋_GB2312" w:hAnsi="仿宋_GB2312" w:eastAsia="仿宋_GB2312" w:cs="仿宋_GB2312"/>
          <w:b/>
          <w:bCs/>
          <w:color w:val="auto"/>
          <w:sz w:val="32"/>
          <w:szCs w:val="32"/>
          <w:highlight w:val="none"/>
        </w:rPr>
        <w:t>支出</w:t>
      </w:r>
      <w:r>
        <w:rPr>
          <w:rFonts w:hint="eastAsia" w:ascii="仿宋_GB2312" w:hAnsi="仿宋_GB2312" w:eastAsia="仿宋_GB2312" w:cs="仿宋_GB2312"/>
          <w:b/>
          <w:bCs/>
          <w:color w:val="auto"/>
          <w:sz w:val="32"/>
          <w:szCs w:val="32"/>
          <w:highlight w:val="none"/>
        </w:rPr>
        <w:t>（类）林业和草原（款）行政运行（项）。</w:t>
      </w:r>
      <w:r>
        <w:rPr>
          <w:rFonts w:hint="eastAsia" w:ascii="仿宋_GB2312" w:hAnsi="仿宋_GB2312" w:eastAsia="仿宋_GB2312" w:cs="仿宋_GB2312"/>
          <w:color w:val="auto"/>
          <w:sz w:val="32"/>
          <w:szCs w:val="32"/>
          <w:highlight w:val="none"/>
        </w:rPr>
        <w:t>年初预算为0.00万元，支出决算为</w:t>
      </w:r>
      <w:r>
        <w:rPr>
          <w:rFonts w:ascii="仿宋_GB2312" w:hAnsi="仿宋_GB2312" w:eastAsia="仿宋_GB2312" w:cs="仿宋_GB2312"/>
          <w:color w:val="auto"/>
          <w:sz w:val="32"/>
          <w:szCs w:val="32"/>
          <w:highlight w:val="none"/>
        </w:rPr>
        <w:t>0.49</w:t>
      </w:r>
      <w:r>
        <w:rPr>
          <w:rFonts w:hint="eastAsia" w:ascii="仿宋_GB2312" w:hAnsi="仿宋_GB2312" w:eastAsia="仿宋_GB2312" w:cs="仿宋_GB2312"/>
          <w:color w:val="auto"/>
          <w:sz w:val="32"/>
          <w:szCs w:val="32"/>
          <w:highlight w:val="none"/>
        </w:rPr>
        <w:t>万元。决算数与年初预算数存在差异的主要原因是支出数为</w:t>
      </w:r>
      <w:r>
        <w:rPr>
          <w:rFonts w:ascii="仿宋_GB2312" w:hAnsi="仿宋_GB2312" w:eastAsia="仿宋_GB2312" w:cs="仿宋_GB2312"/>
          <w:color w:val="auto"/>
          <w:sz w:val="32"/>
          <w:szCs w:val="32"/>
          <w:highlight w:val="none"/>
        </w:rPr>
        <w:t>上年度结转资金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10</w:t>
      </w:r>
      <w:r>
        <w:rPr>
          <w:rFonts w:hint="eastAsia" w:ascii="仿宋_GB2312" w:hAnsi="仿宋_GB2312" w:eastAsia="仿宋_GB2312" w:cs="仿宋_GB2312"/>
          <w:b/>
          <w:bCs/>
          <w:color w:val="auto"/>
          <w:sz w:val="32"/>
          <w:szCs w:val="32"/>
          <w:highlight w:val="none"/>
        </w:rPr>
        <w:t>.</w:t>
      </w:r>
      <w:r>
        <w:rPr>
          <w:rFonts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rPr>
        <w:t>农林水</w:t>
      </w:r>
      <w:r>
        <w:rPr>
          <w:rFonts w:ascii="仿宋_GB2312" w:hAnsi="仿宋_GB2312" w:eastAsia="仿宋_GB2312" w:cs="仿宋_GB2312"/>
          <w:b/>
          <w:bCs/>
          <w:color w:val="auto"/>
          <w:sz w:val="32"/>
          <w:szCs w:val="32"/>
          <w:highlight w:val="none"/>
        </w:rPr>
        <w:t>支出</w:t>
      </w:r>
      <w:r>
        <w:rPr>
          <w:rFonts w:hint="eastAsia" w:ascii="仿宋_GB2312" w:hAnsi="仿宋_GB2312" w:eastAsia="仿宋_GB2312" w:cs="仿宋_GB2312"/>
          <w:b/>
          <w:bCs/>
          <w:color w:val="auto"/>
          <w:sz w:val="32"/>
          <w:szCs w:val="32"/>
          <w:highlight w:val="none"/>
        </w:rPr>
        <w:t>（类）林业和草原（款）</w:t>
      </w:r>
      <w:r>
        <w:rPr>
          <w:rFonts w:ascii="仿宋_GB2312" w:hAnsi="仿宋_GB2312" w:eastAsia="仿宋_GB2312" w:cs="仿宋_GB2312"/>
          <w:b/>
          <w:bCs/>
          <w:color w:val="auto"/>
          <w:sz w:val="32"/>
          <w:szCs w:val="32"/>
          <w:highlight w:val="none"/>
        </w:rPr>
        <w:t>执法与监督</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2.13</w:t>
      </w:r>
      <w:r>
        <w:rPr>
          <w:rFonts w:hint="eastAsia" w:ascii="仿宋_GB2312" w:hAnsi="仿宋_GB2312" w:eastAsia="仿宋_GB2312" w:cs="仿宋_GB2312"/>
          <w:color w:val="auto"/>
          <w:sz w:val="32"/>
          <w:szCs w:val="32"/>
          <w:highlight w:val="none"/>
        </w:rPr>
        <w:t>万元。决算数与年初预算数存在差异的主要原因是支出数为</w:t>
      </w:r>
      <w:r>
        <w:rPr>
          <w:rFonts w:ascii="仿宋_GB2312" w:hAnsi="仿宋_GB2312" w:eastAsia="仿宋_GB2312" w:cs="仿宋_GB2312"/>
          <w:color w:val="auto"/>
          <w:sz w:val="32"/>
          <w:szCs w:val="32"/>
          <w:highlight w:val="none"/>
        </w:rPr>
        <w:t>上年度结转资金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年度一般公共预算财政拨款基本支出4</w:t>
      </w:r>
      <w:r>
        <w:rPr>
          <w:rFonts w:ascii="仿宋_GB2312" w:hAnsi="仿宋_GB2312" w:eastAsia="仿宋_GB2312" w:cs="仿宋_GB2312"/>
          <w:color w:val="auto"/>
          <w:sz w:val="32"/>
          <w:szCs w:val="32"/>
          <w:highlight w:val="none"/>
        </w:rPr>
        <w:t>98.57</w:t>
      </w:r>
      <w:r>
        <w:rPr>
          <w:rFonts w:hint="eastAsia" w:ascii="仿宋_GB2312" w:hAnsi="仿宋_GB2312" w:eastAsia="仿宋_GB2312" w:cs="仿宋_GB2312"/>
          <w:color w:val="auto"/>
          <w:sz w:val="32"/>
          <w:szCs w:val="32"/>
          <w:highlight w:val="none"/>
        </w:rPr>
        <w:t>万元。其中：人员经费4</w:t>
      </w:r>
      <w:r>
        <w:rPr>
          <w:rFonts w:ascii="仿宋_GB2312" w:hAnsi="仿宋_GB2312" w:eastAsia="仿宋_GB2312" w:cs="仿宋_GB2312"/>
          <w:color w:val="auto"/>
          <w:sz w:val="32"/>
          <w:szCs w:val="32"/>
          <w:highlight w:val="none"/>
        </w:rPr>
        <w:t>40.89</w:t>
      </w:r>
      <w:r>
        <w:rPr>
          <w:rFonts w:hint="eastAsia" w:ascii="仿宋_GB2312" w:hAnsi="仿宋_GB2312" w:eastAsia="仿宋_GB2312" w:cs="仿宋_GB2312"/>
          <w:color w:val="auto"/>
          <w:sz w:val="32"/>
          <w:szCs w:val="32"/>
          <w:highlight w:val="none"/>
        </w:rPr>
        <w:t>万元，主要包括：基本工资、津贴补贴、奖金、机关事业单位基本养老保险缴费、职工基本医疗保险缴费、公务员医疗补助缴费、其他社会保障缴费、住房公积金、其他工资福利支出、退休费、生活补助；公用经费57.69万元，主要包括：办公费、印刷费、水费、电费、邮电费、差旅费、维修（护）费、租赁费、培训费、公务接待费、被装购置费、劳务费、工会经费、福利费、公务用车运行维护费、其他交通费用、其他商品和服务支出、办公设备购置、其他资本性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年度“三公”经费财政拨款支出预算为16.50万元，支出决算为5.93万元，完成预算的3</w:t>
      </w:r>
      <w:r>
        <w:rPr>
          <w:rFonts w:ascii="仿宋_GB2312" w:hAnsi="仿宋_GB2312" w:eastAsia="仿宋_GB2312" w:cs="仿宋_GB2312"/>
          <w:color w:val="auto"/>
          <w:sz w:val="32"/>
          <w:szCs w:val="32"/>
          <w:highlight w:val="none"/>
        </w:rPr>
        <w:t>5.94</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年度“三公”经费支出决算数与预算数存在差异的主要原因是严格</w:t>
      </w:r>
      <w:r>
        <w:rPr>
          <w:rFonts w:ascii="仿宋_GB2312" w:hAnsi="仿宋_GB2312" w:eastAsia="仿宋_GB2312" w:cs="仿宋_GB2312"/>
          <w:color w:val="auto"/>
          <w:sz w:val="32"/>
          <w:szCs w:val="32"/>
          <w:highlight w:val="none"/>
        </w:rPr>
        <w:t>执行相关规定</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控制</w:t>
      </w:r>
      <w:r>
        <w:rPr>
          <w:rFonts w:hint="eastAsia" w:ascii="仿宋_GB2312" w:hAnsi="仿宋_GB2312" w:eastAsia="仿宋_GB2312" w:cs="仿宋_GB2312"/>
          <w:color w:val="auto"/>
          <w:sz w:val="32"/>
          <w:szCs w:val="32"/>
          <w:highlight w:val="none"/>
        </w:rPr>
        <w:t>“三公”经费</w:t>
      </w:r>
      <w:r>
        <w:rPr>
          <w:rFonts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年度“三公”经费财政拨款支出决算中，因公出国（境）费支出决算0.00万元；公务用车购置及运行费支出决算5.60万元，完成预算的3</w:t>
      </w:r>
      <w:r>
        <w:rPr>
          <w:rFonts w:ascii="仿宋_GB2312" w:hAnsi="仿宋_GB2312" w:eastAsia="仿宋_GB2312" w:cs="仿宋_GB2312"/>
          <w:color w:val="auto"/>
          <w:sz w:val="32"/>
          <w:szCs w:val="32"/>
          <w:highlight w:val="none"/>
        </w:rPr>
        <w:t>5.00</w:t>
      </w:r>
      <w:r>
        <w:rPr>
          <w:rFonts w:hint="eastAsia" w:ascii="仿宋_GB2312" w:hAnsi="仿宋_GB2312" w:eastAsia="仿宋_GB2312" w:cs="仿宋_GB2312"/>
          <w:color w:val="auto"/>
          <w:sz w:val="32"/>
          <w:szCs w:val="32"/>
          <w:highlight w:val="none"/>
        </w:rPr>
        <w:t>%，占94.</w:t>
      </w:r>
      <w:r>
        <w:rPr>
          <w:rFonts w:hint="eastAsia" w:ascii="仿宋_GB2312" w:hAnsi="仿宋_GB2312" w:eastAsia="仿宋_GB2312" w:cs="仿宋_GB2312"/>
          <w:color w:val="auto"/>
          <w:sz w:val="32"/>
          <w:szCs w:val="32"/>
          <w:highlight w:val="none"/>
          <w:lang w:val="en-US" w:eastAsia="zh-CN"/>
        </w:rPr>
        <w:t>44</w:t>
      </w:r>
      <w:r>
        <w:rPr>
          <w:rFonts w:hint="eastAsia" w:ascii="仿宋_GB2312" w:hAnsi="仿宋_GB2312" w:eastAsia="仿宋_GB2312" w:cs="仿宋_GB2312"/>
          <w:color w:val="auto"/>
          <w:sz w:val="32"/>
          <w:szCs w:val="32"/>
          <w:highlight w:val="none"/>
        </w:rPr>
        <w:t>%；公务接待费支出决算0.32万元，完成预算的64.00%，占5.4</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万元。2021年度“三公”经费支出决算数与预算数不存在差异。全年因公出国（境）团组数0个，累计0人次。</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预算为16.00万元，支出决算为5.60万元，完成预算的35.00%。决算数与预算数存在差异的主要原因是严格</w:t>
      </w:r>
      <w:r>
        <w:rPr>
          <w:rFonts w:ascii="仿宋_GB2312" w:hAnsi="仿宋_GB2312" w:eastAsia="仿宋_GB2312" w:cs="仿宋_GB2312"/>
          <w:color w:val="auto"/>
          <w:sz w:val="32"/>
          <w:szCs w:val="32"/>
          <w:highlight w:val="none"/>
        </w:rPr>
        <w:t>执行相关规定</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控制</w:t>
      </w:r>
      <w:r>
        <w:rPr>
          <w:rFonts w:hint="eastAsia" w:ascii="仿宋_GB2312" w:hAnsi="仿宋_GB2312" w:eastAsia="仿宋_GB2312" w:cs="仿宋_GB2312"/>
          <w:color w:val="auto"/>
          <w:sz w:val="32"/>
          <w:szCs w:val="32"/>
          <w:highlight w:val="none"/>
        </w:rPr>
        <w:t>“三公”经费</w:t>
      </w:r>
      <w:r>
        <w:rPr>
          <w:rFonts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万元，购置车辆0台。</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5.60万元。主要用于公务用车</w:t>
      </w:r>
      <w:r>
        <w:rPr>
          <w:rFonts w:ascii="仿宋_GB2312" w:hAnsi="仿宋_GB2312" w:eastAsia="仿宋_GB2312" w:cs="仿宋_GB2312"/>
          <w:color w:val="auto"/>
          <w:sz w:val="32"/>
          <w:szCs w:val="32"/>
          <w:highlight w:val="none"/>
        </w:rPr>
        <w:t>加油、维修、保险</w:t>
      </w:r>
      <w:r>
        <w:rPr>
          <w:rFonts w:hint="eastAsia" w:ascii="仿宋_GB2312" w:hAnsi="仿宋_GB2312" w:eastAsia="仿宋_GB2312" w:cs="仿宋_GB2312"/>
          <w:color w:val="auto"/>
          <w:sz w:val="32"/>
          <w:szCs w:val="32"/>
          <w:highlight w:val="none"/>
        </w:rPr>
        <w:t>及</w:t>
      </w:r>
      <w:r>
        <w:rPr>
          <w:rFonts w:ascii="仿宋_GB2312" w:hAnsi="仿宋_GB2312" w:eastAsia="仿宋_GB2312" w:cs="仿宋_GB2312"/>
          <w:color w:val="auto"/>
          <w:sz w:val="32"/>
          <w:szCs w:val="32"/>
          <w:highlight w:val="none"/>
        </w:rPr>
        <w:t>过路费等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年期末，单位开支财政拨款的公务用车保有量为4辆。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预算为0.50万元，支出决算为0.32万元，完成预算的64.00%。决算数与预算数存在差异的主要原因是我局</w:t>
      </w:r>
      <w:r>
        <w:rPr>
          <w:rFonts w:ascii="仿宋_GB2312" w:hAnsi="仿宋_GB2312" w:eastAsia="仿宋_GB2312" w:cs="仿宋_GB2312"/>
          <w:color w:val="auto"/>
          <w:sz w:val="32"/>
          <w:szCs w:val="32"/>
          <w:highlight w:val="none"/>
        </w:rPr>
        <w:t>严格执行八项规定，控制公务接待范围和标准</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0.32万元。主要用于</w:t>
      </w:r>
      <w:r>
        <w:rPr>
          <w:rFonts w:ascii="仿宋_GB2312" w:hAnsi="仿宋_GB2312" w:eastAsia="仿宋_GB2312" w:cs="仿宋_GB2312"/>
          <w:color w:val="auto"/>
          <w:sz w:val="32"/>
          <w:szCs w:val="32"/>
          <w:highlight w:val="none"/>
        </w:rPr>
        <w:t>上级工作检查、案件协查、调研工作等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年共接待国内来访团组6个、来宾26人次（不包括陪同人员）。</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万元。不存在</w:t>
      </w:r>
      <w:r>
        <w:rPr>
          <w:rFonts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rPr>
        <w:t>年末</w:t>
      </w:r>
      <w:r>
        <w:rPr>
          <w:rFonts w:ascii="仿宋_GB2312" w:hAnsi="仿宋_GB2312" w:eastAsia="仿宋_GB2312" w:cs="仿宋_GB2312"/>
          <w:color w:val="auto"/>
          <w:sz w:val="32"/>
          <w:szCs w:val="32"/>
          <w:highlight w:val="none"/>
        </w:rPr>
        <w:t>结转和结余资金数额较大。</w:t>
      </w:r>
      <w:r>
        <w:rPr>
          <w:rFonts w:hint="eastAsia" w:ascii="仿宋_GB2312" w:hAnsi="仿宋_GB2312" w:eastAsia="仿宋_GB2312" w:cs="仿宋_GB2312"/>
          <w:color w:val="auto"/>
          <w:sz w:val="32"/>
          <w:szCs w:val="32"/>
          <w:highlight w:val="none"/>
        </w:rPr>
        <w:t>情况说明：</w:t>
      </w:r>
      <w:r>
        <w:rPr>
          <w:rFonts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rPr>
        <w:t>单位2021年度</w:t>
      </w:r>
      <w:r>
        <w:rPr>
          <w:rFonts w:ascii="仿宋_GB2312" w:hAnsi="仿宋_GB2312" w:eastAsia="仿宋_GB2312" w:cs="仿宋_GB2312"/>
          <w:color w:val="auto"/>
          <w:sz w:val="32"/>
          <w:szCs w:val="32"/>
          <w:highlight w:val="none"/>
        </w:rPr>
        <w:t>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年度机关运行经费年初预算为69.45万元，支出决算为57.69万元，完成年初预算的8</w:t>
      </w:r>
      <w:r>
        <w:rPr>
          <w:rFonts w:ascii="仿宋_GB2312" w:hAnsi="仿宋_GB2312" w:eastAsia="仿宋_GB2312" w:cs="仿宋_GB2312"/>
          <w:color w:val="auto"/>
          <w:sz w:val="32"/>
          <w:szCs w:val="32"/>
          <w:highlight w:val="none"/>
        </w:rPr>
        <w:t>3.07</w:t>
      </w:r>
      <w:r>
        <w:rPr>
          <w:rFonts w:hint="eastAsia" w:ascii="仿宋_GB2312" w:hAnsi="仿宋_GB2312" w:eastAsia="仿宋_GB2312" w:cs="仿宋_GB2312"/>
          <w:color w:val="auto"/>
          <w:sz w:val="32"/>
          <w:szCs w:val="32"/>
          <w:highlight w:val="none"/>
        </w:rPr>
        <w:t>%。决算数与年初预算数存在差异的主要原因是严格执行</w:t>
      </w:r>
      <w:r>
        <w:rPr>
          <w:rFonts w:ascii="仿宋_GB2312" w:hAnsi="仿宋_GB2312" w:eastAsia="仿宋_GB2312" w:cs="仿宋_GB2312"/>
          <w:color w:val="auto"/>
          <w:sz w:val="32"/>
          <w:szCs w:val="32"/>
          <w:highlight w:val="none"/>
        </w:rPr>
        <w:t>相关规定，控制“</w:t>
      </w:r>
      <w:r>
        <w:rPr>
          <w:rFonts w:hint="eastAsia" w:ascii="仿宋_GB2312" w:hAnsi="仿宋_GB2312" w:eastAsia="仿宋_GB2312" w:cs="仿宋_GB2312"/>
          <w:color w:val="auto"/>
          <w:sz w:val="32"/>
          <w:szCs w:val="32"/>
          <w:highlight w:val="none"/>
        </w:rPr>
        <w:t>三公</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经费</w:t>
      </w:r>
      <w:r>
        <w:rPr>
          <w:rFonts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4辆，其中：省级领导干部用车0辆、主要领导干部用车0辆、机要通信用车0辆、应急保障车0辆、执法执勤用车4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w:t>
      </w:r>
      <w:r>
        <w:rPr>
          <w:rFonts w:hint="eastAsia" w:ascii="仿宋_GB2312" w:hAnsi="楷体_GB2312" w:eastAsia="仿宋_GB2312" w:cs="楷体_GB2312"/>
          <w:bCs/>
          <w:color w:val="auto"/>
          <w:sz w:val="32"/>
          <w:szCs w:val="32"/>
          <w:highlight w:val="none"/>
        </w:rPr>
        <w:t>积极推进全</w:t>
      </w:r>
      <w:r>
        <w:rPr>
          <w:rFonts w:ascii="仿宋_GB2312" w:hAnsi="楷体_GB2312" w:eastAsia="仿宋_GB2312" w:cs="楷体_GB2312"/>
          <w:bCs/>
          <w:color w:val="auto"/>
          <w:sz w:val="32"/>
          <w:szCs w:val="32"/>
          <w:highlight w:val="none"/>
        </w:rPr>
        <w:t>过程预算绩效管理,着力促进资金使用绩效的提升</w:t>
      </w:r>
      <w:r>
        <w:rPr>
          <w:rFonts w:hint="eastAsia" w:ascii="仿宋_GB2312" w:hAnsi="楷体_GB2312" w:eastAsia="仿宋_GB2312" w:cs="楷体_GB2312"/>
          <w:bCs/>
          <w:color w:val="auto"/>
          <w:sz w:val="32"/>
          <w:szCs w:val="32"/>
          <w:highlight w:val="none"/>
        </w:rPr>
        <w:t>。</w:t>
      </w:r>
      <w:r>
        <w:rPr>
          <w:rFonts w:ascii="仿宋_GB2312" w:hAnsi="楷体_GB2312" w:eastAsia="仿宋_GB2312" w:cs="楷体_GB2312"/>
          <w:bCs/>
          <w:color w:val="auto"/>
          <w:sz w:val="32"/>
          <w:szCs w:val="32"/>
          <w:highlight w:val="none"/>
        </w:rPr>
        <w:t>依据预算管理制度</w:t>
      </w:r>
      <w:r>
        <w:rPr>
          <w:rFonts w:hint="eastAsia" w:ascii="仿宋_GB2312" w:hAnsi="楷体_GB2312" w:eastAsia="仿宋_GB2312" w:cs="楷体_GB2312"/>
          <w:bCs/>
          <w:color w:val="auto"/>
          <w:sz w:val="32"/>
          <w:szCs w:val="32"/>
          <w:highlight w:val="none"/>
        </w:rPr>
        <w:t>、</w:t>
      </w:r>
      <w:r>
        <w:rPr>
          <w:rFonts w:ascii="仿宋_GB2312" w:hAnsi="楷体_GB2312" w:eastAsia="仿宋_GB2312" w:cs="楷体_GB2312"/>
          <w:bCs/>
          <w:color w:val="auto"/>
          <w:sz w:val="32"/>
          <w:szCs w:val="32"/>
          <w:highlight w:val="none"/>
        </w:rPr>
        <w:t>资金及财务管理办法和相关的财务会计资料，我单位制定了预算绩效管理办法，并于年底财务决算时，根据《</w:t>
      </w:r>
      <w:r>
        <w:rPr>
          <w:rFonts w:hint="eastAsia" w:ascii="仿宋_GB2312" w:hAnsi="楷体_GB2312" w:eastAsia="仿宋_GB2312" w:cs="楷体_GB2312"/>
          <w:bCs/>
          <w:color w:val="auto"/>
          <w:sz w:val="32"/>
          <w:szCs w:val="32"/>
          <w:highlight w:val="none"/>
        </w:rPr>
        <w:t>行政</w:t>
      </w:r>
      <w:r>
        <w:rPr>
          <w:rFonts w:ascii="仿宋_GB2312" w:hAnsi="楷体_GB2312" w:eastAsia="仿宋_GB2312" w:cs="楷体_GB2312"/>
          <w:bCs/>
          <w:color w:val="auto"/>
          <w:sz w:val="32"/>
          <w:szCs w:val="32"/>
          <w:highlight w:val="none"/>
        </w:rPr>
        <w:t>事业单位内控控制基础</w:t>
      </w:r>
      <w:r>
        <w:rPr>
          <w:rFonts w:hint="eastAsia" w:ascii="仿宋_GB2312" w:hAnsi="楷体_GB2312" w:eastAsia="仿宋_GB2312" w:cs="楷体_GB2312"/>
          <w:bCs/>
          <w:color w:val="auto"/>
          <w:sz w:val="32"/>
          <w:szCs w:val="32"/>
          <w:highlight w:val="none"/>
        </w:rPr>
        <w:t>性</w:t>
      </w:r>
      <w:r>
        <w:rPr>
          <w:rFonts w:ascii="仿宋_GB2312" w:hAnsi="楷体_GB2312" w:eastAsia="仿宋_GB2312" w:cs="楷体_GB2312"/>
          <w:bCs/>
          <w:color w:val="auto"/>
          <w:sz w:val="32"/>
          <w:szCs w:val="32"/>
          <w:highlight w:val="none"/>
        </w:rPr>
        <w:t>评价</w:t>
      </w:r>
      <w:r>
        <w:rPr>
          <w:rFonts w:hint="eastAsia" w:ascii="仿宋_GB2312" w:hAnsi="楷体_GB2312" w:eastAsia="仿宋_GB2312" w:cs="楷体_GB2312"/>
          <w:bCs/>
          <w:color w:val="auto"/>
          <w:sz w:val="32"/>
          <w:szCs w:val="32"/>
          <w:highlight w:val="none"/>
        </w:rPr>
        <w:t>指标</w:t>
      </w:r>
      <w:r>
        <w:rPr>
          <w:rFonts w:ascii="仿宋_GB2312" w:hAnsi="楷体_GB2312" w:eastAsia="仿宋_GB2312" w:cs="楷体_GB2312"/>
          <w:bCs/>
          <w:color w:val="auto"/>
          <w:sz w:val="32"/>
          <w:szCs w:val="32"/>
          <w:highlight w:val="none"/>
        </w:rPr>
        <w:t>评分表》</w:t>
      </w:r>
      <w:r>
        <w:rPr>
          <w:rFonts w:hint="eastAsia" w:ascii="仿宋_GB2312" w:hAnsi="楷体_GB2312" w:eastAsia="仿宋_GB2312" w:cs="楷体_GB2312"/>
          <w:bCs/>
          <w:color w:val="auto"/>
          <w:sz w:val="32"/>
          <w:szCs w:val="32"/>
          <w:highlight w:val="none"/>
        </w:rPr>
        <w:t>对</w:t>
      </w:r>
      <w:r>
        <w:rPr>
          <w:rFonts w:ascii="仿宋_GB2312" w:hAnsi="楷体_GB2312" w:eastAsia="仿宋_GB2312" w:cs="楷体_GB2312"/>
          <w:bCs/>
          <w:color w:val="auto"/>
          <w:sz w:val="32"/>
          <w:szCs w:val="32"/>
          <w:highlight w:val="none"/>
        </w:rPr>
        <w:t>本单位财务管理进行了全面的评价，</w:t>
      </w:r>
      <w:r>
        <w:rPr>
          <w:rFonts w:hint="eastAsia" w:ascii="仿宋_GB2312" w:hAnsi="楷体_GB2312" w:eastAsia="仿宋_GB2312" w:cs="楷体_GB2312"/>
          <w:bCs/>
          <w:color w:val="auto"/>
          <w:sz w:val="32"/>
          <w:szCs w:val="32"/>
          <w:highlight w:val="none"/>
        </w:rPr>
        <w:t>及时反馈</w:t>
      </w:r>
      <w:r>
        <w:rPr>
          <w:rFonts w:ascii="仿宋_GB2312" w:hAnsi="楷体_GB2312" w:eastAsia="仿宋_GB2312" w:cs="楷体_GB2312"/>
          <w:bCs/>
          <w:color w:val="auto"/>
          <w:sz w:val="32"/>
          <w:szCs w:val="32"/>
          <w:highlight w:val="none"/>
        </w:rPr>
        <w:t>绩效评价结果</w:t>
      </w:r>
      <w:r>
        <w:rPr>
          <w:rFonts w:hint="eastAsia" w:ascii="仿宋_GB2312" w:hAnsi="楷体_GB2312" w:eastAsia="仿宋_GB2312" w:cs="楷体_GB2312"/>
          <w:bCs/>
          <w:color w:val="auto"/>
          <w:sz w:val="32"/>
          <w:szCs w:val="32"/>
          <w:highlight w:val="none"/>
        </w:rPr>
        <w:t>，</w:t>
      </w:r>
      <w:r>
        <w:rPr>
          <w:rFonts w:ascii="仿宋_GB2312" w:hAnsi="楷体_GB2312" w:eastAsia="仿宋_GB2312" w:cs="楷体_GB2312"/>
          <w:bCs/>
          <w:color w:val="auto"/>
          <w:sz w:val="32"/>
          <w:szCs w:val="32"/>
          <w:highlight w:val="none"/>
        </w:rPr>
        <w:t>加强法律、法规和规章制度的</w:t>
      </w:r>
      <w:r>
        <w:rPr>
          <w:rFonts w:hint="eastAsia" w:ascii="仿宋_GB2312" w:hAnsi="楷体_GB2312" w:eastAsia="仿宋_GB2312" w:cs="楷体_GB2312"/>
          <w:bCs/>
          <w:color w:val="auto"/>
          <w:sz w:val="32"/>
          <w:szCs w:val="32"/>
          <w:highlight w:val="none"/>
        </w:rPr>
        <w:t>培训</w:t>
      </w:r>
      <w:r>
        <w:rPr>
          <w:rFonts w:ascii="仿宋_GB2312" w:hAnsi="楷体_GB2312" w:eastAsia="仿宋_GB2312" w:cs="楷体_GB2312"/>
          <w:bCs/>
          <w:color w:val="auto"/>
          <w:sz w:val="32"/>
          <w:szCs w:val="32"/>
          <w:highlight w:val="none"/>
        </w:rPr>
        <w:t>学习，不断提高管理水平和风险防范能力。</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（二）单位整体和项目绩效自评结果。</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按照《许昌市财政局关于开展2021年度市级预算绩效自评工作的通知》（许财效〔2022〕1号）等文件精神，我单位对本单位整体绩效目标和项目支出绩效目标进行了自评。一是我单位整体绩效自评情况</w:t>
      </w:r>
      <w:r>
        <w:rPr>
          <w:rFonts w:hint="eastAsia" w:ascii="仿宋_GB2312" w:hAnsi="仿宋" w:eastAsia="仿宋_GB2312"/>
          <w:color w:val="auto"/>
          <w:sz w:val="32"/>
          <w:szCs w:val="32"/>
          <w:highlight w:val="none"/>
          <w:lang w:val="en"/>
        </w:rPr>
        <w:t>较为理想，达到了年初设定的各项绩效目标。为</w:t>
      </w:r>
      <w:r>
        <w:rPr>
          <w:rFonts w:ascii="仿宋_GB2312" w:hAnsi="仿宋" w:eastAsia="仿宋_GB2312"/>
          <w:color w:val="auto"/>
          <w:sz w:val="32"/>
          <w:szCs w:val="32"/>
          <w:highlight w:val="none"/>
          <w:lang w:val="en"/>
        </w:rPr>
        <w:t>保证财政资金的使用效率，在资金使用过程中，</w:t>
      </w:r>
      <w:r>
        <w:rPr>
          <w:rFonts w:hint="eastAsia" w:ascii="仿宋_GB2312" w:hAnsi="仿宋" w:eastAsia="仿宋_GB2312"/>
          <w:color w:val="auto"/>
          <w:sz w:val="32"/>
          <w:szCs w:val="32"/>
          <w:highlight w:val="none"/>
          <w:lang w:val="en"/>
        </w:rPr>
        <w:t>严格</w:t>
      </w:r>
      <w:r>
        <w:rPr>
          <w:rFonts w:ascii="仿宋_GB2312" w:hAnsi="仿宋" w:eastAsia="仿宋_GB2312"/>
          <w:color w:val="auto"/>
          <w:sz w:val="32"/>
          <w:szCs w:val="32"/>
          <w:highlight w:val="none"/>
          <w:lang w:val="en"/>
        </w:rPr>
        <w:t>加强费用控制，将各项费用控制在预算范围内。</w:t>
      </w:r>
      <w:r>
        <w:rPr>
          <w:rFonts w:hint="eastAsia" w:ascii="仿宋_GB2312" w:hAnsi="仿宋_GB2312" w:eastAsia="仿宋_GB2312" w:cs="仿宋_GB2312"/>
          <w:color w:val="auto"/>
          <w:sz w:val="32"/>
          <w:szCs w:val="32"/>
          <w:highlight w:val="none"/>
        </w:rPr>
        <w:t>二是项目绩效自评情况。我单位共有个0项目批复了绩效目标，</w:t>
      </w:r>
      <w:r>
        <w:rPr>
          <w:rFonts w:ascii="仿宋_GB2312" w:hAnsi="仿宋_GB2312" w:eastAsia="仿宋_GB2312" w:cs="仿宋_GB2312"/>
          <w:color w:val="auto"/>
          <w:sz w:val="32"/>
          <w:szCs w:val="32"/>
          <w:highlight w:val="none"/>
        </w:rPr>
        <w:t>项目金额</w:t>
      </w:r>
      <w:r>
        <w:rPr>
          <w:rFonts w:hint="eastAsia" w:ascii="仿宋_GB2312" w:hAnsi="仿宋_GB2312" w:eastAsia="仿宋_GB2312" w:cs="仿宋_GB2312"/>
          <w:color w:val="auto"/>
          <w:sz w:val="32"/>
          <w:szCs w:val="32"/>
          <w:highlight w:val="none"/>
        </w:rPr>
        <w:t>0.00万元。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w:t>
      </w:r>
      <w:r>
        <w:rPr>
          <w:rFonts w:ascii="仿宋_GB2312" w:hAnsi="仿宋_GB2312" w:eastAsia="仿宋_GB2312" w:cs="仿宋_GB2312"/>
          <w:color w:val="auto"/>
          <w:sz w:val="32"/>
          <w:szCs w:val="32"/>
          <w:highlight w:val="none"/>
        </w:rPr>
        <w:t>项目预期目标的实现程度,对</w:t>
      </w:r>
      <w:r>
        <w:rPr>
          <w:rFonts w:hint="eastAsia" w:ascii="仿宋_GB2312" w:hAnsi="仿宋_GB2312" w:eastAsia="仿宋_GB2312" w:cs="仿宋_GB2312"/>
          <w:color w:val="auto"/>
          <w:sz w:val="32"/>
          <w:szCs w:val="32"/>
          <w:highlight w:val="none"/>
        </w:rPr>
        <w:t>2021年</w:t>
      </w:r>
      <w:r>
        <w:rPr>
          <w:rFonts w:ascii="仿宋_GB2312" w:hAnsi="仿宋_GB2312" w:eastAsia="仿宋_GB2312" w:cs="仿宋_GB2312"/>
          <w:color w:val="auto"/>
          <w:sz w:val="32"/>
          <w:szCs w:val="32"/>
          <w:highlight w:val="none"/>
        </w:rPr>
        <w:t>度项目支出绩效进行自评</w:t>
      </w:r>
      <w:r>
        <w:rPr>
          <w:rFonts w:hint="eastAsia" w:ascii="仿宋_GB2312" w:hAnsi="仿宋_GB2312" w:eastAsia="仿宋_GB2312" w:cs="仿宋_GB2312"/>
          <w:color w:val="auto"/>
          <w:sz w:val="32"/>
          <w:szCs w:val="32"/>
          <w:highlight w:val="none"/>
        </w:rPr>
        <w:t>，绩效自评平均得分为/分。0个</w:t>
      </w:r>
      <w:r>
        <w:rPr>
          <w:rFonts w:ascii="仿宋_GB2312" w:hAnsi="仿宋_GB2312" w:eastAsia="仿宋_GB2312" w:cs="仿宋_GB2312"/>
          <w:color w:val="auto"/>
          <w:sz w:val="32"/>
          <w:szCs w:val="32"/>
          <w:highlight w:val="none"/>
        </w:rPr>
        <w:t>项目评价</w:t>
      </w:r>
      <w:r>
        <w:rPr>
          <w:rFonts w:hint="eastAsia" w:ascii="仿宋_GB2312" w:hAnsi="仿宋_GB2312" w:eastAsia="仿宋_GB2312" w:cs="仿宋_GB2312"/>
          <w:color w:val="auto"/>
          <w:sz w:val="32"/>
          <w:szCs w:val="32"/>
          <w:highlight w:val="none"/>
        </w:rPr>
        <w:t>等级</w:t>
      </w:r>
      <w:r>
        <w:rPr>
          <w:rFonts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rPr>
        <w:t>优</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，0个</w:t>
      </w:r>
      <w:r>
        <w:rPr>
          <w:rFonts w:ascii="仿宋_GB2312" w:hAnsi="仿宋_GB2312" w:eastAsia="仿宋_GB2312" w:cs="仿宋_GB2312"/>
          <w:color w:val="auto"/>
          <w:sz w:val="32"/>
          <w:szCs w:val="32"/>
          <w:highlight w:val="none"/>
        </w:rPr>
        <w:t>项目评价</w:t>
      </w:r>
      <w:r>
        <w:rPr>
          <w:rFonts w:hint="eastAsia" w:ascii="仿宋_GB2312" w:hAnsi="仿宋_GB2312" w:eastAsia="仿宋_GB2312" w:cs="仿宋_GB2312"/>
          <w:color w:val="auto"/>
          <w:sz w:val="32"/>
          <w:szCs w:val="32"/>
          <w:highlight w:val="none"/>
        </w:rPr>
        <w:t>等级</w:t>
      </w:r>
      <w:r>
        <w:rPr>
          <w:rFonts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rPr>
        <w:t>良</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，0个</w:t>
      </w:r>
      <w:r>
        <w:rPr>
          <w:rFonts w:ascii="仿宋_GB2312" w:hAnsi="仿宋_GB2312" w:eastAsia="仿宋_GB2312" w:cs="仿宋_GB2312"/>
          <w:color w:val="auto"/>
          <w:sz w:val="32"/>
          <w:szCs w:val="32"/>
          <w:highlight w:val="none"/>
        </w:rPr>
        <w:t>项目评价</w:t>
      </w:r>
      <w:r>
        <w:rPr>
          <w:rFonts w:hint="eastAsia" w:ascii="仿宋_GB2312" w:hAnsi="仿宋_GB2312" w:eastAsia="仿宋_GB2312" w:cs="仿宋_GB2312"/>
          <w:color w:val="auto"/>
          <w:sz w:val="32"/>
          <w:szCs w:val="32"/>
          <w:highlight w:val="none"/>
        </w:rPr>
        <w:t>等级</w:t>
      </w:r>
      <w:r>
        <w:rPr>
          <w:rFonts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rPr>
        <w:t>中</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，0个</w:t>
      </w:r>
      <w:r>
        <w:rPr>
          <w:rFonts w:ascii="仿宋_GB2312" w:hAnsi="仿宋_GB2312" w:eastAsia="仿宋_GB2312" w:cs="仿宋_GB2312"/>
          <w:color w:val="auto"/>
          <w:sz w:val="32"/>
          <w:szCs w:val="32"/>
          <w:highlight w:val="none"/>
        </w:rPr>
        <w:t>项目评价</w:t>
      </w:r>
      <w:r>
        <w:rPr>
          <w:rFonts w:hint="eastAsia" w:ascii="仿宋_GB2312" w:hAnsi="仿宋_GB2312" w:eastAsia="仿宋_GB2312" w:cs="仿宋_GB2312"/>
          <w:color w:val="auto"/>
          <w:sz w:val="32"/>
          <w:szCs w:val="32"/>
          <w:highlight w:val="none"/>
        </w:rPr>
        <w:t>等级</w:t>
      </w:r>
      <w:r>
        <w:rPr>
          <w:rFonts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rPr>
        <w:t>差</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2021年度我单位没有开展重点绩效评价的项目。</w:t>
      </w:r>
    </w:p>
    <w:p>
      <w:pPr>
        <w:widowControl/>
        <w:spacing w:line="360" w:lineRule="auto"/>
        <w:ind w:firstLine="640" w:firstLineChars="200"/>
        <w:rPr>
          <w:rFonts w:ascii="仿宋_GB2312" w:hAnsi="仿宋_GB2312" w:eastAsia="仿宋_GB2312" w:cs="仿宋_GB2312"/>
          <w:color w:val="auto"/>
          <w:sz w:val="32"/>
          <w:szCs w:val="32"/>
          <w:highlight w:val="none"/>
        </w:rPr>
      </w:pPr>
    </w:p>
    <w:p>
      <w:pPr>
        <w:widowControl/>
        <w:spacing w:line="360" w:lineRule="auto"/>
        <w:ind w:firstLine="640" w:firstLineChars="200"/>
        <w:rPr>
          <w:rFonts w:ascii="仿宋_GB2312" w:hAnsi="仿宋_GB2312" w:eastAsia="仿宋_GB2312" w:cs="仿宋_GB2312"/>
          <w:color w:val="auto"/>
          <w:sz w:val="32"/>
          <w:szCs w:val="32"/>
          <w:highlight w:val="none"/>
        </w:rPr>
      </w:pPr>
    </w:p>
    <w:p>
      <w:pPr>
        <w:widowControl/>
        <w:spacing w:line="360" w:lineRule="auto"/>
        <w:ind w:firstLine="640" w:firstLineChars="200"/>
        <w:rPr>
          <w:rFonts w:ascii="仿宋_GB2312" w:hAnsi="仿宋_GB2312" w:eastAsia="仿宋_GB2312" w:cs="仿宋_GB2312"/>
          <w:color w:val="auto"/>
          <w:sz w:val="32"/>
          <w:szCs w:val="32"/>
          <w:highlight w:val="none"/>
        </w:rPr>
      </w:pPr>
    </w:p>
    <w:p>
      <w:pPr>
        <w:widowControl/>
        <w:spacing w:line="360" w:lineRule="auto"/>
        <w:ind w:firstLine="640" w:firstLineChars="200"/>
        <w:rPr>
          <w:rFonts w:ascii="仿宋_GB2312" w:hAnsi="仿宋_GB2312" w:eastAsia="仿宋_GB2312" w:cs="仿宋_GB2312"/>
          <w:color w:val="auto"/>
          <w:sz w:val="32"/>
          <w:szCs w:val="32"/>
          <w:highlight w:val="none"/>
        </w:rPr>
      </w:pPr>
    </w:p>
    <w:p>
      <w:pPr>
        <w:widowControl/>
        <w:spacing w:line="360" w:lineRule="auto"/>
        <w:ind w:firstLine="640" w:firstLineChars="200"/>
        <w:rPr>
          <w:rFonts w:ascii="仿宋_GB2312" w:hAnsi="仿宋_GB2312" w:eastAsia="仿宋_GB2312" w:cs="仿宋_GB2312"/>
          <w:color w:val="auto"/>
          <w:sz w:val="32"/>
          <w:szCs w:val="32"/>
          <w:highlight w:val="none"/>
        </w:rPr>
      </w:pPr>
    </w:p>
    <w:p>
      <w:pPr>
        <w:widowControl/>
        <w:spacing w:line="360" w:lineRule="auto"/>
        <w:ind w:firstLine="640" w:firstLineChars="200"/>
        <w:rPr>
          <w:rFonts w:ascii="仿宋_GB2312" w:hAnsi="仿宋_GB2312" w:eastAsia="仿宋_GB2312" w:cs="仿宋_GB2312"/>
          <w:color w:val="auto"/>
          <w:sz w:val="32"/>
          <w:szCs w:val="32"/>
          <w:highlight w:val="none"/>
        </w:rPr>
      </w:pPr>
    </w:p>
    <w:p>
      <w:pPr>
        <w:widowControl/>
        <w:spacing w:line="360" w:lineRule="auto"/>
        <w:ind w:firstLine="640" w:firstLineChars="200"/>
        <w:rPr>
          <w:rFonts w:ascii="仿宋_GB2312" w:hAnsi="仿宋_GB2312" w:eastAsia="仿宋_GB2312" w:cs="仿宋_GB2312"/>
          <w:color w:val="auto"/>
          <w:sz w:val="32"/>
          <w:szCs w:val="32"/>
          <w:highlight w:val="none"/>
        </w:rPr>
      </w:pPr>
    </w:p>
    <w:p>
      <w:pPr>
        <w:widowControl/>
        <w:spacing w:line="360" w:lineRule="auto"/>
        <w:ind w:firstLine="640" w:firstLineChars="200"/>
        <w:rPr>
          <w:rFonts w:ascii="仿宋_GB2312" w:hAnsi="仿宋_GB2312" w:eastAsia="仿宋_GB2312" w:cs="仿宋_GB2312"/>
          <w:color w:val="auto"/>
          <w:sz w:val="32"/>
          <w:szCs w:val="32"/>
          <w:highlight w:val="none"/>
        </w:rPr>
      </w:pPr>
    </w:p>
    <w:p>
      <w:pPr>
        <w:widowControl/>
        <w:spacing w:line="360" w:lineRule="auto"/>
        <w:ind w:firstLine="640" w:firstLineChars="200"/>
        <w:rPr>
          <w:rFonts w:ascii="仿宋_GB2312" w:hAnsi="仿宋_GB2312" w:eastAsia="仿宋_GB2312" w:cs="仿宋_GB2312"/>
          <w:color w:val="auto"/>
          <w:sz w:val="32"/>
          <w:szCs w:val="32"/>
          <w:highlight w:val="none"/>
        </w:rPr>
      </w:pPr>
    </w:p>
    <w:p>
      <w:pPr>
        <w:widowControl/>
        <w:spacing w:line="360" w:lineRule="auto"/>
        <w:ind w:firstLine="640" w:firstLineChars="200"/>
        <w:rPr>
          <w:rFonts w:ascii="仿宋_GB2312" w:hAnsi="仿宋_GB2312" w:eastAsia="仿宋_GB2312" w:cs="仿宋_GB2312"/>
          <w:color w:val="auto"/>
          <w:sz w:val="32"/>
          <w:szCs w:val="32"/>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172A27"/>
    <w:rsid w:val="00217FC2"/>
    <w:rsid w:val="00273614"/>
    <w:rsid w:val="003B7B8E"/>
    <w:rsid w:val="003D663A"/>
    <w:rsid w:val="00407E8F"/>
    <w:rsid w:val="004545F2"/>
    <w:rsid w:val="00690E64"/>
    <w:rsid w:val="006D504C"/>
    <w:rsid w:val="00701BF1"/>
    <w:rsid w:val="00735BD5"/>
    <w:rsid w:val="007D71C8"/>
    <w:rsid w:val="00802458"/>
    <w:rsid w:val="008F4970"/>
    <w:rsid w:val="00C278CE"/>
    <w:rsid w:val="00CA203C"/>
    <w:rsid w:val="00CE5AAF"/>
    <w:rsid w:val="00D6157F"/>
    <w:rsid w:val="00DB0CC6"/>
    <w:rsid w:val="00E832BF"/>
    <w:rsid w:val="00F10113"/>
    <w:rsid w:val="00F979F4"/>
    <w:rsid w:val="07A92C04"/>
    <w:rsid w:val="0D5C636E"/>
    <w:rsid w:val="1DA866B9"/>
    <w:rsid w:val="240958BE"/>
    <w:rsid w:val="284E0B51"/>
    <w:rsid w:val="3185684A"/>
    <w:rsid w:val="334D1AF6"/>
    <w:rsid w:val="356D4D13"/>
    <w:rsid w:val="38D158BB"/>
    <w:rsid w:val="3CE21B3C"/>
    <w:rsid w:val="3E530817"/>
    <w:rsid w:val="46B5206F"/>
    <w:rsid w:val="47E576B6"/>
    <w:rsid w:val="49B65212"/>
    <w:rsid w:val="4DEC510B"/>
    <w:rsid w:val="4E03576A"/>
    <w:rsid w:val="53062168"/>
    <w:rsid w:val="623E6F65"/>
    <w:rsid w:val="6FB134D8"/>
    <w:rsid w:val="703419A7"/>
    <w:rsid w:val="714438CF"/>
    <w:rsid w:val="74E44E89"/>
    <w:rsid w:val="7DFD0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页脚 Char"/>
    <w:link w:val="3"/>
    <w:qFormat/>
    <w:uiPriority w:val="99"/>
    <w:rPr>
      <w:kern w:val="2"/>
      <w:sz w:val="18"/>
      <w:szCs w:val="18"/>
    </w:rPr>
  </w:style>
  <w:style w:type="character" w:customStyle="1" w:styleId="10">
    <w:name w:val="font11"/>
    <w:qFormat/>
    <w:uiPriority w:val="0"/>
    <w:rPr>
      <w:rFonts w:hint="eastAsia" w:ascii="宋体" w:hAnsi="宋体" w:eastAsia="宋体" w:cs="宋体"/>
      <w:color w:val="000000"/>
      <w:sz w:val="20"/>
      <w:szCs w:val="20"/>
      <w:u w:val="none"/>
    </w:rPr>
  </w:style>
  <w:style w:type="character" w:customStyle="1" w:styleId="11">
    <w:name w:val="批注框文本 Char"/>
    <w:link w:val="2"/>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18504-25A8-47B8-A926-839C0710C4A6}">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8485</Words>
  <Characters>10542</Characters>
  <Lines>95</Lines>
  <Paragraphs>26</Paragraphs>
  <TotalTime>72</TotalTime>
  <ScaleCrop>false</ScaleCrop>
  <LinksUpToDate>false</LinksUpToDate>
  <CharactersWithSpaces>11422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2022-09-09T01:35:00Z</cp:lastPrinted>
  <dcterms:modified xsi:type="dcterms:W3CDTF">2023-09-17T11:12:56Z</dcterms:modified>
  <dc:title>2021年度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31E3BA2B350B47488E96C4055F238856_13</vt:lpwstr>
  </property>
</Properties>
</file>