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许昌市机关事务中心（本级）单位决算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许昌市机关事务中心概况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单位职责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2021年度单位决算表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年度单位决算情况说明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许昌市机关事务中心（本级）概况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一、单位</w:t>
      </w:r>
      <w:r>
        <w:rPr>
          <w:rFonts w:hint="eastAsia" w:ascii="黑体" w:hAnsi="黑体" w:eastAsia="黑体" w:cs="黑体"/>
          <w:bCs/>
          <w:sz w:val="32"/>
          <w:szCs w:val="32"/>
        </w:rPr>
        <w:t>职责</w:t>
      </w:r>
    </w:p>
    <w:p>
      <w:pPr>
        <w:spacing w:line="60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单位主要职能是负责全市行政事业单位公务用车管理、市直行政事业单位房地产管理、</w:t>
      </w:r>
      <w:r>
        <w:rPr>
          <w:rFonts w:hint="eastAsia" w:ascii="仿宋_GB2312" w:hAnsi="宋体" w:eastAsia="仿宋_GB2312"/>
          <w:sz w:val="32"/>
        </w:rPr>
        <w:t>全市公共机构节能监督管理、统管办公区管理服务保障等工作</w:t>
      </w:r>
      <w:r>
        <w:rPr>
          <w:rFonts w:hint="eastAsia" w:ascii="仿宋_GB2312" w:hAnsi="宋体" w:eastAsia="仿宋_GB2312" w:cs="宋体"/>
          <w:kern w:val="0"/>
          <w:sz w:val="32"/>
          <w:szCs w:val="32"/>
        </w:rPr>
        <w:t>。</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sz w:val="32"/>
        </w:rPr>
      </w:pPr>
      <w:r>
        <w:rPr>
          <w:rFonts w:hint="eastAsia" w:ascii="仿宋_GB2312" w:hAnsi="仿宋_GB2312" w:eastAsia="仿宋_GB2312"/>
          <w:sz w:val="32"/>
        </w:rPr>
        <w:t>许昌市机关事务中心内设机构9个，包括：办公室、机关党委、房地产与基建科、公共机构节能科、后勤改革与发展指导科、保卫科、资产财务科、公务车辆管理科、综合服务科。</w:t>
      </w:r>
    </w:p>
    <w:p>
      <w:pPr>
        <w:widowControl/>
        <w:ind w:firstLine="640" w:firstLineChars="200"/>
        <w:jc w:val="left"/>
        <w:rPr>
          <w:rFonts w:ascii="黑体" w:hAnsi="黑体" w:eastAsia="黑体"/>
          <w:b/>
          <w:bCs/>
          <w:color w:val="FF0000"/>
          <w:sz w:val="28"/>
          <w:szCs w:val="28"/>
        </w:rPr>
      </w:pPr>
      <w:r>
        <w:rPr>
          <w:rFonts w:hint="eastAsia" w:ascii="仿宋_GB2312" w:eastAsia="仿宋_GB2312"/>
          <w:sz w:val="32"/>
          <w:szCs w:val="32"/>
        </w:rPr>
        <w:t>从决算单位构成看，许昌市机关事务中心单位决算包括：本级决算（1个）。</w:t>
      </w:r>
    </w:p>
    <w:p>
      <w:pPr>
        <w:pStyle w:val="18"/>
        <w:spacing w:line="360" w:lineRule="auto"/>
        <w:jc w:val="left"/>
        <w:rPr>
          <w:rFonts w:ascii="仿宋_GB2312" w:eastAsia="仿宋_GB2312"/>
          <w:sz w:val="32"/>
          <w:szCs w:val="32"/>
        </w:rPr>
      </w:pPr>
      <w:r>
        <w:rPr>
          <w:rFonts w:hint="eastAsia" w:ascii="仿宋_GB2312" w:eastAsia="仿宋_GB2312"/>
          <w:sz w:val="32"/>
          <w:szCs w:val="32"/>
        </w:rPr>
        <w:t xml:space="preserve">    纳入本单位2021年度单位决算编制</w:t>
      </w:r>
      <w:r>
        <w:rPr>
          <w:rFonts w:hint="eastAsia" w:ascii="仿宋_GB2312" w:eastAsia="仿宋_GB2312"/>
          <w:color w:val="000000"/>
          <w:sz w:val="32"/>
          <w:szCs w:val="32"/>
        </w:rPr>
        <w:t>范围的单位共1个，</w:t>
      </w:r>
      <w:r>
        <w:rPr>
          <w:rFonts w:hint="eastAsia" w:ascii="仿宋_GB2312" w:eastAsia="仿宋_GB2312"/>
          <w:sz w:val="32"/>
          <w:szCs w:val="32"/>
        </w:rPr>
        <w:t>具体是：</w:t>
      </w:r>
    </w:p>
    <w:p>
      <w:pPr>
        <w:pStyle w:val="18"/>
        <w:spacing w:line="360" w:lineRule="auto"/>
        <w:jc w:val="left"/>
        <w:rPr>
          <w:rFonts w:ascii="黑体" w:hAnsi="宋体" w:eastAsia="仿宋_GB2312" w:cs="宋体"/>
          <w:sz w:val="28"/>
          <w:szCs w:val="28"/>
        </w:rPr>
        <w:sectPr>
          <w:pgSz w:w="11906" w:h="16838"/>
          <w:pgMar w:top="1440" w:right="1800" w:bottom="1440" w:left="1800" w:header="720" w:footer="720" w:gutter="0"/>
          <w:pgNumType w:fmt="numberInDash"/>
          <w:cols w:space="720" w:num="1"/>
          <w:docGrid w:type="lines" w:linePitch="312" w:charSpace="0"/>
        </w:sectPr>
      </w:pPr>
      <w:r>
        <w:rPr>
          <w:rFonts w:hint="eastAsia" w:ascii="仿宋_GB2312" w:eastAsia="仿宋_GB2312"/>
          <w:sz w:val="32"/>
          <w:szCs w:val="32"/>
        </w:rPr>
        <w:t xml:space="preserve">   1. 许昌市机关事务中心</w:t>
      </w:r>
      <w:r>
        <w:rPr>
          <w:rFonts w:ascii="仿宋_GB2312" w:eastAsia="仿宋_GB2312"/>
          <w:sz w:val="32"/>
          <w:szCs w:val="32"/>
        </w:rPr>
        <w:t>(</w:t>
      </w:r>
      <w:r>
        <w:rPr>
          <w:rFonts w:hint="eastAsia" w:ascii="仿宋_GB2312" w:eastAsia="仿宋_GB2312"/>
          <w:sz w:val="32"/>
          <w:szCs w:val="32"/>
        </w:rPr>
        <w:t>本级</w:t>
      </w:r>
      <w:r>
        <w:rPr>
          <w:rFonts w:ascii="仿宋_GB2312" w:eastAsia="仿宋_GB2312"/>
          <w:sz w:val="32"/>
          <w:szCs w:val="32"/>
        </w:rPr>
        <w:t>)</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2021年度单位决算表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5"/>
        <w:tblW w:w="5000" w:type="pct"/>
        <w:tblInd w:w="0" w:type="dxa"/>
        <w:tblLayout w:type="autofit"/>
        <w:tblCellMar>
          <w:top w:w="0" w:type="dxa"/>
          <w:left w:w="108" w:type="dxa"/>
          <w:bottom w:w="0" w:type="dxa"/>
          <w:right w:w="108" w:type="dxa"/>
        </w:tblCellMar>
      </w:tblPr>
      <w:tblGrid>
        <w:gridCol w:w="5218"/>
        <w:gridCol w:w="692"/>
        <w:gridCol w:w="1338"/>
        <w:gridCol w:w="4896"/>
        <w:gridCol w:w="692"/>
        <w:gridCol w:w="1338"/>
      </w:tblGrid>
      <w:tr>
        <w:tblPrEx>
          <w:tblCellMar>
            <w:top w:w="0" w:type="dxa"/>
            <w:left w:w="108" w:type="dxa"/>
            <w:bottom w:w="0" w:type="dxa"/>
            <w:right w:w="108" w:type="dxa"/>
          </w:tblCellMar>
        </w:tblPrEx>
        <w:trPr>
          <w:trHeight w:val="390" w:hRule="atLeast"/>
        </w:trPr>
        <w:tc>
          <w:tcPr>
            <w:tcW w:w="5000" w:type="pct"/>
            <w:gridSpan w:val="6"/>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收入支出决算总表</w:t>
            </w:r>
          </w:p>
        </w:tc>
      </w:tr>
      <w:tr>
        <w:trPr>
          <w:trHeight w:val="255" w:hRule="atLeast"/>
        </w:trPr>
        <w:tc>
          <w:tcPr>
            <w:tcW w:w="184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44"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72"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443" w:type="pct"/>
            <w:gridSpan w:val="3"/>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公开01表</w:t>
            </w:r>
          </w:p>
        </w:tc>
      </w:tr>
      <w:tr>
        <w:tblPrEx>
          <w:tblCellMar>
            <w:top w:w="0" w:type="dxa"/>
            <w:left w:w="108" w:type="dxa"/>
            <w:bottom w:w="0" w:type="dxa"/>
            <w:right w:w="108" w:type="dxa"/>
          </w:tblCellMar>
        </w:tblPrEx>
        <w:trPr>
          <w:trHeight w:val="255" w:hRule="atLeast"/>
        </w:trPr>
        <w:tc>
          <w:tcPr>
            <w:tcW w:w="2557" w:type="pct"/>
            <w:gridSpan w:val="3"/>
            <w:tcBorders>
              <w:top w:val="nil"/>
              <w:left w:val="nil"/>
              <w:bottom w:val="single" w:color="000000" w:sz="4" w:space="0"/>
              <w:right w:val="nil"/>
            </w:tcBorders>
            <w:shd w:val="clear" w:color="auto" w:fill="auto"/>
            <w:noWrap/>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单位：许昌市机关事务中心（本级）</w:t>
            </w:r>
          </w:p>
        </w:tc>
        <w:tc>
          <w:tcPr>
            <w:tcW w:w="2443" w:type="pct"/>
            <w:gridSpan w:val="3"/>
            <w:tcBorders>
              <w:top w:val="nil"/>
              <w:left w:val="nil"/>
              <w:bottom w:val="single" w:color="000000" w:sz="4" w:space="0"/>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收入</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443" w:type="pct"/>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支出</w:t>
            </w:r>
          </w:p>
        </w:tc>
      </w:tr>
      <w:tr>
        <w:tblPrEx>
          <w:tblCellMar>
            <w:top w:w="0" w:type="dxa"/>
            <w:left w:w="108" w:type="dxa"/>
            <w:bottom w:w="0" w:type="dxa"/>
            <w:right w:w="108" w:type="dxa"/>
          </w:tblCellMar>
        </w:tblPrEx>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r>
      <w:tr>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r>
      <w:tr>
        <w:tblPrEx>
          <w:tblCellMar>
            <w:top w:w="0" w:type="dxa"/>
            <w:left w:w="108" w:type="dxa"/>
            <w:bottom w:w="0" w:type="dxa"/>
            <w:right w:w="108" w:type="dxa"/>
          </w:tblCellMar>
        </w:tblPrEx>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一、一般公共预算财政拨款收入</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646.94</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919.66</w:t>
            </w:r>
          </w:p>
        </w:tc>
      </w:tr>
      <w:tr>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二、政府性基金预算财政拨款收入</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三、国有资本经营预算财政拨款收入</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四、上级补助收入</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五、事业收入</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六、经营收入</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七、附属单位上缴收入</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八、其他收入</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53.20</w:t>
            </w:r>
          </w:p>
        </w:tc>
      </w:tr>
      <w:tr>
        <w:tblPrEx>
          <w:tblCellMar>
            <w:top w:w="0" w:type="dxa"/>
            <w:left w:w="108" w:type="dxa"/>
            <w:bottom w:w="0" w:type="dxa"/>
            <w:right w:w="108" w:type="dxa"/>
          </w:tblCellMar>
        </w:tblPrEx>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33.27</w:t>
            </w:r>
          </w:p>
        </w:tc>
      </w:tr>
      <w:tr>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十四、资源勘探工业信息等支出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二十一、国有资本经营预算支出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二十二、灾害防治及应急管理支出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二十三、其他支出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24</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二十四、债务还本支出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25</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二十五、债务付息支出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26</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二十六、抗疫特别国债安排的支出</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57</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646.94</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58</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1,006.14</w:t>
            </w:r>
          </w:p>
        </w:tc>
      </w:tr>
      <w:tr>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使用非财政拨款结余</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结余分配</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59</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年初结转和结余</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359.20</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年末结转和结余</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60</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61</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841"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244" w:type="pct"/>
            <w:tcBorders>
              <w:top w:val="nil"/>
              <w:left w:val="nil"/>
              <w:bottom w:val="single" w:color="000000" w:sz="8"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1,006.14</w:t>
            </w:r>
          </w:p>
        </w:tc>
        <w:tc>
          <w:tcPr>
            <w:tcW w:w="17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24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62</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1,006.14</w:t>
            </w:r>
          </w:p>
        </w:tc>
      </w:tr>
      <w:tr>
        <w:trPr>
          <w:trHeight w:val="308" w:hRule="atLeast"/>
        </w:trPr>
        <w:tc>
          <w:tcPr>
            <w:tcW w:w="5000" w:type="pct"/>
            <w:gridSpan w:val="6"/>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注：本表反映单位本年度的总收支和年末结转结余情况。本表金额转换为万元时，因四舍五入可能存在尾差。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Layout w:type="autofit"/>
        <w:tblCellMar>
          <w:top w:w="0" w:type="dxa"/>
          <w:left w:w="108" w:type="dxa"/>
          <w:bottom w:w="0" w:type="dxa"/>
          <w:right w:w="108" w:type="dxa"/>
        </w:tblCellMar>
      </w:tblPr>
      <w:tblGrid>
        <w:gridCol w:w="500"/>
        <w:gridCol w:w="388"/>
        <w:gridCol w:w="339"/>
        <w:gridCol w:w="4239"/>
        <w:gridCol w:w="1364"/>
        <w:gridCol w:w="1364"/>
        <w:gridCol w:w="1112"/>
        <w:gridCol w:w="942"/>
        <w:gridCol w:w="1112"/>
        <w:gridCol w:w="1033"/>
        <w:gridCol w:w="1781"/>
      </w:tblGrid>
      <w:tr>
        <w:tblPrEx>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收入决算表</w:t>
            </w:r>
          </w:p>
        </w:tc>
      </w:tr>
      <w:tr>
        <w:trPr>
          <w:trHeight w:val="255" w:hRule="atLeast"/>
        </w:trPr>
        <w:tc>
          <w:tcPr>
            <w:tcW w:w="112"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76"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515"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0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0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12"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52"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12"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84"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9"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公开02表</w:t>
            </w:r>
          </w:p>
        </w:tc>
      </w:tr>
      <w:tr>
        <w:tblPrEx>
          <w:tblCellMar>
            <w:top w:w="0" w:type="dxa"/>
            <w:left w:w="108" w:type="dxa"/>
            <w:bottom w:w="0" w:type="dxa"/>
            <w:right w:w="108" w:type="dxa"/>
          </w:tblCellMar>
        </w:tblPrEx>
        <w:trPr>
          <w:trHeight w:val="255" w:hRule="atLeast"/>
        </w:trPr>
        <w:tc>
          <w:tcPr>
            <w:tcW w:w="2291" w:type="pct"/>
            <w:gridSpan w:val="5"/>
            <w:tcBorders>
              <w:top w:val="nil"/>
              <w:left w:val="nil"/>
              <w:bottom w:val="single" w:color="000000" w:sz="4" w:space="0"/>
              <w:right w:val="nil"/>
            </w:tcBorders>
            <w:shd w:val="clear" w:color="auto" w:fill="auto"/>
            <w:noWrap/>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单位：许昌市机关事务中心（本级）</w:t>
            </w:r>
          </w:p>
        </w:tc>
        <w:tc>
          <w:tcPr>
            <w:tcW w:w="50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12"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52"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12"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84"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9"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rPr>
          <w:trHeight w:val="308" w:hRule="atLeast"/>
        </w:trPr>
        <w:tc>
          <w:tcPr>
            <w:tcW w:w="179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501"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本年收入合计</w:t>
            </w:r>
          </w:p>
        </w:tc>
        <w:tc>
          <w:tcPr>
            <w:tcW w:w="501"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财政拨款收入</w:t>
            </w:r>
          </w:p>
        </w:tc>
        <w:tc>
          <w:tcPr>
            <w:tcW w:w="412"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上级补助收入</w:t>
            </w:r>
          </w:p>
        </w:tc>
        <w:tc>
          <w:tcPr>
            <w:tcW w:w="352"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事业收入</w:t>
            </w:r>
          </w:p>
        </w:tc>
        <w:tc>
          <w:tcPr>
            <w:tcW w:w="412"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经营收入</w:t>
            </w:r>
          </w:p>
        </w:tc>
        <w:tc>
          <w:tcPr>
            <w:tcW w:w="384"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附属单位上缴收入</w:t>
            </w:r>
          </w:p>
        </w:tc>
        <w:tc>
          <w:tcPr>
            <w:tcW w:w="649"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其他收入</w:t>
            </w:r>
          </w:p>
        </w:tc>
      </w:tr>
      <w:tr>
        <w:tblPrEx>
          <w:tblCellMar>
            <w:top w:w="0" w:type="dxa"/>
            <w:left w:w="108" w:type="dxa"/>
            <w:bottom w:w="0" w:type="dxa"/>
            <w:right w:w="108" w:type="dxa"/>
          </w:tblCellMar>
        </w:tblPrEx>
        <w:trPr>
          <w:trHeight w:val="312" w:hRule="atLeast"/>
        </w:trPr>
        <w:tc>
          <w:tcPr>
            <w:tcW w:w="275"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1515" w:type="pct"/>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501"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0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12"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52"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12"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8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64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12" w:hRule="atLeast"/>
        </w:trPr>
        <w:tc>
          <w:tcPr>
            <w:tcW w:w="275"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15"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01"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0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12"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52"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12"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8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64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275"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15"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01"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0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12"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52"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12"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8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64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08" w:hRule="atLeast"/>
        </w:trPr>
        <w:tc>
          <w:tcPr>
            <w:tcW w:w="1790"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501"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501"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41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35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41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38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64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r>
      <w:tr>
        <w:tblPrEx>
          <w:tblCellMar>
            <w:top w:w="0" w:type="dxa"/>
            <w:left w:w="108" w:type="dxa"/>
            <w:bottom w:w="0" w:type="dxa"/>
            <w:right w:w="108" w:type="dxa"/>
          </w:tblCellMar>
        </w:tblPrEx>
        <w:trPr>
          <w:trHeight w:val="308" w:hRule="atLeast"/>
        </w:trPr>
        <w:tc>
          <w:tcPr>
            <w:tcW w:w="1790"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646.94</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646.94</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35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6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rPr>
          <w:trHeight w:val="308" w:hRule="atLeast"/>
        </w:trPr>
        <w:tc>
          <w:tcPr>
            <w:tcW w:w="27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151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571.59</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571.59</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27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w:t>
            </w:r>
          </w:p>
        </w:tc>
        <w:tc>
          <w:tcPr>
            <w:tcW w:w="151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政府办公厅（室）及相关机构事务</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568.84</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568.84</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27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2010303</w:t>
            </w:r>
          </w:p>
        </w:tc>
        <w:tc>
          <w:tcPr>
            <w:tcW w:w="151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机关服务</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568.84</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568.84</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27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w:t>
            </w:r>
          </w:p>
        </w:tc>
        <w:tc>
          <w:tcPr>
            <w:tcW w:w="151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群众团体事务</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2.75</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2.75</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27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2012906</w:t>
            </w:r>
          </w:p>
        </w:tc>
        <w:tc>
          <w:tcPr>
            <w:tcW w:w="151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工会事务</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2.75</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2.75</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27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151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44.78</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44.78</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27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151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行政事业单位养老支出</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44.78</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44.78</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27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2080501</w:t>
            </w:r>
          </w:p>
        </w:tc>
        <w:tc>
          <w:tcPr>
            <w:tcW w:w="151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行政单位离退休</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15.39</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15.39</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27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151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29.39</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29.39</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27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151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30.57</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30.57</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27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151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30.57</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30.57</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27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2101101</w:t>
            </w:r>
          </w:p>
        </w:tc>
        <w:tc>
          <w:tcPr>
            <w:tcW w:w="151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行政单位医疗</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15.06</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15.06</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27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2101103</w:t>
            </w:r>
          </w:p>
        </w:tc>
        <w:tc>
          <w:tcPr>
            <w:tcW w:w="151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公务员医疗补助</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15.51</w:t>
            </w:r>
          </w:p>
        </w:tc>
        <w:tc>
          <w:tcPr>
            <w:tcW w:w="50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15.51</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1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注：本表反映单位本年度取得的各项收入情况。本表金额转换为万元时，因四舍五入可能存在尾差。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Layout w:type="autofit"/>
        <w:tblCellMar>
          <w:top w:w="0" w:type="dxa"/>
          <w:left w:w="108" w:type="dxa"/>
          <w:bottom w:w="0" w:type="dxa"/>
          <w:right w:w="108" w:type="dxa"/>
        </w:tblCellMar>
      </w:tblPr>
      <w:tblGrid>
        <w:gridCol w:w="500"/>
        <w:gridCol w:w="388"/>
        <w:gridCol w:w="339"/>
        <w:gridCol w:w="4665"/>
        <w:gridCol w:w="1652"/>
        <w:gridCol w:w="1652"/>
        <w:gridCol w:w="997"/>
        <w:gridCol w:w="975"/>
        <w:gridCol w:w="909"/>
        <w:gridCol w:w="2097"/>
      </w:tblGrid>
      <w:tr>
        <w:tblPrEx>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支出决算表</w:t>
            </w:r>
          </w:p>
        </w:tc>
      </w:tr>
      <w:tr>
        <w:tblPrEx>
          <w:tblCellMar>
            <w:top w:w="0" w:type="dxa"/>
            <w:left w:w="108" w:type="dxa"/>
            <w:bottom w:w="0" w:type="dxa"/>
            <w:right w:w="108" w:type="dxa"/>
          </w:tblCellMar>
        </w:tblPrEx>
        <w:trPr>
          <w:trHeight w:val="255" w:hRule="atLeast"/>
        </w:trPr>
        <w:tc>
          <w:tcPr>
            <w:tcW w:w="13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62"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99"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99"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6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6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3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756"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公开03表</w:t>
            </w:r>
          </w:p>
        </w:tc>
      </w:tr>
      <w:tr>
        <w:tblPrEx>
          <w:tblCellMar>
            <w:top w:w="0" w:type="dxa"/>
            <w:left w:w="108" w:type="dxa"/>
            <w:bottom w:w="0" w:type="dxa"/>
            <w:right w:w="108" w:type="dxa"/>
          </w:tblCellMar>
        </w:tblPrEx>
        <w:trPr>
          <w:trHeight w:val="255" w:hRule="atLeast"/>
        </w:trPr>
        <w:tc>
          <w:tcPr>
            <w:tcW w:w="1981" w:type="pct"/>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单位：许昌市机关事务中心（本级）</w:t>
            </w:r>
          </w:p>
        </w:tc>
        <w:tc>
          <w:tcPr>
            <w:tcW w:w="599"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99"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6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6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3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756"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198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599"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本年支出合计</w:t>
            </w:r>
          </w:p>
        </w:tc>
        <w:tc>
          <w:tcPr>
            <w:tcW w:w="599"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368"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360"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上缴上级支出</w:t>
            </w:r>
          </w:p>
        </w:tc>
        <w:tc>
          <w:tcPr>
            <w:tcW w:w="337"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经营支出</w:t>
            </w:r>
          </w:p>
        </w:tc>
        <w:tc>
          <w:tcPr>
            <w:tcW w:w="756"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对附属单位补助支出</w:t>
            </w:r>
          </w:p>
        </w:tc>
      </w:tr>
      <w:tr>
        <w:tblPrEx>
          <w:tblCellMar>
            <w:top w:w="0" w:type="dxa"/>
            <w:left w:w="108" w:type="dxa"/>
            <w:bottom w:w="0" w:type="dxa"/>
            <w:right w:w="108" w:type="dxa"/>
          </w:tblCellMar>
        </w:tblPrEx>
        <w:trPr>
          <w:trHeight w:val="312" w:hRule="atLeast"/>
        </w:trPr>
        <w:tc>
          <w:tcPr>
            <w:tcW w:w="319"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1662" w:type="pct"/>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59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9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6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60"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37"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75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319"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662"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9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9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6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60"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37"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75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319"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662"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9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9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6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60"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37"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75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981"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59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59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36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360"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33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75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blPrEx>
          <w:tblCellMar>
            <w:top w:w="0" w:type="dxa"/>
            <w:left w:w="108" w:type="dxa"/>
            <w:bottom w:w="0" w:type="dxa"/>
            <w:right w:w="108" w:type="dxa"/>
          </w:tblCellMar>
        </w:tblPrEx>
        <w:trPr>
          <w:trHeight w:val="308" w:hRule="atLeast"/>
        </w:trPr>
        <w:tc>
          <w:tcPr>
            <w:tcW w:w="1981"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1,006.14</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1,006.14</w:t>
            </w:r>
          </w:p>
        </w:tc>
        <w:tc>
          <w:tcPr>
            <w:tcW w:w="36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3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75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blPrEx>
          <w:tblCellMar>
            <w:top w:w="0" w:type="dxa"/>
            <w:left w:w="108" w:type="dxa"/>
            <w:bottom w:w="0" w:type="dxa"/>
            <w:right w:w="108" w:type="dxa"/>
          </w:tblCellMar>
        </w:tblPrEx>
        <w:trPr>
          <w:trHeight w:val="308" w:hRule="atLeast"/>
        </w:trPr>
        <w:tc>
          <w:tcPr>
            <w:tcW w:w="31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166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919.66</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919.66</w:t>
            </w:r>
          </w:p>
        </w:tc>
        <w:tc>
          <w:tcPr>
            <w:tcW w:w="36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5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w:t>
            </w:r>
          </w:p>
        </w:tc>
        <w:tc>
          <w:tcPr>
            <w:tcW w:w="166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政府办公厅（室）及相关机构事务</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916.91</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916.91</w:t>
            </w:r>
          </w:p>
        </w:tc>
        <w:tc>
          <w:tcPr>
            <w:tcW w:w="36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5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2010303</w:t>
            </w:r>
          </w:p>
        </w:tc>
        <w:tc>
          <w:tcPr>
            <w:tcW w:w="166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机关服务</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916.91</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916.91</w:t>
            </w:r>
          </w:p>
        </w:tc>
        <w:tc>
          <w:tcPr>
            <w:tcW w:w="36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5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w:t>
            </w:r>
          </w:p>
        </w:tc>
        <w:tc>
          <w:tcPr>
            <w:tcW w:w="166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群众团体事务</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2.75</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2.75</w:t>
            </w:r>
          </w:p>
        </w:tc>
        <w:tc>
          <w:tcPr>
            <w:tcW w:w="36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5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2012906</w:t>
            </w:r>
          </w:p>
        </w:tc>
        <w:tc>
          <w:tcPr>
            <w:tcW w:w="166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工会事务</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2.75</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2.75</w:t>
            </w:r>
          </w:p>
        </w:tc>
        <w:tc>
          <w:tcPr>
            <w:tcW w:w="36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5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166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53.20</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53.20</w:t>
            </w:r>
          </w:p>
        </w:tc>
        <w:tc>
          <w:tcPr>
            <w:tcW w:w="36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5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166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行政事业单位养老支出</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53.20</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53.20</w:t>
            </w:r>
          </w:p>
        </w:tc>
        <w:tc>
          <w:tcPr>
            <w:tcW w:w="36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5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2080501</w:t>
            </w:r>
          </w:p>
        </w:tc>
        <w:tc>
          <w:tcPr>
            <w:tcW w:w="166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行政单位离退休</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17.77</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17.77</w:t>
            </w:r>
          </w:p>
        </w:tc>
        <w:tc>
          <w:tcPr>
            <w:tcW w:w="36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5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166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35.43</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35.43</w:t>
            </w:r>
          </w:p>
        </w:tc>
        <w:tc>
          <w:tcPr>
            <w:tcW w:w="36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5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166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33.27</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33.27</w:t>
            </w:r>
          </w:p>
        </w:tc>
        <w:tc>
          <w:tcPr>
            <w:tcW w:w="36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5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166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33.27</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33.27</w:t>
            </w:r>
          </w:p>
        </w:tc>
        <w:tc>
          <w:tcPr>
            <w:tcW w:w="36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5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2101101</w:t>
            </w:r>
          </w:p>
        </w:tc>
        <w:tc>
          <w:tcPr>
            <w:tcW w:w="166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行政单位医疗</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17.04</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17.04</w:t>
            </w:r>
          </w:p>
        </w:tc>
        <w:tc>
          <w:tcPr>
            <w:tcW w:w="36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5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2101103</w:t>
            </w:r>
          </w:p>
        </w:tc>
        <w:tc>
          <w:tcPr>
            <w:tcW w:w="166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公务员医疗补助</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16.23</w:t>
            </w:r>
          </w:p>
        </w:tc>
        <w:tc>
          <w:tcPr>
            <w:tcW w:w="5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16.23</w:t>
            </w:r>
          </w:p>
        </w:tc>
        <w:tc>
          <w:tcPr>
            <w:tcW w:w="36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5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注：本表反映单位本年度各项支出情况。本表金额转换为万元时，因四舍五入可能存在尾差。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21" w:type="pct"/>
        <w:tblInd w:w="-269" w:type="dxa"/>
        <w:tblLayout w:type="fixed"/>
        <w:tblCellMar>
          <w:top w:w="0" w:type="dxa"/>
          <w:left w:w="0" w:type="dxa"/>
          <w:bottom w:w="0" w:type="dxa"/>
          <w:right w:w="0" w:type="dxa"/>
        </w:tblCellMar>
      </w:tblPr>
      <w:tblGrid>
        <w:gridCol w:w="3171"/>
        <w:gridCol w:w="919"/>
        <w:gridCol w:w="1312"/>
        <w:gridCol w:w="3442"/>
        <w:gridCol w:w="669"/>
        <w:gridCol w:w="1031"/>
        <w:gridCol w:w="196"/>
        <w:gridCol w:w="1040"/>
        <w:gridCol w:w="153"/>
        <w:gridCol w:w="699"/>
        <w:gridCol w:w="600"/>
        <w:gridCol w:w="815"/>
      </w:tblGrid>
      <w:tr>
        <w:tblPrEx>
          <w:tblCellMar>
            <w:top w:w="0" w:type="dxa"/>
            <w:left w:w="0" w:type="dxa"/>
            <w:bottom w:w="0" w:type="dxa"/>
            <w:right w:w="0" w:type="dxa"/>
          </w:tblCellMar>
        </w:tblPrEx>
        <w:trPr>
          <w:gridAfter w:val="1"/>
          <w:wAfter w:w="290" w:type="pct"/>
          <w:trHeight w:val="600" w:hRule="atLeast"/>
        </w:trPr>
        <w:tc>
          <w:tcPr>
            <w:tcW w:w="4709" w:type="pct"/>
            <w:gridSpan w:val="11"/>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cs="华文中宋"/>
                <w:color w:val="000000"/>
                <w:kern w:val="0"/>
                <w:sz w:val="30"/>
                <w:szCs w:val="30"/>
              </w:rPr>
            </w:pPr>
            <w:r>
              <w:rPr>
                <w:rFonts w:hint="eastAsia" w:ascii="宋体" w:hAnsi="宋体" w:cs="华文中宋"/>
                <w:color w:val="000000"/>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1128"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32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6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1225"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238"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366"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39" w:type="pct"/>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303" w:type="pct"/>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503" w:type="pct"/>
            <w:gridSpan w:val="2"/>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55" w:hRule="atLeast"/>
        </w:trPr>
        <w:tc>
          <w:tcPr>
            <w:tcW w:w="1128" w:type="pct"/>
            <w:tcBorders>
              <w:top w:val="nil"/>
              <w:left w:val="nil"/>
              <w:bottom w:val="nil"/>
              <w:right w:val="nil"/>
            </w:tcBorders>
            <w:shd w:val="clear" w:color="auto" w:fill="auto"/>
            <w:noWrap/>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单位：许昌市机关事务中心（本级）</w:t>
            </w:r>
          </w:p>
        </w:tc>
        <w:tc>
          <w:tcPr>
            <w:tcW w:w="32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6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1225"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238"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366"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39" w:type="pct"/>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303" w:type="pct"/>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503" w:type="pct"/>
            <w:gridSpan w:val="2"/>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192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收     入</w:t>
            </w:r>
          </w:p>
        </w:tc>
        <w:tc>
          <w:tcPr>
            <w:tcW w:w="3077" w:type="pct"/>
            <w:gridSpan w:val="9"/>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支     出</w:t>
            </w:r>
          </w:p>
        </w:tc>
      </w:tr>
      <w:tr>
        <w:tblPrEx>
          <w:tblCellMar>
            <w:top w:w="0" w:type="dxa"/>
            <w:left w:w="108" w:type="dxa"/>
            <w:bottom w:w="0" w:type="dxa"/>
            <w:right w:w="108" w:type="dxa"/>
          </w:tblCellMar>
        </w:tblPrEx>
        <w:trPr>
          <w:trHeight w:val="312" w:hRule="atLeast"/>
        </w:trPr>
        <w:tc>
          <w:tcPr>
            <w:tcW w:w="1128"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327"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467"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1225"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238"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436" w:type="pct"/>
            <w:gridSpan w:val="2"/>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424" w:type="pct"/>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一般公共预算财政拨款</w:t>
            </w:r>
          </w:p>
        </w:tc>
        <w:tc>
          <w:tcPr>
            <w:tcW w:w="248"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政府性基金预算财政拨款</w:t>
            </w:r>
          </w:p>
        </w:tc>
        <w:tc>
          <w:tcPr>
            <w:tcW w:w="503" w:type="pct"/>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国有资本经营预算财政拨款</w:t>
            </w:r>
          </w:p>
        </w:tc>
      </w:tr>
      <w:tr>
        <w:tblPrEx>
          <w:tblCellMar>
            <w:top w:w="0" w:type="dxa"/>
            <w:left w:w="108" w:type="dxa"/>
            <w:bottom w:w="0" w:type="dxa"/>
            <w:right w:w="108" w:type="dxa"/>
          </w:tblCellMar>
        </w:tblPrEx>
        <w:trPr>
          <w:trHeight w:val="615" w:hRule="atLeast"/>
        </w:trPr>
        <w:tc>
          <w:tcPr>
            <w:tcW w:w="1128"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27"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67"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25"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38"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36"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24"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48"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03"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646.94</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919.66</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919.66</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三、国有资本经营财政拨款</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53.20</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53.20</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33.27</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33.27</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十四、资源勘探工业信息等支出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二十一、国有资本经营预算支出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二十二、灾害防治及应急管理支出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二十三、其他支出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24</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二十四、债务还本支出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25</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二十五、债务付息支出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57</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26</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二十六、抗疫特别国债安排的支出</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58</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646.94</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59</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1,006.14</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1,006.14</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年初财政拨款结转和结余</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359.20</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年末财政拨款结转和结余</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60</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一般公共预算财政拨款</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359.20</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61</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政府性基金预算财政拨款</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62</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国有资本经营预算财政拨款</w:t>
            </w:r>
          </w:p>
        </w:tc>
        <w:tc>
          <w:tcPr>
            <w:tcW w:w="32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63</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327" w:type="pct"/>
            <w:tcBorders>
              <w:top w:val="nil"/>
              <w:left w:val="nil"/>
              <w:bottom w:val="single" w:color="000000" w:sz="8"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4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1,006.14</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23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64</w:t>
            </w:r>
          </w:p>
        </w:tc>
        <w:tc>
          <w:tcPr>
            <w:tcW w:w="43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1,006.14</w:t>
            </w:r>
          </w:p>
        </w:tc>
        <w:tc>
          <w:tcPr>
            <w:tcW w:w="42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1,006.14</w:t>
            </w:r>
          </w:p>
        </w:tc>
        <w:tc>
          <w:tcPr>
            <w:tcW w:w="24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0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585" w:hRule="atLeast"/>
        </w:trPr>
        <w:tc>
          <w:tcPr>
            <w:tcW w:w="5000" w:type="pct"/>
            <w:gridSpan w:val="12"/>
            <w:tcBorders>
              <w:top w:val="nil"/>
              <w:left w:val="nil"/>
              <w:bottom w:val="nil"/>
              <w:right w:val="nil"/>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注：本表反映单位本年度一般公共预算财政拨款、政府性基金预算财政拨款和国有资本经营预算财政拨款的总收支和年末结转结余情况。本表金额转换为万元时，因四舍五入可能存在尾差。</w:t>
            </w:r>
          </w:p>
          <w:p>
            <w:pPr>
              <w:widowControl/>
              <w:jc w:val="left"/>
              <w:rPr>
                <w:rFonts w:ascii="宋体" w:hAnsi="宋体" w:cs="Arial"/>
                <w:color w:val="000000"/>
                <w:kern w:val="0"/>
                <w:sz w:val="22"/>
              </w:rPr>
            </w:pPr>
          </w:p>
          <w:p>
            <w:pPr>
              <w:widowControl/>
              <w:jc w:val="left"/>
              <w:rPr>
                <w:rFonts w:ascii="宋体" w:hAnsi="宋体" w:cs="Arial"/>
                <w:color w:val="000000"/>
                <w:kern w:val="0"/>
                <w:sz w:val="22"/>
              </w:rPr>
            </w:pPr>
          </w:p>
          <w:p>
            <w:pPr>
              <w:widowControl/>
              <w:jc w:val="left"/>
              <w:rPr>
                <w:rFonts w:ascii="宋体" w:hAnsi="宋体" w:cs="Arial"/>
                <w:color w:val="000000"/>
                <w:kern w:val="0"/>
                <w:sz w:val="22"/>
              </w:rPr>
            </w:pPr>
          </w:p>
          <w:p>
            <w:pPr>
              <w:widowControl/>
              <w:jc w:val="left"/>
              <w:rPr>
                <w:rFonts w:ascii="宋体" w:hAnsi="宋体" w:cs="Arial"/>
                <w:color w:val="000000"/>
                <w:kern w:val="0"/>
                <w:sz w:val="22"/>
              </w:rPr>
            </w:pPr>
          </w:p>
          <w:tbl>
            <w:tblPr>
              <w:tblStyle w:val="5"/>
              <w:tblW w:w="14068" w:type="dxa"/>
              <w:tblInd w:w="0" w:type="dxa"/>
              <w:tblLayout w:type="fixed"/>
              <w:tblCellMar>
                <w:top w:w="0" w:type="dxa"/>
                <w:left w:w="108" w:type="dxa"/>
                <w:bottom w:w="0" w:type="dxa"/>
                <w:right w:w="108" w:type="dxa"/>
              </w:tblCellMar>
            </w:tblPr>
            <w:tblGrid>
              <w:gridCol w:w="447"/>
              <w:gridCol w:w="355"/>
              <w:gridCol w:w="470"/>
              <w:gridCol w:w="4347"/>
              <w:gridCol w:w="3444"/>
              <w:gridCol w:w="2355"/>
              <w:gridCol w:w="2650"/>
            </w:tblGrid>
            <w:tr>
              <w:tblPrEx>
                <w:tblCellMar>
                  <w:top w:w="0" w:type="dxa"/>
                  <w:left w:w="108" w:type="dxa"/>
                  <w:bottom w:w="0" w:type="dxa"/>
                  <w:right w:w="108" w:type="dxa"/>
                </w:tblCellMar>
              </w:tblPrEx>
              <w:trPr>
                <w:trHeight w:val="388" w:hRule="atLeast"/>
              </w:trPr>
              <w:tc>
                <w:tcPr>
                  <w:tcW w:w="5000" w:type="pct"/>
                  <w:gridSpan w:val="7"/>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一般公共预算财政拨款支出决算表</w:t>
                  </w:r>
                </w:p>
              </w:tc>
            </w:tr>
            <w:tr>
              <w:trPr>
                <w:trHeight w:val="254" w:hRule="atLeast"/>
              </w:trPr>
              <w:tc>
                <w:tcPr>
                  <w:tcW w:w="159"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126"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165"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1544"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1224"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83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941"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公开05表</w:t>
                  </w:r>
                </w:p>
              </w:tc>
            </w:tr>
            <w:tr>
              <w:tblPrEx>
                <w:tblCellMar>
                  <w:top w:w="0" w:type="dxa"/>
                  <w:left w:w="108" w:type="dxa"/>
                  <w:bottom w:w="0" w:type="dxa"/>
                  <w:right w:w="108" w:type="dxa"/>
                </w:tblCellMar>
              </w:tblPrEx>
              <w:trPr>
                <w:trHeight w:val="254" w:hRule="atLeast"/>
              </w:trPr>
              <w:tc>
                <w:tcPr>
                  <w:tcW w:w="1997" w:type="pct"/>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单位：许昌市机关事务中心（本级）</w:t>
                  </w:r>
                </w:p>
              </w:tc>
              <w:tc>
                <w:tcPr>
                  <w:tcW w:w="1224"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83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941"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rPr>
                <w:trHeight w:val="307" w:hRule="atLeast"/>
              </w:trPr>
              <w:tc>
                <w:tcPr>
                  <w:tcW w:w="1997"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3002"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r>
            <w:tr>
              <w:tblPrEx>
                <w:tblCellMar>
                  <w:top w:w="0" w:type="dxa"/>
                  <w:left w:w="108" w:type="dxa"/>
                  <w:bottom w:w="0" w:type="dxa"/>
                  <w:right w:w="108" w:type="dxa"/>
                </w:tblCellMar>
              </w:tblPrEx>
              <w:trPr>
                <w:trHeight w:val="312" w:hRule="atLeast"/>
              </w:trPr>
              <w:tc>
                <w:tcPr>
                  <w:tcW w:w="452"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1544" w:type="pct"/>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224"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837"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941"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r>
            <w:tr>
              <w:trPr>
                <w:trHeight w:val="312" w:hRule="atLeast"/>
              </w:trPr>
              <w:tc>
                <w:tcPr>
                  <w:tcW w:w="452"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44"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24"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37"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41"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452"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44"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24"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37"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41"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07" w:hRule="atLeast"/>
              </w:trPr>
              <w:tc>
                <w:tcPr>
                  <w:tcW w:w="1997"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224"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837"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94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r>
            <w:tr>
              <w:tblPrEx>
                <w:tblCellMar>
                  <w:top w:w="0" w:type="dxa"/>
                  <w:left w:w="108" w:type="dxa"/>
                  <w:bottom w:w="0" w:type="dxa"/>
                  <w:right w:w="108" w:type="dxa"/>
                </w:tblCellMar>
              </w:tblPrEx>
              <w:trPr>
                <w:trHeight w:val="307" w:hRule="atLeast"/>
              </w:trPr>
              <w:tc>
                <w:tcPr>
                  <w:tcW w:w="1997"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22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1,006.14</w:t>
                  </w:r>
                </w:p>
              </w:tc>
              <w:tc>
                <w:tcPr>
                  <w:tcW w:w="8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1,006.14</w:t>
                  </w:r>
                </w:p>
              </w:tc>
              <w:tc>
                <w:tcPr>
                  <w:tcW w:w="9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rPr>
                <w:trHeight w:val="307" w:hRule="atLeast"/>
              </w:trPr>
              <w:tc>
                <w:tcPr>
                  <w:tcW w:w="45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154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122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919.66</w:t>
                  </w:r>
                </w:p>
              </w:tc>
              <w:tc>
                <w:tcPr>
                  <w:tcW w:w="8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919.66</w:t>
                  </w:r>
                </w:p>
              </w:tc>
              <w:tc>
                <w:tcPr>
                  <w:tcW w:w="9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7" w:hRule="atLeast"/>
              </w:trPr>
              <w:tc>
                <w:tcPr>
                  <w:tcW w:w="45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w:t>
                  </w:r>
                </w:p>
              </w:tc>
              <w:tc>
                <w:tcPr>
                  <w:tcW w:w="154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政府办公厅（室）及相关机构事务</w:t>
                  </w:r>
                </w:p>
              </w:tc>
              <w:tc>
                <w:tcPr>
                  <w:tcW w:w="122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916.91</w:t>
                  </w:r>
                </w:p>
              </w:tc>
              <w:tc>
                <w:tcPr>
                  <w:tcW w:w="8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916.91</w:t>
                  </w:r>
                </w:p>
              </w:tc>
              <w:tc>
                <w:tcPr>
                  <w:tcW w:w="9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7" w:hRule="atLeast"/>
              </w:trPr>
              <w:tc>
                <w:tcPr>
                  <w:tcW w:w="45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2010303</w:t>
                  </w:r>
                </w:p>
              </w:tc>
              <w:tc>
                <w:tcPr>
                  <w:tcW w:w="154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机关服务</w:t>
                  </w:r>
                </w:p>
              </w:tc>
              <w:tc>
                <w:tcPr>
                  <w:tcW w:w="122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916.91</w:t>
                  </w:r>
                </w:p>
              </w:tc>
              <w:tc>
                <w:tcPr>
                  <w:tcW w:w="8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916.91</w:t>
                  </w:r>
                </w:p>
              </w:tc>
              <w:tc>
                <w:tcPr>
                  <w:tcW w:w="9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7" w:hRule="atLeast"/>
              </w:trPr>
              <w:tc>
                <w:tcPr>
                  <w:tcW w:w="45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w:t>
                  </w:r>
                </w:p>
              </w:tc>
              <w:tc>
                <w:tcPr>
                  <w:tcW w:w="154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群众团体事务</w:t>
                  </w:r>
                </w:p>
              </w:tc>
              <w:tc>
                <w:tcPr>
                  <w:tcW w:w="122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2.75</w:t>
                  </w:r>
                </w:p>
              </w:tc>
              <w:tc>
                <w:tcPr>
                  <w:tcW w:w="8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2.75</w:t>
                  </w:r>
                </w:p>
              </w:tc>
              <w:tc>
                <w:tcPr>
                  <w:tcW w:w="9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7" w:hRule="atLeast"/>
              </w:trPr>
              <w:tc>
                <w:tcPr>
                  <w:tcW w:w="45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2012906</w:t>
                  </w:r>
                </w:p>
              </w:tc>
              <w:tc>
                <w:tcPr>
                  <w:tcW w:w="154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工会事务</w:t>
                  </w:r>
                </w:p>
              </w:tc>
              <w:tc>
                <w:tcPr>
                  <w:tcW w:w="122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2.75</w:t>
                  </w:r>
                </w:p>
              </w:tc>
              <w:tc>
                <w:tcPr>
                  <w:tcW w:w="8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2.75</w:t>
                  </w:r>
                </w:p>
              </w:tc>
              <w:tc>
                <w:tcPr>
                  <w:tcW w:w="9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7" w:hRule="atLeast"/>
              </w:trPr>
              <w:tc>
                <w:tcPr>
                  <w:tcW w:w="45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154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122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53.20</w:t>
                  </w:r>
                </w:p>
              </w:tc>
              <w:tc>
                <w:tcPr>
                  <w:tcW w:w="8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53.20</w:t>
                  </w:r>
                </w:p>
              </w:tc>
              <w:tc>
                <w:tcPr>
                  <w:tcW w:w="9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7" w:hRule="atLeast"/>
              </w:trPr>
              <w:tc>
                <w:tcPr>
                  <w:tcW w:w="45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154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行政事业单位养老支出</w:t>
                  </w:r>
                </w:p>
              </w:tc>
              <w:tc>
                <w:tcPr>
                  <w:tcW w:w="122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53.20</w:t>
                  </w:r>
                </w:p>
              </w:tc>
              <w:tc>
                <w:tcPr>
                  <w:tcW w:w="8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53.20</w:t>
                  </w:r>
                </w:p>
              </w:tc>
              <w:tc>
                <w:tcPr>
                  <w:tcW w:w="9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7" w:hRule="atLeast"/>
              </w:trPr>
              <w:tc>
                <w:tcPr>
                  <w:tcW w:w="45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2080501</w:t>
                  </w:r>
                </w:p>
              </w:tc>
              <w:tc>
                <w:tcPr>
                  <w:tcW w:w="154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行政单位离退休</w:t>
                  </w:r>
                </w:p>
              </w:tc>
              <w:tc>
                <w:tcPr>
                  <w:tcW w:w="122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17.77</w:t>
                  </w:r>
                </w:p>
              </w:tc>
              <w:tc>
                <w:tcPr>
                  <w:tcW w:w="8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17.77</w:t>
                  </w:r>
                </w:p>
              </w:tc>
              <w:tc>
                <w:tcPr>
                  <w:tcW w:w="9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7" w:hRule="atLeast"/>
              </w:trPr>
              <w:tc>
                <w:tcPr>
                  <w:tcW w:w="45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154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122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35.43</w:t>
                  </w:r>
                </w:p>
              </w:tc>
              <w:tc>
                <w:tcPr>
                  <w:tcW w:w="8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35.43</w:t>
                  </w:r>
                </w:p>
              </w:tc>
              <w:tc>
                <w:tcPr>
                  <w:tcW w:w="9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7" w:hRule="atLeast"/>
              </w:trPr>
              <w:tc>
                <w:tcPr>
                  <w:tcW w:w="45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154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122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33.27</w:t>
                  </w:r>
                </w:p>
              </w:tc>
              <w:tc>
                <w:tcPr>
                  <w:tcW w:w="8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33.27</w:t>
                  </w:r>
                </w:p>
              </w:tc>
              <w:tc>
                <w:tcPr>
                  <w:tcW w:w="9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7" w:hRule="atLeast"/>
              </w:trPr>
              <w:tc>
                <w:tcPr>
                  <w:tcW w:w="45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154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122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33.27</w:t>
                  </w:r>
                </w:p>
              </w:tc>
              <w:tc>
                <w:tcPr>
                  <w:tcW w:w="8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33.27</w:t>
                  </w:r>
                </w:p>
              </w:tc>
              <w:tc>
                <w:tcPr>
                  <w:tcW w:w="9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7" w:hRule="atLeast"/>
              </w:trPr>
              <w:tc>
                <w:tcPr>
                  <w:tcW w:w="45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2101101</w:t>
                  </w:r>
                </w:p>
              </w:tc>
              <w:tc>
                <w:tcPr>
                  <w:tcW w:w="154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行政单位医疗</w:t>
                  </w:r>
                </w:p>
              </w:tc>
              <w:tc>
                <w:tcPr>
                  <w:tcW w:w="122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17.04</w:t>
                  </w:r>
                </w:p>
              </w:tc>
              <w:tc>
                <w:tcPr>
                  <w:tcW w:w="8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17.04</w:t>
                  </w:r>
                </w:p>
              </w:tc>
              <w:tc>
                <w:tcPr>
                  <w:tcW w:w="9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7" w:hRule="atLeast"/>
              </w:trPr>
              <w:tc>
                <w:tcPr>
                  <w:tcW w:w="45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2101103</w:t>
                  </w:r>
                </w:p>
              </w:tc>
              <w:tc>
                <w:tcPr>
                  <w:tcW w:w="154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公务员医疗补助</w:t>
                  </w:r>
                </w:p>
              </w:tc>
              <w:tc>
                <w:tcPr>
                  <w:tcW w:w="122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16.23</w:t>
                  </w:r>
                </w:p>
              </w:tc>
              <w:tc>
                <w:tcPr>
                  <w:tcW w:w="8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16.23</w:t>
                  </w:r>
                </w:p>
              </w:tc>
              <w:tc>
                <w:tcPr>
                  <w:tcW w:w="9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7" w:hRule="atLeast"/>
              </w:trPr>
              <w:tc>
                <w:tcPr>
                  <w:tcW w:w="5000" w:type="pct"/>
                  <w:gridSpan w:val="7"/>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注：本表反映单位本年度一般公共预算财政拨款支出情况。本套报表金额单位转换时可能存在尾数误差。</w:t>
                  </w:r>
                </w:p>
              </w:tc>
            </w:tr>
          </w:tbl>
          <w:p>
            <w:pPr>
              <w:widowControl/>
              <w:jc w:val="left"/>
              <w:rPr>
                <w:rFonts w:ascii="宋体" w:hAnsi="宋体" w:cs="Arial"/>
                <w:color w:val="000000"/>
                <w:kern w:val="0"/>
                <w:sz w:val="22"/>
              </w:rPr>
            </w:pP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2" w:type="pct"/>
        <w:jc w:val="center"/>
        <w:tblLayout w:type="fixed"/>
        <w:tblCellMar>
          <w:top w:w="0" w:type="dxa"/>
          <w:left w:w="0" w:type="dxa"/>
          <w:bottom w:w="0" w:type="dxa"/>
          <w:right w:w="0" w:type="dxa"/>
        </w:tblCellMar>
      </w:tblPr>
      <w:tblGrid>
        <w:gridCol w:w="499"/>
        <w:gridCol w:w="314"/>
        <w:gridCol w:w="2744"/>
        <w:gridCol w:w="1458"/>
        <w:gridCol w:w="236"/>
        <w:gridCol w:w="831"/>
        <w:gridCol w:w="1310"/>
        <w:gridCol w:w="490"/>
        <w:gridCol w:w="249"/>
        <w:gridCol w:w="560"/>
        <w:gridCol w:w="372"/>
        <w:gridCol w:w="859"/>
        <w:gridCol w:w="2141"/>
        <w:gridCol w:w="456"/>
        <w:gridCol w:w="376"/>
        <w:gridCol w:w="1093"/>
        <w:gridCol w:w="6"/>
      </w:tblGrid>
      <w:tr>
        <w:tblPrEx>
          <w:tblCellMar>
            <w:top w:w="0" w:type="dxa"/>
            <w:left w:w="0" w:type="dxa"/>
            <w:bottom w:w="0" w:type="dxa"/>
            <w:right w:w="0" w:type="dxa"/>
          </w:tblCellMar>
        </w:tblPrEx>
        <w:trPr>
          <w:gridAfter w:val="4"/>
          <w:wAfter w:w="689" w:type="pct"/>
          <w:trHeight w:val="600" w:hRule="atLeast"/>
          <w:jc w:val="center"/>
        </w:trPr>
        <w:tc>
          <w:tcPr>
            <w:tcW w:w="4310" w:type="pct"/>
            <w:gridSpan w:val="13"/>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cs="华文中宋"/>
                <w:color w:val="000000"/>
                <w:kern w:val="0"/>
                <w:sz w:val="30"/>
                <w:szCs w:val="30"/>
              </w:rPr>
            </w:pPr>
            <w:r>
              <w:rPr>
                <w:rFonts w:hint="eastAsia" w:ascii="宋体" w:hAnsi="宋体" w:cs="华文中宋"/>
                <w:color w:val="000000"/>
                <w:kern w:val="0"/>
                <w:sz w:val="30"/>
                <w:szCs w:val="30"/>
              </w:rPr>
              <w:t xml:space="preserve">          一般公共预算财政拨款基本支出决算表</w:t>
            </w:r>
          </w:p>
        </w:tc>
      </w:tr>
      <w:tr>
        <w:tblPrEx>
          <w:tblCellMar>
            <w:top w:w="0" w:type="dxa"/>
            <w:left w:w="108" w:type="dxa"/>
            <w:bottom w:w="0" w:type="dxa"/>
            <w:right w:w="108" w:type="dxa"/>
          </w:tblCellMar>
        </w:tblPrEx>
        <w:trPr>
          <w:trHeight w:val="255" w:hRule="atLeast"/>
          <w:jc w:val="center"/>
        </w:trPr>
        <w:tc>
          <w:tcPr>
            <w:tcW w:w="178" w:type="pct"/>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p>
            <w:pPr>
              <w:widowControl/>
              <w:jc w:val="left"/>
              <w:rPr>
                <w:rFonts w:ascii="Arial" w:hAnsi="Arial" w:cs="Arial"/>
                <w:color w:val="000000"/>
                <w:kern w:val="0"/>
                <w:sz w:val="16"/>
                <w:szCs w:val="16"/>
              </w:rPr>
            </w:pPr>
          </w:p>
        </w:tc>
        <w:tc>
          <w:tcPr>
            <w:tcW w:w="1092" w:type="pct"/>
            <w:gridSpan w:val="2"/>
            <w:tcBorders>
              <w:top w:val="nil"/>
              <w:left w:val="nil"/>
              <w:bottom w:val="nil"/>
              <w:right w:val="nil"/>
            </w:tcBorders>
            <w:shd w:val="clear" w:color="auto" w:fill="auto"/>
            <w:noWrap/>
            <w:vAlign w:val="bottom"/>
          </w:tcPr>
          <w:p/>
        </w:tc>
        <w:tc>
          <w:tcPr>
            <w:tcW w:w="520" w:type="pct"/>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84" w:type="pct"/>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764" w:type="pct"/>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264" w:type="pct"/>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200" w:type="pct"/>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367" w:type="pct"/>
            <w:gridSpan w:val="4"/>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527" w:type="pct"/>
            <w:gridSpan w:val="3"/>
            <w:tcBorders>
              <w:top w:val="nil"/>
              <w:left w:val="nil"/>
              <w:bottom w:val="nil"/>
              <w:right w:val="nil"/>
            </w:tcBorders>
            <w:shd w:val="clear" w:color="auto" w:fill="auto"/>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公开06表</w:t>
            </w:r>
          </w:p>
        </w:tc>
      </w:tr>
      <w:tr>
        <w:tblPrEx>
          <w:tblCellMar>
            <w:top w:w="0" w:type="dxa"/>
            <w:left w:w="108" w:type="dxa"/>
            <w:bottom w:w="0" w:type="dxa"/>
            <w:right w:w="108" w:type="dxa"/>
          </w:tblCellMar>
        </w:tblPrEx>
        <w:trPr>
          <w:trHeight w:val="255" w:hRule="atLeast"/>
          <w:jc w:val="center"/>
        </w:trPr>
        <w:tc>
          <w:tcPr>
            <w:tcW w:w="1270" w:type="pct"/>
            <w:gridSpan w:val="3"/>
            <w:tcBorders>
              <w:top w:val="nil"/>
              <w:left w:val="nil"/>
              <w:bottom w:val="nil"/>
              <w:right w:val="nil"/>
            </w:tcBorders>
            <w:shd w:val="clear" w:color="auto" w:fill="auto"/>
            <w:noWrap/>
            <w:vAlign w:val="bottom"/>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单位：许昌市机关事务中心（本级）</w:t>
            </w:r>
          </w:p>
        </w:tc>
        <w:tc>
          <w:tcPr>
            <w:tcW w:w="520" w:type="pct"/>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84" w:type="pct"/>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764" w:type="pct"/>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264" w:type="pct"/>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200" w:type="pct"/>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367" w:type="pct"/>
            <w:gridSpan w:val="4"/>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527" w:type="pct"/>
            <w:gridSpan w:val="3"/>
            <w:tcBorders>
              <w:top w:val="nil"/>
              <w:left w:val="nil"/>
              <w:bottom w:val="nil"/>
              <w:right w:val="nil"/>
            </w:tcBorders>
            <w:shd w:val="clear" w:color="auto" w:fill="auto"/>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金额单位：万元</w:t>
            </w:r>
          </w:p>
        </w:tc>
      </w:tr>
      <w:tr>
        <w:tblPrEx>
          <w:tblCellMar>
            <w:top w:w="0" w:type="dxa"/>
            <w:left w:w="108" w:type="dxa"/>
            <w:bottom w:w="0" w:type="dxa"/>
            <w:right w:w="108" w:type="dxa"/>
          </w:tblCellMar>
        </w:tblPrEx>
        <w:trPr>
          <w:gridAfter w:val="1"/>
          <w:wAfter w:w="2" w:type="pct"/>
          <w:trHeight w:val="308" w:hRule="atLeast"/>
          <w:jc w:val="center"/>
        </w:trPr>
        <w:tc>
          <w:tcPr>
            <w:tcW w:w="179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人员经费</w:t>
            </w:r>
          </w:p>
        </w:tc>
        <w:tc>
          <w:tcPr>
            <w:tcW w:w="3206" w:type="pct"/>
            <w:gridSpan w:val="1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公用经费</w:t>
            </w:r>
          </w:p>
        </w:tc>
      </w:tr>
      <w:tr>
        <w:tblPrEx>
          <w:tblCellMar>
            <w:top w:w="0" w:type="dxa"/>
            <w:left w:w="108" w:type="dxa"/>
            <w:bottom w:w="0" w:type="dxa"/>
            <w:right w:w="108" w:type="dxa"/>
          </w:tblCellMar>
        </w:tblPrEx>
        <w:trPr>
          <w:gridAfter w:val="1"/>
          <w:wAfter w:w="2" w:type="pct"/>
          <w:trHeight w:val="312" w:hRule="atLeast"/>
          <w:jc w:val="center"/>
        </w:trPr>
        <w:tc>
          <w:tcPr>
            <w:tcW w:w="290" w:type="pct"/>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科目编码</w:t>
            </w:r>
          </w:p>
        </w:tc>
        <w:tc>
          <w:tcPr>
            <w:tcW w:w="980"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科目名称</w:t>
            </w:r>
          </w:p>
        </w:tc>
        <w:tc>
          <w:tcPr>
            <w:tcW w:w="520"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决算数</w:t>
            </w:r>
          </w:p>
        </w:tc>
        <w:tc>
          <w:tcPr>
            <w:tcW w:w="381" w:type="pct"/>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科目编码</w:t>
            </w:r>
          </w:p>
        </w:tc>
        <w:tc>
          <w:tcPr>
            <w:tcW w:w="643" w:type="pct"/>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科目名称</w:t>
            </w:r>
          </w:p>
        </w:tc>
        <w:tc>
          <w:tcPr>
            <w:tcW w:w="421" w:type="pct"/>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决算数</w:t>
            </w:r>
          </w:p>
        </w:tc>
        <w:tc>
          <w:tcPr>
            <w:tcW w:w="306"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科目编码</w:t>
            </w:r>
          </w:p>
        </w:tc>
        <w:tc>
          <w:tcPr>
            <w:tcW w:w="1062" w:type="pct"/>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科目名称</w:t>
            </w:r>
          </w:p>
        </w:tc>
        <w:tc>
          <w:tcPr>
            <w:tcW w:w="390"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决算数</w:t>
            </w:r>
          </w:p>
        </w:tc>
      </w:tr>
      <w:tr>
        <w:tblPrEx>
          <w:tblCellMar>
            <w:top w:w="0" w:type="dxa"/>
            <w:left w:w="108" w:type="dxa"/>
            <w:bottom w:w="0" w:type="dxa"/>
            <w:right w:w="108" w:type="dxa"/>
          </w:tblCellMar>
        </w:tblPrEx>
        <w:trPr>
          <w:gridAfter w:val="1"/>
          <w:wAfter w:w="2" w:type="pct"/>
          <w:trHeight w:val="312" w:hRule="atLeast"/>
          <w:jc w:val="center"/>
        </w:trPr>
        <w:tc>
          <w:tcPr>
            <w:tcW w:w="290" w:type="pct"/>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Cs w:val="21"/>
              </w:rPr>
            </w:pPr>
          </w:p>
        </w:tc>
        <w:tc>
          <w:tcPr>
            <w:tcW w:w="980"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Cs w:val="21"/>
              </w:rPr>
            </w:pPr>
          </w:p>
        </w:tc>
        <w:tc>
          <w:tcPr>
            <w:tcW w:w="520"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Cs w:val="21"/>
              </w:rPr>
            </w:pPr>
          </w:p>
        </w:tc>
        <w:tc>
          <w:tcPr>
            <w:tcW w:w="381"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Cs w:val="21"/>
              </w:rPr>
            </w:pPr>
          </w:p>
        </w:tc>
        <w:tc>
          <w:tcPr>
            <w:tcW w:w="643"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Cs w:val="21"/>
              </w:rPr>
            </w:pPr>
          </w:p>
        </w:tc>
        <w:tc>
          <w:tcPr>
            <w:tcW w:w="421" w:type="pct"/>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Cs w:val="21"/>
              </w:rPr>
            </w:pPr>
          </w:p>
        </w:tc>
        <w:tc>
          <w:tcPr>
            <w:tcW w:w="306"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Cs w:val="21"/>
              </w:rPr>
            </w:pPr>
          </w:p>
        </w:tc>
        <w:tc>
          <w:tcPr>
            <w:tcW w:w="1062" w:type="pct"/>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Cs w:val="21"/>
              </w:rPr>
            </w:pPr>
          </w:p>
        </w:tc>
        <w:tc>
          <w:tcPr>
            <w:tcW w:w="390"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301</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工资福利支出</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590.90</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商品和服务支出</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357.15</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307</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债务利息及费用支出</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30101</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基本工资</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141.43</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30201</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办公费</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18.83</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30701</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国内债务付息</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30102</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津贴补贴</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344.72</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30202</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印刷费</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16.16</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30702</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国外债务付息</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30103</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奖金</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1.35</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30203</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咨询费</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0.40</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310</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资本性支出</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40.32</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30106</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伙食补助费</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30204</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手续费</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31001</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房屋建筑物购建</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30107</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绩效工资</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30205</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水费</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31002</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办公设备购置</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40.32</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30108</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机关事业单位基本养老保险缴费</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35.19</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30206</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电费</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31003</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专用设备购置</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30109</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职业年金缴费</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30207</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邮电费</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1.71</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31005</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基础设施建设</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30110</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职工基本医疗保险缴费</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17.04</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30208</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取暖费</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31006</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大型修缮</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30111</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公务员医疗补助缴费</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16.23</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30209</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物业管理费</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31007</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信息网络及软件购置更新</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30112</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其他社会保障缴费</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0.24</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30211</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差旅费</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5.39</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31008</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物资储备</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30113</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住房公积金</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34.41</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30212</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因公出国（境）费用</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31009</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土地补偿</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30114</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医疗费</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30213</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维修（护）费</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280.37</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31010</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安置补助</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30199</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其他工资福利支出</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0.28</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30214</w:t>
            </w:r>
            <w:bookmarkStart w:id="0" w:name="_GoBack"/>
            <w:bookmarkEnd w:id="0"/>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租赁费</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0.08</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31011</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地上附着物和青苗补偿</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303</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对个人和家庭的补助</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17.77</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30215</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会议费</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31012</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拆迁补偿</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30301</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离休费</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30216</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培训费</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31013</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公务用车购置</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30302</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退休费</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17.68</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30217</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公务接待费</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0.40</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31019</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其他交通工具购置</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30303</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退职（役）费</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30218</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专用材料费</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31021</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文物和陈列品购置</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30304</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抚恤金</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30224</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被装购置费</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31022</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无形资产购置</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30305</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生活补助</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30225</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专用燃料费</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31099</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其他资本性支出</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30306</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救济费</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30226</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劳务费</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0.50</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399</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其他支出</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30307</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医疗费补助</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30227</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委托业务费</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39906</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赠与</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30308</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助学金</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30228</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工会经费</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2.75</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39907</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国家赔偿费用支出</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30309</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奖励金</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0.10</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30229</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福利费</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1.57</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39908</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对民间非营利组织和群众性自治组织补贴</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30310</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个人农业生产补贴</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30231</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公务用车运行维护费</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1.38</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39999</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其他支出</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30311</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代缴社会保险费</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30239</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其他交通费用</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27.61</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30399</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其他对个人和家庭的补助</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30240</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税金及附加费用</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290" w:type="pct"/>
            <w:gridSpan w:val="2"/>
            <w:tcBorders>
              <w:top w:val="nil"/>
              <w:left w:val="single" w:color="000000" w:sz="4" w:space="0"/>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98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52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81"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30299</w:t>
            </w:r>
          </w:p>
        </w:tc>
        <w:tc>
          <w:tcPr>
            <w:tcW w:w="643" w:type="pct"/>
            <w:gridSpan w:val="2"/>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xml:space="preserve">  其他商品和服务支出</w:t>
            </w:r>
          </w:p>
        </w:tc>
        <w:tc>
          <w:tcPr>
            <w:tcW w:w="421"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06"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1062" w:type="pct"/>
            <w:gridSpan w:val="3"/>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c>
          <w:tcPr>
            <w:tcW w:w="390" w:type="pct"/>
            <w:tcBorders>
              <w:top w:val="nil"/>
              <w:left w:val="nil"/>
              <w:bottom w:val="single" w:color="000000" w:sz="4" w:space="0"/>
              <w:right w:val="single" w:color="000000" w:sz="4" w:space="0"/>
            </w:tcBorders>
            <w:shd w:val="clear" w:color="auto" w:fill="auto"/>
            <w:noWrap/>
            <w:vAlign w:val="center"/>
          </w:tcPr>
          <w:p>
            <w:pPr>
              <w:rPr>
                <w:sz w:val="18"/>
                <w:szCs w:val="20"/>
              </w:rPr>
            </w:pPr>
            <w:r>
              <w:rPr>
                <w:rFonts w:hint="eastAsia"/>
                <w:sz w:val="18"/>
                <w:szCs w:val="20"/>
              </w:rPr>
              <w:t>　</w:t>
            </w:r>
          </w:p>
        </w:tc>
      </w:tr>
      <w:tr>
        <w:tblPrEx>
          <w:tblCellMar>
            <w:top w:w="0" w:type="dxa"/>
            <w:left w:w="108" w:type="dxa"/>
            <w:bottom w:w="0" w:type="dxa"/>
            <w:right w:w="108" w:type="dxa"/>
          </w:tblCellMar>
        </w:tblPrEx>
        <w:trPr>
          <w:gridAfter w:val="1"/>
          <w:wAfter w:w="2" w:type="pct"/>
          <w:trHeight w:val="397" w:hRule="atLeast"/>
          <w:jc w:val="center"/>
        </w:trPr>
        <w:tc>
          <w:tcPr>
            <w:tcW w:w="127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人员经费合计</w:t>
            </w:r>
          </w:p>
        </w:tc>
        <w:tc>
          <w:tcPr>
            <w:tcW w:w="5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Cs w:val="21"/>
              </w:rPr>
            </w:pPr>
            <w:r>
              <w:rPr>
                <w:rFonts w:hint="eastAsia" w:ascii="宋体" w:hAnsi="宋体" w:cs="Arial"/>
                <w:color w:val="000000"/>
                <w:kern w:val="0"/>
                <w:szCs w:val="21"/>
              </w:rPr>
              <w:t>608.67</w:t>
            </w:r>
          </w:p>
        </w:tc>
        <w:tc>
          <w:tcPr>
            <w:tcW w:w="2815" w:type="pct"/>
            <w:gridSpan w:val="11"/>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公用经费合计</w:t>
            </w:r>
          </w:p>
        </w:tc>
        <w:tc>
          <w:tcPr>
            <w:tcW w:w="39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Cs w:val="21"/>
              </w:rPr>
            </w:pPr>
            <w:r>
              <w:rPr>
                <w:rFonts w:hint="eastAsia" w:ascii="宋体" w:hAnsi="宋体" w:cs="Arial"/>
                <w:color w:val="000000"/>
                <w:kern w:val="0"/>
                <w:szCs w:val="21"/>
              </w:rPr>
              <w:t>397.47</w:t>
            </w:r>
          </w:p>
        </w:tc>
      </w:tr>
      <w:tr>
        <w:tblPrEx>
          <w:tblCellMar>
            <w:top w:w="0" w:type="dxa"/>
            <w:left w:w="108" w:type="dxa"/>
            <w:bottom w:w="0" w:type="dxa"/>
            <w:right w:w="108" w:type="dxa"/>
          </w:tblCellMar>
        </w:tblPrEx>
        <w:trPr>
          <w:gridAfter w:val="1"/>
          <w:wAfter w:w="2" w:type="pct"/>
          <w:trHeight w:val="397" w:hRule="atLeast"/>
          <w:jc w:val="center"/>
        </w:trPr>
        <w:tc>
          <w:tcPr>
            <w:tcW w:w="4997" w:type="pct"/>
            <w:gridSpan w:val="16"/>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注：本表反映单位本年度一般公共预算财政拨款基本支出明细情况。本表金额转换为万元时，因四舍五入可能存在尾差。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5"/>
        <w:tblW w:w="5000" w:type="pct"/>
        <w:tblInd w:w="0" w:type="dxa"/>
        <w:tblLayout w:type="autofit"/>
        <w:tblCellMar>
          <w:top w:w="0" w:type="dxa"/>
          <w:left w:w="108" w:type="dxa"/>
          <w:bottom w:w="0" w:type="dxa"/>
          <w:right w:w="108" w:type="dxa"/>
        </w:tblCellMar>
      </w:tblPr>
      <w:tblGrid>
        <w:gridCol w:w="1155"/>
        <w:gridCol w:w="1155"/>
        <w:gridCol w:w="1155"/>
        <w:gridCol w:w="1155"/>
        <w:gridCol w:w="1155"/>
        <w:gridCol w:w="1155"/>
        <w:gridCol w:w="1155"/>
        <w:gridCol w:w="1155"/>
        <w:gridCol w:w="1155"/>
        <w:gridCol w:w="1147"/>
        <w:gridCol w:w="1155"/>
        <w:gridCol w:w="1477"/>
      </w:tblGrid>
      <w:tr>
        <w:tblPrEx>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一般公共预算财政拨款“三公”经费支出决算表</w:t>
            </w:r>
          </w:p>
        </w:tc>
      </w:tr>
      <w:tr>
        <w:tblPrEx>
          <w:tblCellMar>
            <w:top w:w="0" w:type="dxa"/>
            <w:left w:w="108" w:type="dxa"/>
            <w:bottom w:w="0" w:type="dxa"/>
            <w:right w:w="108" w:type="dxa"/>
          </w:tblCellMar>
        </w:tblPrEx>
        <w:trPr>
          <w:trHeight w:val="255" w:hRule="atLeast"/>
        </w:trPr>
        <w:tc>
          <w:tcPr>
            <w:tcW w:w="41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1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1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1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1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1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1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1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1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14"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1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20"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公开07表</w:t>
            </w:r>
          </w:p>
        </w:tc>
      </w:tr>
      <w:tr>
        <w:tblPrEx>
          <w:tblCellMar>
            <w:top w:w="0" w:type="dxa"/>
            <w:left w:w="108" w:type="dxa"/>
            <w:bottom w:w="0" w:type="dxa"/>
            <w:right w:w="108" w:type="dxa"/>
          </w:tblCellMar>
        </w:tblPrEx>
        <w:trPr>
          <w:trHeight w:val="255" w:hRule="atLeast"/>
        </w:trPr>
        <w:tc>
          <w:tcPr>
            <w:tcW w:w="1250" w:type="pct"/>
            <w:gridSpan w:val="3"/>
            <w:tcBorders>
              <w:top w:val="nil"/>
              <w:left w:val="nil"/>
              <w:bottom w:val="nil"/>
              <w:right w:val="nil"/>
            </w:tcBorders>
            <w:shd w:val="clear" w:color="auto" w:fill="auto"/>
            <w:noWrap/>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单位：许昌市机关事务中心（本级）</w:t>
            </w:r>
          </w:p>
        </w:tc>
        <w:tc>
          <w:tcPr>
            <w:tcW w:w="41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1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1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1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1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1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14"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1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20"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25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预算数</w:t>
            </w:r>
          </w:p>
        </w:tc>
        <w:tc>
          <w:tcPr>
            <w:tcW w:w="2500"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r>
      <w:tr>
        <w:tblPrEx>
          <w:tblCellMar>
            <w:top w:w="0" w:type="dxa"/>
            <w:left w:w="108" w:type="dxa"/>
            <w:bottom w:w="0" w:type="dxa"/>
            <w:right w:w="108" w:type="dxa"/>
          </w:tblCellMar>
        </w:tblPrEx>
        <w:trPr>
          <w:trHeight w:val="308" w:hRule="atLeast"/>
        </w:trPr>
        <w:tc>
          <w:tcPr>
            <w:tcW w:w="417"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417"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因公出国（境）费</w:t>
            </w:r>
          </w:p>
        </w:tc>
        <w:tc>
          <w:tcPr>
            <w:tcW w:w="1250"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公务用车购置及运行费</w:t>
            </w:r>
          </w:p>
        </w:tc>
        <w:tc>
          <w:tcPr>
            <w:tcW w:w="417"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公务接待费</w:t>
            </w:r>
          </w:p>
        </w:tc>
        <w:tc>
          <w:tcPr>
            <w:tcW w:w="417"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417"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因公出国（境）费</w:t>
            </w:r>
          </w:p>
        </w:tc>
        <w:tc>
          <w:tcPr>
            <w:tcW w:w="1247"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公务用车购置及运行费</w:t>
            </w:r>
          </w:p>
        </w:tc>
        <w:tc>
          <w:tcPr>
            <w:tcW w:w="420"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公务接待费</w:t>
            </w:r>
          </w:p>
        </w:tc>
      </w:tr>
      <w:tr>
        <w:tblPrEx>
          <w:tblCellMar>
            <w:top w:w="0" w:type="dxa"/>
            <w:left w:w="108" w:type="dxa"/>
            <w:bottom w:w="0" w:type="dxa"/>
            <w:right w:w="108" w:type="dxa"/>
          </w:tblCellMar>
        </w:tblPrEx>
        <w:trPr>
          <w:trHeight w:val="615" w:hRule="atLeast"/>
        </w:trPr>
        <w:tc>
          <w:tcPr>
            <w:tcW w:w="417" w:type="pct"/>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417" w:type="pct"/>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41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41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公务用车购置费</w:t>
            </w:r>
          </w:p>
        </w:tc>
        <w:tc>
          <w:tcPr>
            <w:tcW w:w="41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公务用车运行费</w:t>
            </w:r>
          </w:p>
        </w:tc>
        <w:tc>
          <w:tcPr>
            <w:tcW w:w="417" w:type="pct"/>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417" w:type="pct"/>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417" w:type="pct"/>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41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41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公务用车购置费</w:t>
            </w:r>
          </w:p>
        </w:tc>
        <w:tc>
          <w:tcPr>
            <w:tcW w:w="41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公务用车运行费</w:t>
            </w:r>
          </w:p>
        </w:tc>
        <w:tc>
          <w:tcPr>
            <w:tcW w:w="420"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512" w:hRule="atLeast"/>
        </w:trPr>
        <w:tc>
          <w:tcPr>
            <w:tcW w:w="417"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41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41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41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41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41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41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41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41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41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41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420"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r>
      <w:tr>
        <w:tblPrEx>
          <w:tblCellMar>
            <w:top w:w="0" w:type="dxa"/>
            <w:left w:w="108" w:type="dxa"/>
            <w:bottom w:w="0" w:type="dxa"/>
            <w:right w:w="108" w:type="dxa"/>
          </w:tblCellMar>
        </w:tblPrEx>
        <w:trPr>
          <w:trHeight w:val="308" w:hRule="atLeast"/>
        </w:trPr>
        <w:tc>
          <w:tcPr>
            <w:tcW w:w="417" w:type="pct"/>
            <w:tcBorders>
              <w:top w:val="nil"/>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5.25</w:t>
            </w:r>
          </w:p>
        </w:tc>
        <w:tc>
          <w:tcPr>
            <w:tcW w:w="41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1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4.00</w:t>
            </w:r>
          </w:p>
        </w:tc>
        <w:tc>
          <w:tcPr>
            <w:tcW w:w="41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1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4.00</w:t>
            </w:r>
          </w:p>
        </w:tc>
        <w:tc>
          <w:tcPr>
            <w:tcW w:w="41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1.25</w:t>
            </w:r>
          </w:p>
        </w:tc>
        <w:tc>
          <w:tcPr>
            <w:tcW w:w="41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1.78</w:t>
            </w:r>
          </w:p>
        </w:tc>
        <w:tc>
          <w:tcPr>
            <w:tcW w:w="41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1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1.38</w:t>
            </w:r>
          </w:p>
        </w:tc>
        <w:tc>
          <w:tcPr>
            <w:tcW w:w="41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1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1.38</w:t>
            </w:r>
          </w:p>
        </w:tc>
        <w:tc>
          <w:tcPr>
            <w:tcW w:w="42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0.40</w:t>
            </w:r>
          </w:p>
        </w:tc>
      </w:tr>
      <w:tr>
        <w:tblPrEx>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5"/>
        <w:tblW w:w="5000" w:type="pct"/>
        <w:tblInd w:w="0" w:type="dxa"/>
        <w:tblLayout w:type="autofit"/>
        <w:tblCellMar>
          <w:top w:w="0" w:type="dxa"/>
          <w:left w:w="108" w:type="dxa"/>
          <w:bottom w:w="0" w:type="dxa"/>
          <w:right w:w="108" w:type="dxa"/>
        </w:tblCellMar>
      </w:tblPr>
      <w:tblGrid>
        <w:gridCol w:w="222"/>
        <w:gridCol w:w="222"/>
        <w:gridCol w:w="773"/>
        <w:gridCol w:w="2219"/>
        <w:gridCol w:w="1609"/>
        <w:gridCol w:w="1616"/>
        <w:gridCol w:w="1619"/>
        <w:gridCol w:w="1619"/>
        <w:gridCol w:w="1619"/>
        <w:gridCol w:w="2656"/>
      </w:tblGrid>
      <w:tr>
        <w:tblPrEx>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78"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78"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272"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782"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568"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570"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571"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571"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571"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935"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公开08表</w:t>
            </w:r>
          </w:p>
        </w:tc>
      </w:tr>
      <w:tr>
        <w:tblPrEx>
          <w:tblCellMar>
            <w:top w:w="0" w:type="dxa"/>
            <w:left w:w="108" w:type="dxa"/>
            <w:bottom w:w="0" w:type="dxa"/>
            <w:right w:w="108" w:type="dxa"/>
          </w:tblCellMar>
        </w:tblPrEx>
        <w:trPr>
          <w:trHeight w:val="255" w:hRule="atLeast"/>
        </w:trPr>
        <w:tc>
          <w:tcPr>
            <w:tcW w:w="1212" w:type="pct"/>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单位：许昌市机关事务中心（本级）</w:t>
            </w:r>
          </w:p>
        </w:tc>
        <w:tc>
          <w:tcPr>
            <w:tcW w:w="568"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570"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571"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571"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571"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935"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121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568"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年初结转和结余</w:t>
            </w:r>
          </w:p>
        </w:tc>
        <w:tc>
          <w:tcPr>
            <w:tcW w:w="570"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w:t>
            </w:r>
          </w:p>
        </w:tc>
        <w:tc>
          <w:tcPr>
            <w:tcW w:w="1713"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c>
          <w:tcPr>
            <w:tcW w:w="935"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年末结转和结余</w:t>
            </w:r>
          </w:p>
        </w:tc>
      </w:tr>
      <w:tr>
        <w:tblPrEx>
          <w:tblCellMar>
            <w:top w:w="0" w:type="dxa"/>
            <w:left w:w="108" w:type="dxa"/>
            <w:bottom w:w="0" w:type="dxa"/>
            <w:right w:w="108" w:type="dxa"/>
          </w:tblCellMar>
        </w:tblPrEx>
        <w:trPr>
          <w:trHeight w:val="312" w:hRule="atLeast"/>
        </w:trPr>
        <w:tc>
          <w:tcPr>
            <w:tcW w:w="429"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782" w:type="pct"/>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568" w:type="pct"/>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570" w:type="pct"/>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571"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571"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571" w:type="pct"/>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935"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429"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782"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6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70"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71"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71"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71"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35"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429"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782"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6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70"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71"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71"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71"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35"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212"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568"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570"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935" w:type="pc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blPrEx>
          <w:tblCellMar>
            <w:top w:w="0" w:type="dxa"/>
            <w:left w:w="108" w:type="dxa"/>
            <w:bottom w:w="0" w:type="dxa"/>
            <w:right w:w="108" w:type="dxa"/>
          </w:tblCellMar>
        </w:tblPrEx>
        <w:trPr>
          <w:trHeight w:val="308" w:hRule="atLeast"/>
        </w:trPr>
        <w:tc>
          <w:tcPr>
            <w:tcW w:w="1212"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56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5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935"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blPrEx>
          <w:tblCellMar>
            <w:top w:w="0" w:type="dxa"/>
            <w:left w:w="108" w:type="dxa"/>
            <w:bottom w:w="0" w:type="dxa"/>
            <w:right w:w="108" w:type="dxa"/>
          </w:tblCellMar>
        </w:tblPrEx>
        <w:trPr>
          <w:trHeight w:val="308" w:hRule="atLeast"/>
        </w:trPr>
        <w:tc>
          <w:tcPr>
            <w:tcW w:w="42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8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6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35"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注：本表反映单位本年度政府性基金预算财政拨款收入、支出及结转和结余情况。本表金额转换为万元时，因四舍五入可能存在尾差。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说明：我单位没有政府性基金收入，也没有使用政府性基金安排的支出，故本表无数据。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2021年度单位决算情况说明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年度收、支总计均为1006.14万元。与上年度相比，收、支总计各减少227.79万元，下降18.46%。主要原因是上年年末拨入市委市政府7号楼维修改造经费结转和结余。</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年度收入合计646.94万元，其中：财政拨款收入646.94万元，占100%；上级补助收入0.00万元；事业收入0.00万元；经营收入0.00万元；附属单位上缴收入0.00万元；其他收入0.00万元。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年度支出合计1006.14万元，其中：基本支出1006.14万元，占100%；项目支出0.00万元；上缴上级支出0.00万元；经营支出0.00万元；对附属单位补助支出0.00万元。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年度财政拨款收、支总计均为1006.14万元。与上年度相比，财政拨款收、支总计各减少227.79万元，下降18.46%。主要原因是上年年末拨入市委市政府7号楼维修改造经费结转和结余。</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年度一般公共预算财政拨款支出1006.14万元，占支出合计的100%。与上年度相比，一般公共预算财政拨款支出减少227.79万元，下降18.46%。主要原因是上年年末拨入市委市政府7号楼维修改造经费结转和结余。</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年度一般公共预算财政拨款支出1006.14万元，主要用于以下方面：一般公共服务（类）支出919.66万元，占91.40%；</w:t>
      </w:r>
      <w:r>
        <w:rPr>
          <w:rFonts w:hint="eastAsia" w:ascii="仿宋_GB2312" w:eastAsia="仿宋_GB2312" w:cs="宋体"/>
          <w:kern w:val="0"/>
          <w:sz w:val="32"/>
          <w:szCs w:val="32"/>
          <w:lang w:val="zh-CN"/>
        </w:rPr>
        <w:t>社会保障和就业</w:t>
      </w:r>
      <w:r>
        <w:rPr>
          <w:rFonts w:hint="eastAsia" w:ascii="仿宋_GB2312" w:hAnsi="仿宋_GB2312" w:eastAsia="仿宋_GB2312" w:cs="仿宋_GB2312"/>
          <w:sz w:val="32"/>
          <w:szCs w:val="32"/>
        </w:rPr>
        <w:t>（类）支出53.20万元，占5.29%，卫生健康（类）支出33.27万元，占3.31%。</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年度一般公共预算财政拨款支出年初预算为1006.14万元，支出决算为1006.14万元，完成年初预算的100%。其中：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eastAsia="仿宋_GB2312"/>
          <w:b/>
          <w:bCs/>
          <w:sz w:val="32"/>
          <w:szCs w:val="32"/>
        </w:rPr>
        <w:t>一般公共服务支出（类）政府事务办公厅（室）及相关机构事务（款）机关服务（项）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年初预算为916.91万元，支出决算为916.91万元，完成年初预算的100%。决算数与年初预算数不存在差异。</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eastAsia="仿宋_GB2312"/>
          <w:b/>
          <w:sz w:val="32"/>
          <w:szCs w:val="32"/>
        </w:rPr>
        <w:t>一般公共服务（类）群众团体事务（款）工会事务（项）。</w:t>
      </w:r>
      <w:r>
        <w:rPr>
          <w:rFonts w:hint="eastAsia" w:ascii="仿宋_GB2312" w:hAnsi="仿宋_GB2312" w:eastAsia="仿宋_GB2312" w:cs="仿宋_GB2312"/>
          <w:sz w:val="32"/>
          <w:szCs w:val="32"/>
        </w:rPr>
        <w:t>年初预算为2.75万元，支出决算为2.75万元，完成年初预算的100%。决算数与年初预算数不存在差异。</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eastAsia="仿宋_GB2312"/>
          <w:b/>
          <w:bCs/>
          <w:sz w:val="32"/>
          <w:szCs w:val="32"/>
        </w:rPr>
        <w:t>社会保障和就业支出（类）行政事业单位养老支出（款）行政单位离退休（项）。</w:t>
      </w:r>
      <w:r>
        <w:rPr>
          <w:rFonts w:hint="eastAsia" w:ascii="仿宋_GB2312" w:hAnsi="仿宋_GB2312" w:eastAsia="仿宋_GB2312" w:cs="仿宋_GB2312"/>
          <w:sz w:val="32"/>
          <w:szCs w:val="32"/>
        </w:rPr>
        <w:t>年初预算为17.77万元，支出决算为17.77万元，完成年初预算的100%。决算数与年初预算数不存在差异。</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hint="eastAsia" w:ascii="仿宋_GB2312" w:eastAsia="仿宋_GB2312"/>
          <w:b/>
          <w:bCs/>
          <w:sz w:val="32"/>
          <w:szCs w:val="32"/>
        </w:rPr>
        <w:t>社会保障和就业支出（类）行政事业单位养老支出（款）机关事业单位基本养老保险缴费支出（项）。</w:t>
      </w:r>
      <w:r>
        <w:rPr>
          <w:rFonts w:hint="eastAsia" w:ascii="仿宋_GB2312" w:hAnsi="仿宋_GB2312" w:eastAsia="仿宋_GB2312" w:cs="仿宋_GB2312"/>
          <w:sz w:val="32"/>
          <w:szCs w:val="32"/>
        </w:rPr>
        <w:t>年初预算为35.43万元，支出决算为35.43万元，完成年初预算的100%。决算数与年初预算数不存在差异。</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eastAsia="仿宋_GB2312"/>
          <w:b/>
          <w:bCs/>
          <w:sz w:val="32"/>
          <w:szCs w:val="32"/>
        </w:rPr>
        <w:t>卫生健康支出（类）行政事业单位医疗（款）行政单位医疗（项）。</w:t>
      </w:r>
      <w:r>
        <w:rPr>
          <w:rFonts w:hint="eastAsia" w:ascii="仿宋_GB2312" w:hAnsi="仿宋_GB2312" w:eastAsia="仿宋_GB2312" w:cs="仿宋_GB2312"/>
          <w:sz w:val="32"/>
          <w:szCs w:val="32"/>
        </w:rPr>
        <w:t>年初预算为17.04万元，支出决算为17.04万元，完成年初预算的100%。决算数与年初预算数不存在差异。</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w:t>
      </w:r>
      <w:r>
        <w:rPr>
          <w:rFonts w:hint="eastAsia" w:ascii="仿宋_GB2312" w:eastAsia="仿宋_GB2312"/>
          <w:b/>
          <w:bCs/>
          <w:sz w:val="32"/>
          <w:szCs w:val="32"/>
        </w:rPr>
        <w:t>卫生健康支出（类）行政事业单位医疗（款）公务员医疗补助（项）。</w:t>
      </w:r>
      <w:r>
        <w:rPr>
          <w:rFonts w:hint="eastAsia" w:ascii="仿宋_GB2312" w:hAnsi="仿宋_GB2312" w:eastAsia="仿宋_GB2312" w:cs="仿宋_GB2312"/>
          <w:sz w:val="32"/>
          <w:szCs w:val="32"/>
        </w:rPr>
        <w:t>年初预算为16.23万元，支出决算为16.23万元，完成年初预算的100%。决算数与年初预算数不存在差异。</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1006.14万元。其中：人员经费608.67万元，主要包括：基本工资、津贴补贴、奖金、机关事业单位基本养老保险缴费、职工基本医疗保险、公务员医疗补助缴费、其他社会保障缴费、住房公积金、其他工资福利支出、退休费、奖励金；公用经费397.47万元，主要包括：办公费、印刷费、咨询费、邮电费、差旅费、维修（护）费、租赁费、公务接待费、劳务费、工会经费、福利费、公务用车运行维护费、其他交通费用、办公设备购置。</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年度“三公”经费财政拨款支出预算为5.25万元，支出决算为1.78万元，完成预算的33.90%。</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w:t>
      </w:r>
      <w:r>
        <w:rPr>
          <w:rFonts w:hint="eastAsia" w:ascii="仿宋_GB2312" w:eastAsia="仿宋_GB2312"/>
          <w:sz w:val="32"/>
          <w:szCs w:val="32"/>
        </w:rPr>
        <w:t>厉行节约，压减支出</w:t>
      </w:r>
      <w:r>
        <w:rPr>
          <w:rFonts w:hint="eastAsia" w:ascii="仿宋_GB2312" w:hAnsi="仿宋_GB2312" w:eastAsia="仿宋_GB2312" w:cs="仿宋_GB2312"/>
          <w:sz w:val="32"/>
          <w:szCs w:val="32"/>
        </w:rPr>
        <w:t>。</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0.00万元；公务用车购置及运行费支出决算1.38万元，完成预算的34.50%，占77.53%；公务接待费支出决算0.40万元，完成预算的32.00%，占22.47%。具体情况如下：</w:t>
      </w:r>
    </w:p>
    <w:p>
      <w:pPr>
        <w:widowControl/>
        <w:spacing w:line="590" w:lineRule="exact"/>
        <w:ind w:firstLine="642" w:firstLineChars="200"/>
        <w:rPr>
          <w:rFonts w:eastAsia="仿宋_GB2312"/>
          <w:kern w:val="0"/>
          <w:sz w:val="18"/>
          <w:szCs w:val="18"/>
          <w:lang w:val="zh-CN"/>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预算为0.00万元，支出决算为0.00万元。</w:t>
      </w:r>
      <w:r>
        <w:rPr>
          <w:rFonts w:hint="eastAsia" w:ascii="仿宋_GB2312" w:eastAsia="仿宋_GB2312" w:cs="仿宋_GB2312"/>
          <w:sz w:val="32"/>
          <w:szCs w:val="32"/>
        </w:rPr>
        <w:t>因公出国（境）团组数</w:t>
      </w:r>
      <w:r>
        <w:rPr>
          <w:rFonts w:ascii="仿宋_GB2312" w:eastAsia="仿宋_GB2312" w:cs="仿宋_GB2312"/>
          <w:sz w:val="32"/>
          <w:szCs w:val="32"/>
        </w:rPr>
        <w:t>0</w:t>
      </w:r>
      <w:r>
        <w:rPr>
          <w:rFonts w:hint="eastAsia" w:ascii="仿宋_GB2312" w:eastAsia="仿宋_GB2312" w:cs="仿宋_GB2312"/>
          <w:sz w:val="32"/>
          <w:szCs w:val="32"/>
        </w:rPr>
        <w:t>个，因公出国（境）人次数</w:t>
      </w:r>
      <w:r>
        <w:rPr>
          <w:rFonts w:ascii="仿宋_GB2312" w:eastAsia="仿宋_GB2312" w:cs="仿宋_GB2312"/>
          <w:sz w:val="32"/>
          <w:szCs w:val="32"/>
        </w:rPr>
        <w:t>0</w:t>
      </w:r>
      <w:r>
        <w:rPr>
          <w:rFonts w:hint="eastAsia" w:ascii="仿宋_GB2312" w:eastAsia="仿宋_GB2312" w:cs="仿宋_GB2312"/>
          <w:sz w:val="32"/>
          <w:szCs w:val="32"/>
        </w:rPr>
        <w:t>人次。</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预算为4.00万元，支出决算为1.38万元，完成预算的34.50%。决算数与预算数存在差异的主要原因是</w:t>
      </w:r>
      <w:r>
        <w:rPr>
          <w:rFonts w:hint="eastAsia" w:ascii="仿宋_GB2312" w:eastAsia="仿宋_GB2312"/>
          <w:sz w:val="32"/>
          <w:szCs w:val="32"/>
        </w:rPr>
        <w:t>厉行节约，压减支出</w:t>
      </w:r>
      <w:r>
        <w:rPr>
          <w:rFonts w:hint="eastAsia" w:ascii="仿宋_GB2312" w:hAnsi="仿宋_GB2312" w:eastAsia="仿宋_GB2312" w:cs="仿宋_GB2312"/>
          <w:sz w:val="32"/>
          <w:szCs w:val="32"/>
        </w:rPr>
        <w:t>。其中：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为0.00万元，购置车辆0台。</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1.38万元。主要用于车辆运行保障。</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年期末，单位开支财政拨款的公务用车保有量为1辆。</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预算为1.25万元，支出决算为0.40万元，完成预算的32.00%。决算数与预算数存在差异的主要原因是</w:t>
      </w:r>
      <w:r>
        <w:rPr>
          <w:rFonts w:hint="eastAsia" w:ascii="仿宋_GB2312" w:eastAsia="仿宋_GB2312"/>
          <w:sz w:val="32"/>
          <w:szCs w:val="32"/>
        </w:rPr>
        <w:t>厉行节约，压减支出</w:t>
      </w:r>
      <w:r>
        <w:rPr>
          <w:rFonts w:hint="eastAsia" w:ascii="仿宋_GB2312" w:hAnsi="仿宋_GB2312" w:eastAsia="仿宋_GB2312" w:cs="仿宋_GB2312"/>
          <w:sz w:val="32"/>
          <w:szCs w:val="32"/>
        </w:rPr>
        <w:t>。其中：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0.40万元。主要用于公务接待。</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年共接待国内来访团组6个、来宾64人次（不包括陪同人员）。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年度政府性基金预算财政拨款支出年初预算为0.00万元，支出决算为0.00万元。主要原因：</w:t>
      </w:r>
      <w:r>
        <w:rPr>
          <w:rFonts w:hint="eastAsia" w:ascii="仿宋_GB2312" w:eastAsia="仿宋_GB2312"/>
          <w:sz w:val="32"/>
          <w:szCs w:val="32"/>
        </w:rPr>
        <w:t>我部门2021年度没有政府性基金收入，也没用使用政府性基金安排的支出。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年度机关运行经费年初预算为397.47万元，支出决算为397.47万元，完成年初预算的100%。决算数与年初预算数不存在差异。</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1辆，其中：省级领导干部用车0辆、主要领导干部用车0辆、机要通信用车1辆、应急保障车0辆、执法执勤用车0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963"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2021年度我单位纳入预算绩效管理的支出总额为1006.14万元，其中：基本支出1006.14万元；支出项目0个，支出金额0.00万元。开展项目绩效自评项目0个，自评金额0.00万元；纳入重点绩效评价0个，评价金额0.00万元。</w:t>
      </w:r>
    </w:p>
    <w:p>
      <w:pPr>
        <w:widowControl/>
        <w:spacing w:line="360" w:lineRule="auto"/>
        <w:ind w:firstLine="963"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（二）单位整体和项目绩效自评结果。</w:t>
      </w:r>
    </w:p>
    <w:p>
      <w:pPr>
        <w:widowControl/>
        <w:spacing w:line="360" w:lineRule="auto"/>
        <w:ind w:firstLine="960" w:firstLineChars="3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按照《许昌市财政局关于开展2021年度市级预算绩效自评工作的通知》（许财效）〔2022〕1号）等文件精神，我单位对本单位整体绩效目标和项目支出绩效目标进行了自评。一是单位整体绩效自评情况</w:t>
      </w:r>
      <w:r>
        <w:rPr>
          <w:rFonts w:hint="eastAsia" w:ascii="仿宋_GB2312" w:eastAsia="仿宋_GB2312"/>
          <w:sz w:val="32"/>
          <w:szCs w:val="32"/>
        </w:rPr>
        <w:t>较好，各项目标和指标完成工作都取得了较好成效</w:t>
      </w:r>
      <w:r>
        <w:rPr>
          <w:rFonts w:hint="eastAsia" w:ascii="仿宋_GB2312" w:hAnsi="仿宋_GB2312" w:eastAsia="仿宋_GB2312" w:cs="仿宋_GB2312"/>
          <w:sz w:val="32"/>
          <w:szCs w:val="32"/>
        </w:rPr>
        <w:t>。二是项目绩效自评情况。本年度我单位未安排项目支出，没有项目绩效自评。</w:t>
      </w:r>
    </w:p>
    <w:p>
      <w:pPr>
        <w:widowControl/>
        <w:spacing w:line="360" w:lineRule="auto"/>
        <w:ind w:firstLine="963" w:firstLineChars="3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960" w:firstLineChars="3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本年度我单位未安排项目支出，没有项目绩效自评。</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90101010101"/>
    <w:charset w:val="86"/>
    <w:family w:val="auto"/>
    <w:pitch w:val="default"/>
    <w:sig w:usb0="800002BF" w:usb1="38CF7CFA" w:usb2="00000016" w:usb3="00000000" w:csb0="6016019D" w:csb1="D3F7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华文中宋">
    <w:altName w:val="汉仪中宋简"/>
    <w:panose1 w:val="02010600040101010101"/>
    <w:charset w:val="86"/>
    <w:family w:val="auto"/>
    <w:pitch w:val="default"/>
    <w:sig w:usb0="00000000" w:usb1="00000000" w:usb2="00000010" w:usb3="00000000" w:csb0="0004009F" w:csb1="00000000"/>
  </w:font>
  <w:font w:name="楷体_GB2312">
    <w:altName w:val="宋体"/>
    <w:panose1 w:val="02010609030101010101"/>
    <w:charset w:val="86"/>
    <w:family w:val="modern"/>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EEjHAS4AQAAYAMAAA4AAAAAAAAAAQAgAAAANAEAAGRycy9l&#10;Mm9Eb2MueG1sUEsFBgAAAAAGAAYAWQEAAF4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v:textbox>
        </v:shape>
      </w:pict>
    </w:r>
    <w:r>
      <w:pict>
        <v:shape id="文本框 1027" o:spid="_x0000_s1028"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DOqXm5zwAAAAUBAAAPAAAAAAAAAAEAIAAAADgAAABkcnMvZG93&#10;bnJldi54bWxQSwECFAAUAAAACACHTuJAdwD417oBAABjAwAADgAAAAAAAAABACAAAAA0AQAAZHJz&#10;L2Uyb0RvYy54bWxQSwUGAAAAAAYABgBZAQAAYAU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7" o:spid="_x0000_s1027"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6pebnPAAAABQEAAA8AAAAAAAAAAQAgAAAAOAAAAGRycy9kb3du&#10;cmV2LnhtbFBLAQIUABQAAAAIAIdO4kCmWWfCuQEAAGADAAAOAAAAAAAAAAEAIAAAADQBAABkcnMv&#10;ZTJvRG9jLnhtbFBLBQYAAAAABgAGAFkBAABf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true"/>
  <w:bordersDoNotSurroundFooter w:val="true"/>
  <w:documentProtection w:enforcement="0"/>
  <w:defaultTabStop w:val="420"/>
  <w:evenAndOddHeaders w:val="true"/>
  <w:drawingGridHorizontalSpacing w:val="105"/>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Yjk5ODM0YmMxOWJiYWQyNDU4MGIzYWRmYTA0ZmI5NDcifQ=="/>
  </w:docVars>
  <w:rsids>
    <w:rsidRoot w:val="000270E8"/>
    <w:rsid w:val="000270E8"/>
    <w:rsid w:val="000335B5"/>
    <w:rsid w:val="00057AFD"/>
    <w:rsid w:val="00076410"/>
    <w:rsid w:val="00081835"/>
    <w:rsid w:val="000904B3"/>
    <w:rsid w:val="000A4D04"/>
    <w:rsid w:val="000A7A1B"/>
    <w:rsid w:val="000B3CB8"/>
    <w:rsid w:val="000C073B"/>
    <w:rsid w:val="000C1142"/>
    <w:rsid w:val="000D7D42"/>
    <w:rsid w:val="001003F8"/>
    <w:rsid w:val="00144159"/>
    <w:rsid w:val="001718A8"/>
    <w:rsid w:val="00182842"/>
    <w:rsid w:val="00184D53"/>
    <w:rsid w:val="001905F2"/>
    <w:rsid w:val="00197592"/>
    <w:rsid w:val="001C32F0"/>
    <w:rsid w:val="001D4D7A"/>
    <w:rsid w:val="001D61B1"/>
    <w:rsid w:val="001F5040"/>
    <w:rsid w:val="001F6F6A"/>
    <w:rsid w:val="002006EB"/>
    <w:rsid w:val="00214AE1"/>
    <w:rsid w:val="00260D70"/>
    <w:rsid w:val="00272534"/>
    <w:rsid w:val="00281114"/>
    <w:rsid w:val="00281955"/>
    <w:rsid w:val="00282C7F"/>
    <w:rsid w:val="00287811"/>
    <w:rsid w:val="00292B4B"/>
    <w:rsid w:val="002A6352"/>
    <w:rsid w:val="002B3F94"/>
    <w:rsid w:val="002B79F7"/>
    <w:rsid w:val="002C171D"/>
    <w:rsid w:val="002E6A86"/>
    <w:rsid w:val="00304D04"/>
    <w:rsid w:val="00305B88"/>
    <w:rsid w:val="00310FFB"/>
    <w:rsid w:val="00315FEB"/>
    <w:rsid w:val="0036443E"/>
    <w:rsid w:val="003A2E38"/>
    <w:rsid w:val="003D2198"/>
    <w:rsid w:val="003D6747"/>
    <w:rsid w:val="0041489C"/>
    <w:rsid w:val="0042585F"/>
    <w:rsid w:val="00432059"/>
    <w:rsid w:val="00445CAC"/>
    <w:rsid w:val="00472E19"/>
    <w:rsid w:val="00487869"/>
    <w:rsid w:val="004A543F"/>
    <w:rsid w:val="004B192C"/>
    <w:rsid w:val="004D5275"/>
    <w:rsid w:val="004D6B73"/>
    <w:rsid w:val="004F63DB"/>
    <w:rsid w:val="00505190"/>
    <w:rsid w:val="00507364"/>
    <w:rsid w:val="00524E8E"/>
    <w:rsid w:val="005373E0"/>
    <w:rsid w:val="00546F7C"/>
    <w:rsid w:val="005A0C2F"/>
    <w:rsid w:val="005B1AE2"/>
    <w:rsid w:val="005B3D63"/>
    <w:rsid w:val="005E3397"/>
    <w:rsid w:val="00607D67"/>
    <w:rsid w:val="006228C4"/>
    <w:rsid w:val="00636C37"/>
    <w:rsid w:val="00650595"/>
    <w:rsid w:val="006512DD"/>
    <w:rsid w:val="00656BEF"/>
    <w:rsid w:val="00656D75"/>
    <w:rsid w:val="00657E86"/>
    <w:rsid w:val="00660611"/>
    <w:rsid w:val="00673EF7"/>
    <w:rsid w:val="00676508"/>
    <w:rsid w:val="00683C5B"/>
    <w:rsid w:val="006841E9"/>
    <w:rsid w:val="0069063D"/>
    <w:rsid w:val="0069449E"/>
    <w:rsid w:val="006C07F0"/>
    <w:rsid w:val="006C644A"/>
    <w:rsid w:val="006C7D84"/>
    <w:rsid w:val="007148E8"/>
    <w:rsid w:val="0072468A"/>
    <w:rsid w:val="00733DAA"/>
    <w:rsid w:val="00742BA0"/>
    <w:rsid w:val="00753545"/>
    <w:rsid w:val="00764156"/>
    <w:rsid w:val="007706D7"/>
    <w:rsid w:val="0077187F"/>
    <w:rsid w:val="007879ED"/>
    <w:rsid w:val="007A48A3"/>
    <w:rsid w:val="007B39A6"/>
    <w:rsid w:val="007C029F"/>
    <w:rsid w:val="007C7F49"/>
    <w:rsid w:val="007D2A21"/>
    <w:rsid w:val="008129E5"/>
    <w:rsid w:val="00843461"/>
    <w:rsid w:val="00853AB2"/>
    <w:rsid w:val="008651E7"/>
    <w:rsid w:val="00872946"/>
    <w:rsid w:val="0088023A"/>
    <w:rsid w:val="008858FB"/>
    <w:rsid w:val="00894B41"/>
    <w:rsid w:val="008B5427"/>
    <w:rsid w:val="008C7CD0"/>
    <w:rsid w:val="00903F6B"/>
    <w:rsid w:val="009173F9"/>
    <w:rsid w:val="009308CB"/>
    <w:rsid w:val="0094390B"/>
    <w:rsid w:val="00950270"/>
    <w:rsid w:val="00957EAC"/>
    <w:rsid w:val="00962F58"/>
    <w:rsid w:val="00975A04"/>
    <w:rsid w:val="00987E71"/>
    <w:rsid w:val="009F0FBB"/>
    <w:rsid w:val="009F546E"/>
    <w:rsid w:val="00A02414"/>
    <w:rsid w:val="00A079F0"/>
    <w:rsid w:val="00A31085"/>
    <w:rsid w:val="00A31646"/>
    <w:rsid w:val="00A42F43"/>
    <w:rsid w:val="00A51982"/>
    <w:rsid w:val="00A55D25"/>
    <w:rsid w:val="00A57BF7"/>
    <w:rsid w:val="00A71DC1"/>
    <w:rsid w:val="00A83D8A"/>
    <w:rsid w:val="00A93E7D"/>
    <w:rsid w:val="00AA260E"/>
    <w:rsid w:val="00AA44CB"/>
    <w:rsid w:val="00AA67CD"/>
    <w:rsid w:val="00AB2ED5"/>
    <w:rsid w:val="00AC702A"/>
    <w:rsid w:val="00AD6761"/>
    <w:rsid w:val="00AE2FEA"/>
    <w:rsid w:val="00AE600E"/>
    <w:rsid w:val="00B0083B"/>
    <w:rsid w:val="00B040BC"/>
    <w:rsid w:val="00B209B8"/>
    <w:rsid w:val="00B20BBC"/>
    <w:rsid w:val="00B249F3"/>
    <w:rsid w:val="00B50E1F"/>
    <w:rsid w:val="00B649BE"/>
    <w:rsid w:val="00B653A5"/>
    <w:rsid w:val="00B710DD"/>
    <w:rsid w:val="00B76542"/>
    <w:rsid w:val="00BC1DA2"/>
    <w:rsid w:val="00BC5254"/>
    <w:rsid w:val="00BE5A85"/>
    <w:rsid w:val="00BF3D09"/>
    <w:rsid w:val="00BF4E6A"/>
    <w:rsid w:val="00BF5718"/>
    <w:rsid w:val="00C13474"/>
    <w:rsid w:val="00C3106E"/>
    <w:rsid w:val="00C60609"/>
    <w:rsid w:val="00C95CC1"/>
    <w:rsid w:val="00C97670"/>
    <w:rsid w:val="00CA0192"/>
    <w:rsid w:val="00CA3F44"/>
    <w:rsid w:val="00CB03ED"/>
    <w:rsid w:val="00CC28C0"/>
    <w:rsid w:val="00CD4F2A"/>
    <w:rsid w:val="00CE212D"/>
    <w:rsid w:val="00CE4B38"/>
    <w:rsid w:val="00D1321A"/>
    <w:rsid w:val="00D27CD6"/>
    <w:rsid w:val="00D30ADF"/>
    <w:rsid w:val="00D33CF8"/>
    <w:rsid w:val="00D342C1"/>
    <w:rsid w:val="00D6315E"/>
    <w:rsid w:val="00D652C2"/>
    <w:rsid w:val="00D74EE2"/>
    <w:rsid w:val="00D83E19"/>
    <w:rsid w:val="00D86CAD"/>
    <w:rsid w:val="00DA00C9"/>
    <w:rsid w:val="00DB200E"/>
    <w:rsid w:val="00DB65F5"/>
    <w:rsid w:val="00DC5EED"/>
    <w:rsid w:val="00DF31CB"/>
    <w:rsid w:val="00DF613B"/>
    <w:rsid w:val="00E01C3E"/>
    <w:rsid w:val="00E13099"/>
    <w:rsid w:val="00E25E01"/>
    <w:rsid w:val="00E4339F"/>
    <w:rsid w:val="00E60B05"/>
    <w:rsid w:val="00E629EA"/>
    <w:rsid w:val="00E6777C"/>
    <w:rsid w:val="00E73AA1"/>
    <w:rsid w:val="00E82109"/>
    <w:rsid w:val="00EB05A3"/>
    <w:rsid w:val="00EC0C79"/>
    <w:rsid w:val="00ED38B7"/>
    <w:rsid w:val="00EE051D"/>
    <w:rsid w:val="00EF5208"/>
    <w:rsid w:val="00F0131A"/>
    <w:rsid w:val="00F14C17"/>
    <w:rsid w:val="00F17041"/>
    <w:rsid w:val="00F218CF"/>
    <w:rsid w:val="00F44937"/>
    <w:rsid w:val="00F61A47"/>
    <w:rsid w:val="00F84422"/>
    <w:rsid w:val="00F91B32"/>
    <w:rsid w:val="00F95455"/>
    <w:rsid w:val="00FA574D"/>
    <w:rsid w:val="00FC2588"/>
    <w:rsid w:val="00FE7AD9"/>
    <w:rsid w:val="01322275"/>
    <w:rsid w:val="01DC6F05"/>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61C2DFF"/>
    <w:rsid w:val="16373578"/>
    <w:rsid w:val="16D3336B"/>
    <w:rsid w:val="17200028"/>
    <w:rsid w:val="17806C36"/>
    <w:rsid w:val="17A74F62"/>
    <w:rsid w:val="17DE9B27"/>
    <w:rsid w:val="18A47774"/>
    <w:rsid w:val="1A8D28EB"/>
    <w:rsid w:val="1A9F2D78"/>
    <w:rsid w:val="1B2E6FD8"/>
    <w:rsid w:val="1B877D21"/>
    <w:rsid w:val="1C4319A9"/>
    <w:rsid w:val="1E443B4B"/>
    <w:rsid w:val="1E994F4A"/>
    <w:rsid w:val="1EAF0224"/>
    <w:rsid w:val="1EB9E855"/>
    <w:rsid w:val="1F2230A4"/>
    <w:rsid w:val="20210932"/>
    <w:rsid w:val="202448E0"/>
    <w:rsid w:val="20F614FE"/>
    <w:rsid w:val="21302EEA"/>
    <w:rsid w:val="22376FB5"/>
    <w:rsid w:val="23E152D7"/>
    <w:rsid w:val="23EE2489"/>
    <w:rsid w:val="255D43C8"/>
    <w:rsid w:val="26714EF8"/>
    <w:rsid w:val="26876BDD"/>
    <w:rsid w:val="2714632A"/>
    <w:rsid w:val="27541E73"/>
    <w:rsid w:val="27B0539E"/>
    <w:rsid w:val="29365CF8"/>
    <w:rsid w:val="299469B3"/>
    <w:rsid w:val="2A5CE9EF"/>
    <w:rsid w:val="2A805789"/>
    <w:rsid w:val="2ADC0D75"/>
    <w:rsid w:val="2B4A0E52"/>
    <w:rsid w:val="2BFF0982"/>
    <w:rsid w:val="2C975890"/>
    <w:rsid w:val="2DEF21BB"/>
    <w:rsid w:val="2E4A2F05"/>
    <w:rsid w:val="2ECC1061"/>
    <w:rsid w:val="2F7FC13B"/>
    <w:rsid w:val="2FA476AD"/>
    <w:rsid w:val="303F7540"/>
    <w:rsid w:val="31DD00BF"/>
    <w:rsid w:val="3293174C"/>
    <w:rsid w:val="32BB38D4"/>
    <w:rsid w:val="32C9376D"/>
    <w:rsid w:val="33780472"/>
    <w:rsid w:val="33AF0905"/>
    <w:rsid w:val="355932F4"/>
    <w:rsid w:val="35611882"/>
    <w:rsid w:val="36746FC3"/>
    <w:rsid w:val="368763AE"/>
    <w:rsid w:val="391A4F6F"/>
    <w:rsid w:val="395D59E7"/>
    <w:rsid w:val="39A93932"/>
    <w:rsid w:val="3A3FD185"/>
    <w:rsid w:val="3A915562"/>
    <w:rsid w:val="3B8D4765"/>
    <w:rsid w:val="3C000DBA"/>
    <w:rsid w:val="3DC045D3"/>
    <w:rsid w:val="3E504FFB"/>
    <w:rsid w:val="3E5908C8"/>
    <w:rsid w:val="3E615CD0"/>
    <w:rsid w:val="3E9C47F6"/>
    <w:rsid w:val="3EFBA08B"/>
    <w:rsid w:val="3F3FE474"/>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7604E"/>
    <w:rsid w:val="4BF67CDD"/>
    <w:rsid w:val="4BFC8749"/>
    <w:rsid w:val="4D173441"/>
    <w:rsid w:val="4D603DD6"/>
    <w:rsid w:val="4EBF010F"/>
    <w:rsid w:val="4F471EB0"/>
    <w:rsid w:val="51331326"/>
    <w:rsid w:val="51740A7F"/>
    <w:rsid w:val="51A5541E"/>
    <w:rsid w:val="51C96242"/>
    <w:rsid w:val="53906AE1"/>
    <w:rsid w:val="54F46F60"/>
    <w:rsid w:val="54F6BF5C"/>
    <w:rsid w:val="55A37BEA"/>
    <w:rsid w:val="56362CD2"/>
    <w:rsid w:val="5784687B"/>
    <w:rsid w:val="57846959"/>
    <w:rsid w:val="578E6A87"/>
    <w:rsid w:val="59FED008"/>
    <w:rsid w:val="5AC2203A"/>
    <w:rsid w:val="5BCD6B8F"/>
    <w:rsid w:val="5CBB3334"/>
    <w:rsid w:val="5D115FAF"/>
    <w:rsid w:val="5D5F01DB"/>
    <w:rsid w:val="5F5FD1DB"/>
    <w:rsid w:val="5F70F2EB"/>
    <w:rsid w:val="62811722"/>
    <w:rsid w:val="62E75A72"/>
    <w:rsid w:val="64571880"/>
    <w:rsid w:val="649125B6"/>
    <w:rsid w:val="652F4C1A"/>
    <w:rsid w:val="666D37F1"/>
    <w:rsid w:val="67087D8F"/>
    <w:rsid w:val="671F687E"/>
    <w:rsid w:val="67F415F8"/>
    <w:rsid w:val="682640D1"/>
    <w:rsid w:val="684B73E5"/>
    <w:rsid w:val="6A047A2A"/>
    <w:rsid w:val="6BFBD1CF"/>
    <w:rsid w:val="6CDC62C0"/>
    <w:rsid w:val="6EFB7548"/>
    <w:rsid w:val="6F0FAAD8"/>
    <w:rsid w:val="6F3831C3"/>
    <w:rsid w:val="6F8B71C1"/>
    <w:rsid w:val="6FDF3B01"/>
    <w:rsid w:val="6FE7CE42"/>
    <w:rsid w:val="6FEBB4B8"/>
    <w:rsid w:val="6FF7DCE2"/>
    <w:rsid w:val="70753482"/>
    <w:rsid w:val="707B522A"/>
    <w:rsid w:val="71DFF532"/>
    <w:rsid w:val="73194D05"/>
    <w:rsid w:val="73A83B0E"/>
    <w:rsid w:val="744D3EF9"/>
    <w:rsid w:val="74794411"/>
    <w:rsid w:val="75867C40"/>
    <w:rsid w:val="75B10B26"/>
    <w:rsid w:val="76432199"/>
    <w:rsid w:val="76F44829"/>
    <w:rsid w:val="77A267C0"/>
    <w:rsid w:val="77E74231"/>
    <w:rsid w:val="77EFC3C7"/>
    <w:rsid w:val="77FB785F"/>
    <w:rsid w:val="78882278"/>
    <w:rsid w:val="78B118A6"/>
    <w:rsid w:val="78FE791A"/>
    <w:rsid w:val="79135044"/>
    <w:rsid w:val="797B48AD"/>
    <w:rsid w:val="79FF35B8"/>
    <w:rsid w:val="7A3727EF"/>
    <w:rsid w:val="7A7D0F99"/>
    <w:rsid w:val="7AFE89AB"/>
    <w:rsid w:val="7D57FAB5"/>
    <w:rsid w:val="7DD3166B"/>
    <w:rsid w:val="7DEF70DC"/>
    <w:rsid w:val="7E4A0E7C"/>
    <w:rsid w:val="7E5F6980"/>
    <w:rsid w:val="7EBF459F"/>
    <w:rsid w:val="7EFA6282"/>
    <w:rsid w:val="7EFD449D"/>
    <w:rsid w:val="7FD24D67"/>
    <w:rsid w:val="7FE9C9CF"/>
    <w:rsid w:val="7FFA3CA5"/>
    <w:rsid w:val="7FFF059E"/>
    <w:rsid w:val="93EB5C10"/>
    <w:rsid w:val="972E3C95"/>
    <w:rsid w:val="97BBF89A"/>
    <w:rsid w:val="9BF2FBD4"/>
    <w:rsid w:val="AEADF238"/>
    <w:rsid w:val="BA9F9C10"/>
    <w:rsid w:val="BDFFE040"/>
    <w:rsid w:val="BECC2EFB"/>
    <w:rsid w:val="CD7F56C8"/>
    <w:rsid w:val="D6C9BC42"/>
    <w:rsid w:val="DEFBAAE0"/>
    <w:rsid w:val="DFFE4CD5"/>
    <w:rsid w:val="E5EF3326"/>
    <w:rsid w:val="E6FE34D7"/>
    <w:rsid w:val="E7530BF3"/>
    <w:rsid w:val="EB673E30"/>
    <w:rsid w:val="EE5B8499"/>
    <w:rsid w:val="EEFE551B"/>
    <w:rsid w:val="EFFD03B7"/>
    <w:rsid w:val="F8FD3C82"/>
    <w:rsid w:val="FB9F5601"/>
    <w:rsid w:val="FEBBB7D5"/>
    <w:rsid w:val="FF7E19C3"/>
    <w:rsid w:val="FF7F2084"/>
    <w:rsid w:val="FFAFEF27"/>
    <w:rsid w:val="FFBAC9B4"/>
    <w:rsid w:val="FFBB2C2F"/>
    <w:rsid w:val="FFCF0D2B"/>
    <w:rsid w:val="FFF3A716"/>
    <w:rsid w:val="FFF9E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 w:type="paragraph" w:customStyle="1" w:styleId="1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27</Pages>
  <Words>1754</Words>
  <Characters>10000</Characters>
  <Lines>83</Lines>
  <Paragraphs>23</Paragraphs>
  <TotalTime>53</TotalTime>
  <ScaleCrop>false</ScaleCrop>
  <LinksUpToDate>false</LinksUpToDate>
  <CharactersWithSpaces>11731</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2007-12-02T11:41:00Z</dcterms:created>
  <dc:creator>管理者</dc:creator>
  <cp:lastModifiedBy>huanghe</cp:lastModifiedBy>
  <cp:lastPrinted>2023-02-20T03:31:00Z</cp:lastPrinted>
  <dcterms:modified xsi:type="dcterms:W3CDTF">2023-05-22T08:29:37Z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A05EC09A33F3471A90034EF3CA8FE96A</vt:lpwstr>
  </property>
</Properties>
</file>