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bookmarkStart w:id="0" w:name="_GoBack"/>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许昌市普通教育教学研究室单位决算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二〇二二年九月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许昌市普通教育教学研究室概况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eastAsia="zh-CN"/>
        </w:rPr>
        <w:t>单位决算</w:t>
      </w:r>
      <w:r>
        <w:rPr>
          <w:rFonts w:hint="eastAsia" w:ascii="黑体" w:hAnsi="黑体" w:eastAsia="黑体" w:cs="黑体"/>
          <w:color w:val="auto"/>
          <w:sz w:val="32"/>
          <w:szCs w:val="32"/>
          <w:highlight w:val="none"/>
        </w:rPr>
        <w:t>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eastAsia="zh-CN"/>
        </w:rPr>
        <w:t>单位决算</w:t>
      </w:r>
      <w:r>
        <w:rPr>
          <w:rFonts w:hint="eastAsia" w:ascii="黑体" w:hAnsi="黑体" w:eastAsia="黑体" w:cs="黑体"/>
          <w:color w:val="auto"/>
          <w:sz w:val="32"/>
          <w:szCs w:val="32"/>
          <w:highlight w:val="none"/>
        </w:rPr>
        <w:t>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第一部分  许昌市普通教育教学研究室概况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eastAsia="zh-CN"/>
        </w:rPr>
        <w:t>单位</w:t>
      </w:r>
      <w:r>
        <w:rPr>
          <w:rFonts w:hint="eastAsia" w:ascii="黑体" w:hAnsi="黑体" w:eastAsia="黑体" w:cs="黑体"/>
          <w:bCs/>
          <w:color w:val="auto"/>
          <w:sz w:val="32"/>
          <w:szCs w:val="32"/>
          <w:highlight w:val="none"/>
        </w:rPr>
        <w:t>职责</w:t>
      </w:r>
    </w:p>
    <w:p>
      <w:pPr>
        <w:ind w:firstLine="640" w:firstLineChars="200"/>
        <w:rPr>
          <w:rFonts w:hint="eastAsia"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许昌市普通教育教学研究室是具有独立法人资格的正科级事业单位，属许昌市教育局直属二级机构，</w:t>
      </w:r>
      <w:r>
        <w:rPr>
          <w:rFonts w:hint="eastAsia" w:ascii="仿宋" w:hAnsi="仿宋" w:eastAsia="仿宋"/>
          <w:color w:val="auto"/>
          <w:sz w:val="32"/>
          <w:szCs w:val="28"/>
          <w:highlight w:val="none"/>
        </w:rPr>
        <w:t>1987年1月经许昌市机构编制委员会办公室批准成立</w:t>
      </w:r>
      <w:r>
        <w:rPr>
          <w:rFonts w:hint="eastAsia" w:ascii="仿宋" w:hAnsi="仿宋" w:eastAsia="仿宋" w:cs="宋体"/>
          <w:color w:val="auto"/>
          <w:kern w:val="0"/>
          <w:sz w:val="32"/>
          <w:szCs w:val="32"/>
          <w:highlight w:val="none"/>
        </w:rPr>
        <w:t>。根据</w:t>
      </w:r>
      <w:r>
        <w:rPr>
          <w:rFonts w:hint="eastAsia" w:ascii="仿宋" w:hAnsi="仿宋" w:eastAsia="仿宋"/>
          <w:color w:val="auto"/>
          <w:sz w:val="32"/>
          <w:szCs w:val="28"/>
          <w:highlight w:val="none"/>
        </w:rPr>
        <w:t>许编字【2012】100号文件，市编委批准教研室的主要职能是：研究教学理论、课程设置、教学内容、方法、评价等；总结推广教学经验，推动教学改革；组织基层教学研究活动；监控中小学的教师质量，组织教学质量评估和必须的统一命题测试；做好本地教育科研和教学研究课题项目的规划、立项、审定、鉴定工作；指导、管理教学学会各学科、学业研究会的工作；组织编写乡土教材和补充教材。</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ind w:firstLine="640" w:firstLineChars="200"/>
        <w:rPr>
          <w:rFonts w:hint="eastAsia"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许昌市普通教育教学研究室内设机构7个，包括：办公室、财务室、小学及学前教研部、初中教研部、高中教研部、中改及综评办公室和课题办公室。</w:t>
      </w:r>
    </w:p>
    <w:p>
      <w:pPr>
        <w:ind w:firstLine="640" w:firstLineChars="200"/>
        <w:rPr>
          <w:rFonts w:hint="eastAsia"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从决算单位构成看，许昌市普通教育教学研究室</w:t>
      </w:r>
      <w:r>
        <w:rPr>
          <w:rFonts w:hint="eastAsia" w:ascii="仿宋" w:hAnsi="仿宋" w:eastAsia="仿宋" w:cs="宋体"/>
          <w:color w:val="auto"/>
          <w:kern w:val="0"/>
          <w:sz w:val="32"/>
          <w:szCs w:val="32"/>
          <w:highlight w:val="none"/>
          <w:lang w:eastAsia="zh-CN"/>
        </w:rPr>
        <w:t>单位决算</w:t>
      </w:r>
      <w:r>
        <w:rPr>
          <w:rFonts w:hint="eastAsia" w:ascii="仿宋" w:hAnsi="仿宋" w:eastAsia="仿宋" w:cs="宋体"/>
          <w:color w:val="auto"/>
          <w:kern w:val="0"/>
          <w:sz w:val="32"/>
          <w:szCs w:val="32"/>
          <w:highlight w:val="none"/>
        </w:rPr>
        <w:t>包括：本级决算。</w:t>
      </w:r>
    </w:p>
    <w:p>
      <w:pPr>
        <w:ind w:firstLine="640" w:firstLineChars="200"/>
        <w:rPr>
          <w:rFonts w:hint="eastAsia"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纳入本</w:t>
      </w:r>
      <w:r>
        <w:rPr>
          <w:rFonts w:hint="eastAsia" w:ascii="仿宋" w:hAnsi="仿宋" w:eastAsia="仿宋" w:cs="宋体"/>
          <w:color w:val="auto"/>
          <w:kern w:val="0"/>
          <w:sz w:val="32"/>
          <w:szCs w:val="32"/>
          <w:highlight w:val="none"/>
          <w:lang w:eastAsia="zh-CN"/>
        </w:rPr>
        <w:t>单位</w:t>
      </w:r>
      <w:r>
        <w:rPr>
          <w:rFonts w:hint="eastAsia" w:ascii="仿宋" w:hAnsi="仿宋" w:eastAsia="仿宋" w:cs="宋体"/>
          <w:color w:val="auto"/>
          <w:kern w:val="0"/>
          <w:sz w:val="32"/>
          <w:szCs w:val="32"/>
          <w:highlight w:val="none"/>
        </w:rPr>
        <w:t>20</w:t>
      </w:r>
      <w:r>
        <w:rPr>
          <w:rFonts w:hint="default" w:ascii="仿宋" w:hAnsi="仿宋" w:eastAsia="仿宋" w:cs="宋体"/>
          <w:color w:val="auto"/>
          <w:kern w:val="0"/>
          <w:sz w:val="32"/>
          <w:szCs w:val="32"/>
          <w:highlight w:val="none"/>
          <w:lang w:val="en-US"/>
        </w:rPr>
        <w:t>21</w:t>
      </w:r>
      <w:r>
        <w:rPr>
          <w:rFonts w:hint="eastAsia" w:ascii="仿宋" w:hAnsi="仿宋" w:eastAsia="仿宋" w:cs="宋体"/>
          <w:color w:val="auto"/>
          <w:kern w:val="0"/>
          <w:sz w:val="32"/>
          <w:szCs w:val="32"/>
          <w:highlight w:val="none"/>
        </w:rPr>
        <w:t>年度</w:t>
      </w:r>
      <w:r>
        <w:rPr>
          <w:rFonts w:hint="eastAsia" w:ascii="仿宋" w:hAnsi="仿宋" w:eastAsia="仿宋" w:cs="宋体"/>
          <w:color w:val="auto"/>
          <w:kern w:val="0"/>
          <w:sz w:val="32"/>
          <w:szCs w:val="32"/>
          <w:highlight w:val="none"/>
          <w:lang w:eastAsia="zh-CN"/>
        </w:rPr>
        <w:t>单位决算</w:t>
      </w:r>
      <w:r>
        <w:rPr>
          <w:rFonts w:hint="eastAsia" w:ascii="仿宋" w:hAnsi="仿宋" w:eastAsia="仿宋" w:cs="宋体"/>
          <w:color w:val="auto"/>
          <w:kern w:val="0"/>
          <w:sz w:val="32"/>
          <w:szCs w:val="32"/>
          <w:highlight w:val="none"/>
        </w:rPr>
        <w:t>编制范围的单位共1个，具体是：</w:t>
      </w:r>
    </w:p>
    <w:p>
      <w:pPr>
        <w:ind w:firstLine="640" w:firstLineChars="200"/>
        <w:rPr>
          <w:rFonts w:hint="eastAsia"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1.许昌市普通教育教学研究室</w:t>
      </w:r>
    </w:p>
    <w:p>
      <w:pPr>
        <w:widowControl/>
        <w:ind w:firstLine="640" w:firstLineChars="200"/>
        <w:jc w:val="left"/>
        <w:rPr>
          <w:rFonts w:hint="eastAsia" w:ascii="仿宋_GB2312" w:hAnsi="仿宋_GB2312" w:eastAsia="仿宋_GB2312" w:cs="仿宋_GB2312"/>
          <w:color w:val="auto"/>
          <w:kern w:val="0"/>
          <w:sz w:val="32"/>
          <w:szCs w:val="32"/>
          <w:highlight w:val="none"/>
        </w:rPr>
      </w:pP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2021年度单位决算表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0" w:type="auto"/>
        <w:tblInd w:w="93" w:type="dxa"/>
        <w:tblLayout w:type="fixed"/>
        <w:tblCellMar>
          <w:top w:w="0" w:type="dxa"/>
          <w:left w:w="108" w:type="dxa"/>
          <w:bottom w:w="0" w:type="dxa"/>
          <w:right w:w="108" w:type="dxa"/>
        </w:tblCellMar>
      </w:tblPr>
      <w:tblGrid>
        <w:gridCol w:w="5043"/>
        <w:gridCol w:w="668"/>
        <w:gridCol w:w="980"/>
        <w:gridCol w:w="4730"/>
        <w:gridCol w:w="668"/>
        <w:gridCol w:w="2031"/>
      </w:tblGrid>
      <w:tr>
        <w:tblPrEx>
          <w:tblCellMar>
            <w:top w:w="0" w:type="dxa"/>
            <w:left w:w="108" w:type="dxa"/>
            <w:bottom w:w="0" w:type="dxa"/>
            <w:right w:w="108" w:type="dxa"/>
          </w:tblCellMar>
        </w:tblPrEx>
        <w:trPr>
          <w:trHeight w:val="390" w:hRule="atLeast"/>
        </w:trPr>
        <w:tc>
          <w:tcPr>
            <w:tcW w:w="14120" w:type="dxa"/>
            <w:gridSpan w:val="6"/>
            <w:tcBorders>
              <w:top w:val="nil"/>
              <w:left w:val="nil"/>
              <w:bottom w:val="nil"/>
              <w:right w:val="nil"/>
            </w:tcBorders>
            <w:shd w:val="clear" w:color="auto" w:fill="FFFFFF"/>
            <w:noWrap w:val="0"/>
            <w:vAlign w:val="bottom"/>
          </w:tcPr>
          <w:p>
            <w:pPr>
              <w:jc w:val="center"/>
              <w:rPr>
                <w:rFonts w:ascii="宋体" w:hAnsi="宋体" w:cs="Arial"/>
                <w:color w:val="auto"/>
                <w:sz w:val="30"/>
                <w:szCs w:val="30"/>
                <w:highlight w:val="none"/>
              </w:rPr>
            </w:pPr>
            <w:r>
              <w:rPr>
                <w:rFonts w:hint="eastAsia" w:cs="Arial"/>
                <w:color w:val="auto"/>
                <w:sz w:val="30"/>
                <w:szCs w:val="30"/>
                <w:highlight w:val="none"/>
              </w:rPr>
              <w:t>收入支出决算总表</w:t>
            </w:r>
          </w:p>
        </w:tc>
      </w:tr>
      <w:tr>
        <w:tblPrEx>
          <w:tblCellMar>
            <w:top w:w="0" w:type="dxa"/>
            <w:left w:w="108" w:type="dxa"/>
            <w:bottom w:w="0" w:type="dxa"/>
            <w:right w:w="108" w:type="dxa"/>
          </w:tblCellMar>
        </w:tblPrEx>
        <w:trPr>
          <w:trHeight w:val="255" w:hRule="atLeast"/>
        </w:trPr>
        <w:tc>
          <w:tcPr>
            <w:tcW w:w="5043" w:type="dxa"/>
            <w:tcBorders>
              <w:top w:val="nil"/>
              <w:left w:val="nil"/>
              <w:bottom w:val="nil"/>
              <w:right w:val="nil"/>
            </w:tcBorders>
            <w:shd w:val="clear" w:color="auto" w:fill="FFFFFF"/>
            <w:noWrap w:val="0"/>
            <w:vAlign w:val="bottom"/>
          </w:tcPr>
          <w:p>
            <w:pPr>
              <w:rPr>
                <w:rFonts w:ascii="Arial" w:hAnsi="Arial" w:cs="Arial"/>
                <w:color w:val="auto"/>
                <w:sz w:val="20"/>
                <w:szCs w:val="20"/>
                <w:highlight w:val="none"/>
              </w:rPr>
            </w:pPr>
          </w:p>
        </w:tc>
        <w:tc>
          <w:tcPr>
            <w:tcW w:w="668" w:type="dxa"/>
            <w:tcBorders>
              <w:top w:val="nil"/>
              <w:left w:val="nil"/>
              <w:bottom w:val="nil"/>
              <w:right w:val="nil"/>
            </w:tcBorders>
            <w:shd w:val="clear" w:color="auto" w:fill="FFFFFF"/>
            <w:noWrap w:val="0"/>
            <w:vAlign w:val="bottom"/>
          </w:tcPr>
          <w:p>
            <w:pPr>
              <w:rPr>
                <w:rFonts w:ascii="Arial" w:hAnsi="Arial" w:cs="Arial"/>
                <w:color w:val="auto"/>
                <w:sz w:val="20"/>
                <w:szCs w:val="20"/>
                <w:highlight w:val="none"/>
              </w:rPr>
            </w:pPr>
          </w:p>
        </w:tc>
        <w:tc>
          <w:tcPr>
            <w:tcW w:w="980" w:type="dxa"/>
            <w:tcBorders>
              <w:top w:val="nil"/>
              <w:left w:val="nil"/>
              <w:bottom w:val="nil"/>
              <w:right w:val="nil"/>
            </w:tcBorders>
            <w:shd w:val="clear" w:color="auto" w:fill="FFFFFF"/>
            <w:noWrap w:val="0"/>
            <w:vAlign w:val="bottom"/>
          </w:tcPr>
          <w:p>
            <w:pPr>
              <w:rPr>
                <w:rFonts w:ascii="Arial" w:hAnsi="Arial" w:cs="Arial"/>
                <w:color w:val="auto"/>
                <w:sz w:val="20"/>
                <w:szCs w:val="20"/>
                <w:highlight w:val="none"/>
              </w:rPr>
            </w:pPr>
          </w:p>
        </w:tc>
        <w:tc>
          <w:tcPr>
            <w:tcW w:w="4730" w:type="dxa"/>
            <w:tcBorders>
              <w:top w:val="nil"/>
              <w:left w:val="nil"/>
              <w:bottom w:val="nil"/>
              <w:right w:val="nil"/>
            </w:tcBorders>
            <w:shd w:val="clear" w:color="auto" w:fill="FFFFFF"/>
            <w:noWrap w:val="0"/>
            <w:vAlign w:val="bottom"/>
          </w:tcPr>
          <w:p>
            <w:pPr>
              <w:rPr>
                <w:rFonts w:ascii="Arial" w:hAnsi="Arial" w:cs="Arial"/>
                <w:color w:val="auto"/>
                <w:sz w:val="20"/>
                <w:szCs w:val="20"/>
                <w:highlight w:val="none"/>
              </w:rPr>
            </w:pPr>
          </w:p>
        </w:tc>
        <w:tc>
          <w:tcPr>
            <w:tcW w:w="668" w:type="dxa"/>
            <w:tcBorders>
              <w:top w:val="nil"/>
              <w:left w:val="nil"/>
              <w:bottom w:val="nil"/>
              <w:right w:val="nil"/>
            </w:tcBorders>
            <w:shd w:val="clear" w:color="auto" w:fill="FFFFFF"/>
            <w:noWrap w:val="0"/>
            <w:vAlign w:val="bottom"/>
          </w:tcPr>
          <w:p>
            <w:pPr>
              <w:rPr>
                <w:rFonts w:ascii="Arial" w:hAnsi="Arial" w:cs="Arial"/>
                <w:color w:val="auto"/>
                <w:sz w:val="20"/>
                <w:szCs w:val="20"/>
                <w:highlight w:val="none"/>
              </w:rPr>
            </w:pPr>
          </w:p>
        </w:tc>
        <w:tc>
          <w:tcPr>
            <w:tcW w:w="2031" w:type="dxa"/>
            <w:tcBorders>
              <w:top w:val="nil"/>
              <w:left w:val="nil"/>
              <w:bottom w:val="nil"/>
              <w:right w:val="nil"/>
            </w:tcBorders>
            <w:shd w:val="clear" w:color="auto" w:fill="FFFFFF"/>
            <w:noWrap w:val="0"/>
            <w:vAlign w:val="bottom"/>
          </w:tcPr>
          <w:p>
            <w:pPr>
              <w:jc w:val="right"/>
              <w:rPr>
                <w:rFonts w:ascii="宋体" w:hAnsi="宋体" w:cs="Arial"/>
                <w:color w:val="auto"/>
                <w:sz w:val="20"/>
                <w:szCs w:val="20"/>
                <w:highlight w:val="none"/>
              </w:rPr>
            </w:pPr>
            <w:r>
              <w:rPr>
                <w:rFonts w:hint="eastAsia" w:cs="Arial"/>
                <w:color w:val="auto"/>
                <w:sz w:val="20"/>
                <w:szCs w:val="20"/>
                <w:highlight w:val="none"/>
              </w:rPr>
              <w:t>公开01表</w:t>
            </w:r>
          </w:p>
        </w:tc>
      </w:tr>
      <w:tr>
        <w:tblPrEx>
          <w:tblCellMar>
            <w:top w:w="0" w:type="dxa"/>
            <w:left w:w="108" w:type="dxa"/>
            <w:bottom w:w="0" w:type="dxa"/>
            <w:right w:w="108" w:type="dxa"/>
          </w:tblCellMar>
        </w:tblPrEx>
        <w:trPr>
          <w:trHeight w:val="255" w:hRule="atLeast"/>
        </w:trPr>
        <w:tc>
          <w:tcPr>
            <w:tcW w:w="5043" w:type="dxa"/>
            <w:tcBorders>
              <w:top w:val="nil"/>
              <w:left w:val="nil"/>
              <w:bottom w:val="nil"/>
              <w:right w:val="nil"/>
            </w:tcBorders>
            <w:shd w:val="clear" w:color="auto" w:fill="FFFFFF"/>
            <w:noWrap w:val="0"/>
            <w:vAlign w:val="bottom"/>
          </w:tcPr>
          <w:p>
            <w:pPr>
              <w:rPr>
                <w:rFonts w:ascii="宋体" w:hAnsi="宋体" w:cs="Arial"/>
                <w:color w:val="auto"/>
                <w:sz w:val="20"/>
                <w:szCs w:val="20"/>
                <w:highlight w:val="none"/>
              </w:rPr>
            </w:pPr>
            <w:r>
              <w:rPr>
                <w:rFonts w:hint="eastAsia" w:cs="Arial"/>
                <w:color w:val="auto"/>
                <w:sz w:val="20"/>
                <w:szCs w:val="20"/>
                <w:highlight w:val="none"/>
                <w:lang w:eastAsia="zh-CN"/>
              </w:rPr>
              <w:t>单位</w:t>
            </w:r>
            <w:r>
              <w:rPr>
                <w:rFonts w:hint="eastAsia" w:cs="Arial"/>
                <w:color w:val="auto"/>
                <w:sz w:val="20"/>
                <w:szCs w:val="20"/>
                <w:highlight w:val="none"/>
              </w:rPr>
              <w:t>：许昌市普通教育教学研究室</w:t>
            </w:r>
          </w:p>
        </w:tc>
        <w:tc>
          <w:tcPr>
            <w:tcW w:w="668" w:type="dxa"/>
            <w:tcBorders>
              <w:top w:val="nil"/>
              <w:left w:val="nil"/>
              <w:bottom w:val="nil"/>
              <w:right w:val="nil"/>
            </w:tcBorders>
            <w:shd w:val="clear" w:color="auto" w:fill="FFFFFF"/>
            <w:noWrap w:val="0"/>
            <w:vAlign w:val="bottom"/>
          </w:tcPr>
          <w:p>
            <w:pPr>
              <w:rPr>
                <w:rFonts w:ascii="Arial" w:hAnsi="Arial" w:cs="Arial"/>
                <w:color w:val="auto"/>
                <w:sz w:val="20"/>
                <w:szCs w:val="20"/>
                <w:highlight w:val="none"/>
              </w:rPr>
            </w:pPr>
          </w:p>
        </w:tc>
        <w:tc>
          <w:tcPr>
            <w:tcW w:w="980" w:type="dxa"/>
            <w:tcBorders>
              <w:top w:val="nil"/>
              <w:left w:val="nil"/>
              <w:bottom w:val="nil"/>
              <w:right w:val="nil"/>
            </w:tcBorders>
            <w:shd w:val="clear" w:color="auto" w:fill="FFFFFF"/>
            <w:noWrap w:val="0"/>
            <w:vAlign w:val="bottom"/>
          </w:tcPr>
          <w:p>
            <w:pPr>
              <w:rPr>
                <w:rFonts w:ascii="Arial" w:hAnsi="Arial" w:cs="Arial"/>
                <w:color w:val="auto"/>
                <w:sz w:val="20"/>
                <w:szCs w:val="20"/>
                <w:highlight w:val="none"/>
              </w:rPr>
            </w:pPr>
          </w:p>
        </w:tc>
        <w:tc>
          <w:tcPr>
            <w:tcW w:w="4730" w:type="dxa"/>
            <w:tcBorders>
              <w:top w:val="nil"/>
              <w:left w:val="nil"/>
              <w:bottom w:val="nil"/>
              <w:right w:val="nil"/>
            </w:tcBorders>
            <w:shd w:val="clear" w:color="auto" w:fill="FFFFFF"/>
            <w:noWrap w:val="0"/>
            <w:vAlign w:val="bottom"/>
          </w:tcPr>
          <w:p>
            <w:pPr>
              <w:rPr>
                <w:rFonts w:ascii="Arial" w:hAnsi="Arial" w:cs="Arial"/>
                <w:color w:val="auto"/>
                <w:sz w:val="20"/>
                <w:szCs w:val="20"/>
                <w:highlight w:val="none"/>
              </w:rPr>
            </w:pPr>
          </w:p>
        </w:tc>
        <w:tc>
          <w:tcPr>
            <w:tcW w:w="668" w:type="dxa"/>
            <w:tcBorders>
              <w:top w:val="nil"/>
              <w:left w:val="nil"/>
              <w:bottom w:val="nil"/>
              <w:right w:val="nil"/>
            </w:tcBorders>
            <w:shd w:val="clear" w:color="auto" w:fill="FFFFFF"/>
            <w:noWrap w:val="0"/>
            <w:vAlign w:val="bottom"/>
          </w:tcPr>
          <w:p>
            <w:pPr>
              <w:rPr>
                <w:rFonts w:ascii="Arial" w:hAnsi="Arial" w:cs="Arial"/>
                <w:color w:val="auto"/>
                <w:sz w:val="20"/>
                <w:szCs w:val="20"/>
                <w:highlight w:val="none"/>
              </w:rPr>
            </w:pPr>
          </w:p>
        </w:tc>
        <w:tc>
          <w:tcPr>
            <w:tcW w:w="2031" w:type="dxa"/>
            <w:tcBorders>
              <w:top w:val="nil"/>
              <w:left w:val="nil"/>
              <w:bottom w:val="nil"/>
              <w:right w:val="nil"/>
            </w:tcBorders>
            <w:shd w:val="clear" w:color="auto" w:fill="FFFFFF"/>
            <w:noWrap w:val="0"/>
            <w:vAlign w:val="bottom"/>
          </w:tcPr>
          <w:p>
            <w:pPr>
              <w:jc w:val="right"/>
              <w:rPr>
                <w:rFonts w:ascii="宋体" w:hAnsi="宋体" w:cs="Arial"/>
                <w:color w:val="auto"/>
                <w:sz w:val="20"/>
                <w:szCs w:val="20"/>
                <w:highlight w:val="none"/>
              </w:rPr>
            </w:pPr>
            <w:r>
              <w:rPr>
                <w:rFonts w:hint="eastAsia" w:cs="Arial"/>
                <w:color w:val="auto"/>
                <w:sz w:val="20"/>
                <w:szCs w:val="20"/>
                <w:highlight w:val="none"/>
              </w:rPr>
              <w:t>金额单位：万元</w:t>
            </w:r>
          </w:p>
        </w:tc>
      </w:tr>
      <w:tr>
        <w:tblPrEx>
          <w:tblCellMar>
            <w:top w:w="0" w:type="dxa"/>
            <w:left w:w="108" w:type="dxa"/>
            <w:bottom w:w="0" w:type="dxa"/>
            <w:right w:w="108" w:type="dxa"/>
          </w:tblCellMar>
        </w:tblPrEx>
        <w:trPr>
          <w:trHeight w:val="308" w:hRule="atLeast"/>
        </w:trPr>
        <w:tc>
          <w:tcPr>
            <w:tcW w:w="6691"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收入</w:t>
            </w:r>
          </w:p>
        </w:tc>
        <w:tc>
          <w:tcPr>
            <w:tcW w:w="7429" w:type="dxa"/>
            <w:gridSpan w:val="3"/>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支出</w:t>
            </w:r>
          </w:p>
        </w:tc>
      </w:tr>
      <w:tr>
        <w:tblPrEx>
          <w:tblCellMar>
            <w:top w:w="0" w:type="dxa"/>
            <w:left w:w="108" w:type="dxa"/>
            <w:bottom w:w="0" w:type="dxa"/>
            <w:right w:w="108" w:type="dxa"/>
          </w:tblCellMar>
        </w:tblPrEx>
        <w:trPr>
          <w:trHeight w:val="308" w:hRule="atLeast"/>
        </w:trPr>
        <w:tc>
          <w:tcPr>
            <w:tcW w:w="5043" w:type="dxa"/>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项目</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行次</w:t>
            </w:r>
          </w:p>
        </w:tc>
        <w:tc>
          <w:tcPr>
            <w:tcW w:w="980"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金额</w:t>
            </w:r>
          </w:p>
        </w:tc>
        <w:tc>
          <w:tcPr>
            <w:tcW w:w="4730"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项目</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行次</w:t>
            </w:r>
          </w:p>
        </w:tc>
        <w:tc>
          <w:tcPr>
            <w:tcW w:w="2031"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金额</w:t>
            </w:r>
          </w:p>
        </w:tc>
      </w:tr>
      <w:tr>
        <w:tblPrEx>
          <w:tblCellMar>
            <w:top w:w="0" w:type="dxa"/>
            <w:left w:w="108" w:type="dxa"/>
            <w:bottom w:w="0" w:type="dxa"/>
            <w:right w:w="108" w:type="dxa"/>
          </w:tblCellMar>
        </w:tblPrEx>
        <w:trPr>
          <w:trHeight w:val="308" w:hRule="atLeast"/>
        </w:trPr>
        <w:tc>
          <w:tcPr>
            <w:tcW w:w="5043" w:type="dxa"/>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栏次</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　</w:t>
            </w:r>
          </w:p>
        </w:tc>
        <w:tc>
          <w:tcPr>
            <w:tcW w:w="980"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1</w:t>
            </w:r>
          </w:p>
        </w:tc>
        <w:tc>
          <w:tcPr>
            <w:tcW w:w="4730"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栏次</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　</w:t>
            </w:r>
          </w:p>
        </w:tc>
        <w:tc>
          <w:tcPr>
            <w:tcW w:w="2031"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2</w:t>
            </w:r>
          </w:p>
        </w:tc>
      </w:tr>
      <w:tr>
        <w:tblPrEx>
          <w:tblCellMar>
            <w:top w:w="0" w:type="dxa"/>
            <w:left w:w="108" w:type="dxa"/>
            <w:bottom w:w="0" w:type="dxa"/>
            <w:right w:w="108" w:type="dxa"/>
          </w:tblCellMar>
        </w:tblPrEx>
        <w:trPr>
          <w:trHeight w:val="308" w:hRule="atLeast"/>
        </w:trPr>
        <w:tc>
          <w:tcPr>
            <w:tcW w:w="5043"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一、一般公共预算财政拨款收入</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1</w:t>
            </w:r>
          </w:p>
        </w:tc>
        <w:tc>
          <w:tcPr>
            <w:tcW w:w="980"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523.76</w:t>
            </w:r>
          </w:p>
        </w:tc>
        <w:tc>
          <w:tcPr>
            <w:tcW w:w="47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一、一般公共服务支出</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32</w:t>
            </w:r>
          </w:p>
        </w:tc>
        <w:tc>
          <w:tcPr>
            <w:tcW w:w="2031"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2.78</w:t>
            </w:r>
          </w:p>
        </w:tc>
      </w:tr>
      <w:tr>
        <w:tblPrEx>
          <w:tblCellMar>
            <w:top w:w="0" w:type="dxa"/>
            <w:left w:w="108" w:type="dxa"/>
            <w:bottom w:w="0" w:type="dxa"/>
            <w:right w:w="108" w:type="dxa"/>
          </w:tblCellMar>
        </w:tblPrEx>
        <w:trPr>
          <w:trHeight w:val="308" w:hRule="atLeast"/>
        </w:trPr>
        <w:tc>
          <w:tcPr>
            <w:tcW w:w="5043"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二、政府性基金预算财政拨款收入</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2</w:t>
            </w:r>
          </w:p>
        </w:tc>
        <w:tc>
          <w:tcPr>
            <w:tcW w:w="980"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47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二、外交支出</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33</w:t>
            </w:r>
          </w:p>
        </w:tc>
        <w:tc>
          <w:tcPr>
            <w:tcW w:w="2031"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043"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三、国有资本经营预算财政拨款收入</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3</w:t>
            </w:r>
          </w:p>
        </w:tc>
        <w:tc>
          <w:tcPr>
            <w:tcW w:w="980"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47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三、国防支出</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34</w:t>
            </w:r>
          </w:p>
        </w:tc>
        <w:tc>
          <w:tcPr>
            <w:tcW w:w="2031"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043"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四、上级补助收入</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4</w:t>
            </w:r>
          </w:p>
        </w:tc>
        <w:tc>
          <w:tcPr>
            <w:tcW w:w="980"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47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四、公共安全支出</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35</w:t>
            </w:r>
          </w:p>
        </w:tc>
        <w:tc>
          <w:tcPr>
            <w:tcW w:w="2031"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043"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五、事业收入</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5</w:t>
            </w:r>
          </w:p>
        </w:tc>
        <w:tc>
          <w:tcPr>
            <w:tcW w:w="980"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47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五、教育支出</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36</w:t>
            </w:r>
          </w:p>
        </w:tc>
        <w:tc>
          <w:tcPr>
            <w:tcW w:w="2031"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406.93</w:t>
            </w:r>
          </w:p>
        </w:tc>
      </w:tr>
      <w:tr>
        <w:tblPrEx>
          <w:tblCellMar>
            <w:top w:w="0" w:type="dxa"/>
            <w:left w:w="108" w:type="dxa"/>
            <w:bottom w:w="0" w:type="dxa"/>
            <w:right w:w="108" w:type="dxa"/>
          </w:tblCellMar>
        </w:tblPrEx>
        <w:trPr>
          <w:trHeight w:val="308" w:hRule="atLeast"/>
        </w:trPr>
        <w:tc>
          <w:tcPr>
            <w:tcW w:w="5043"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六、经营收入</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6</w:t>
            </w:r>
          </w:p>
        </w:tc>
        <w:tc>
          <w:tcPr>
            <w:tcW w:w="980"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47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六、科学技术支出</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37</w:t>
            </w:r>
          </w:p>
        </w:tc>
        <w:tc>
          <w:tcPr>
            <w:tcW w:w="2031"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043"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七、附属单位上缴收入</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7</w:t>
            </w:r>
          </w:p>
        </w:tc>
        <w:tc>
          <w:tcPr>
            <w:tcW w:w="980"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47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七、文化旅游体育与传媒支出</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38</w:t>
            </w:r>
          </w:p>
        </w:tc>
        <w:tc>
          <w:tcPr>
            <w:tcW w:w="2031"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043"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八、其他收入</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8</w:t>
            </w:r>
          </w:p>
        </w:tc>
        <w:tc>
          <w:tcPr>
            <w:tcW w:w="980"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2.09</w:t>
            </w:r>
          </w:p>
        </w:tc>
        <w:tc>
          <w:tcPr>
            <w:tcW w:w="47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八、社会保障和就业支出</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39</w:t>
            </w:r>
          </w:p>
        </w:tc>
        <w:tc>
          <w:tcPr>
            <w:tcW w:w="2031"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121.93</w:t>
            </w:r>
          </w:p>
        </w:tc>
      </w:tr>
      <w:tr>
        <w:tblPrEx>
          <w:tblCellMar>
            <w:top w:w="0" w:type="dxa"/>
            <w:left w:w="108" w:type="dxa"/>
            <w:bottom w:w="0" w:type="dxa"/>
            <w:right w:w="108" w:type="dxa"/>
          </w:tblCellMar>
        </w:tblPrEx>
        <w:trPr>
          <w:trHeight w:val="308" w:hRule="atLeast"/>
        </w:trPr>
        <w:tc>
          <w:tcPr>
            <w:tcW w:w="5043"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9</w:t>
            </w:r>
          </w:p>
        </w:tc>
        <w:tc>
          <w:tcPr>
            <w:tcW w:w="980"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47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九、卫生健康支出</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40</w:t>
            </w:r>
          </w:p>
        </w:tc>
        <w:tc>
          <w:tcPr>
            <w:tcW w:w="2031"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16.31</w:t>
            </w:r>
          </w:p>
        </w:tc>
      </w:tr>
      <w:tr>
        <w:tblPrEx>
          <w:tblCellMar>
            <w:top w:w="0" w:type="dxa"/>
            <w:left w:w="108" w:type="dxa"/>
            <w:bottom w:w="0" w:type="dxa"/>
            <w:right w:w="108" w:type="dxa"/>
          </w:tblCellMar>
        </w:tblPrEx>
        <w:trPr>
          <w:trHeight w:val="308" w:hRule="atLeast"/>
        </w:trPr>
        <w:tc>
          <w:tcPr>
            <w:tcW w:w="5043"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10</w:t>
            </w:r>
          </w:p>
        </w:tc>
        <w:tc>
          <w:tcPr>
            <w:tcW w:w="980"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47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十、节能环保支出</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41</w:t>
            </w:r>
          </w:p>
        </w:tc>
        <w:tc>
          <w:tcPr>
            <w:tcW w:w="2031"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043"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11</w:t>
            </w:r>
          </w:p>
        </w:tc>
        <w:tc>
          <w:tcPr>
            <w:tcW w:w="980"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47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十一、城乡社区支出</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42</w:t>
            </w:r>
          </w:p>
        </w:tc>
        <w:tc>
          <w:tcPr>
            <w:tcW w:w="2031"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043"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12</w:t>
            </w:r>
          </w:p>
        </w:tc>
        <w:tc>
          <w:tcPr>
            <w:tcW w:w="980"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47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十二、农林水支出</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43</w:t>
            </w:r>
          </w:p>
        </w:tc>
        <w:tc>
          <w:tcPr>
            <w:tcW w:w="2031"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043"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13</w:t>
            </w:r>
          </w:p>
        </w:tc>
        <w:tc>
          <w:tcPr>
            <w:tcW w:w="980"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47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十三、交通运输支出</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44</w:t>
            </w:r>
          </w:p>
        </w:tc>
        <w:tc>
          <w:tcPr>
            <w:tcW w:w="2031"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043"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14</w:t>
            </w:r>
          </w:p>
        </w:tc>
        <w:tc>
          <w:tcPr>
            <w:tcW w:w="980"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47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十四、资源勘探工业信息等支出</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45</w:t>
            </w:r>
          </w:p>
        </w:tc>
        <w:tc>
          <w:tcPr>
            <w:tcW w:w="2031"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043"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15</w:t>
            </w:r>
          </w:p>
        </w:tc>
        <w:tc>
          <w:tcPr>
            <w:tcW w:w="980"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47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十五、商业服务业等支出</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46</w:t>
            </w:r>
          </w:p>
        </w:tc>
        <w:tc>
          <w:tcPr>
            <w:tcW w:w="2031"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043"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16</w:t>
            </w:r>
          </w:p>
        </w:tc>
        <w:tc>
          <w:tcPr>
            <w:tcW w:w="980"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47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十六、金融支出</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47</w:t>
            </w:r>
          </w:p>
        </w:tc>
        <w:tc>
          <w:tcPr>
            <w:tcW w:w="2031"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043"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17</w:t>
            </w:r>
          </w:p>
        </w:tc>
        <w:tc>
          <w:tcPr>
            <w:tcW w:w="980"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47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十七、援助其他地区支出</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48</w:t>
            </w:r>
          </w:p>
        </w:tc>
        <w:tc>
          <w:tcPr>
            <w:tcW w:w="2031"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043"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18</w:t>
            </w:r>
          </w:p>
        </w:tc>
        <w:tc>
          <w:tcPr>
            <w:tcW w:w="980"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47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十八、自然资源海洋气象等支出</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49</w:t>
            </w:r>
          </w:p>
        </w:tc>
        <w:tc>
          <w:tcPr>
            <w:tcW w:w="2031"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043"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19</w:t>
            </w:r>
          </w:p>
        </w:tc>
        <w:tc>
          <w:tcPr>
            <w:tcW w:w="980"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47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十九、住房保障支出</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50</w:t>
            </w:r>
          </w:p>
        </w:tc>
        <w:tc>
          <w:tcPr>
            <w:tcW w:w="2031"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043"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20</w:t>
            </w:r>
          </w:p>
        </w:tc>
        <w:tc>
          <w:tcPr>
            <w:tcW w:w="980"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47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二十、粮油物资储备支出</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51</w:t>
            </w:r>
          </w:p>
        </w:tc>
        <w:tc>
          <w:tcPr>
            <w:tcW w:w="2031"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043"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21</w:t>
            </w:r>
          </w:p>
        </w:tc>
        <w:tc>
          <w:tcPr>
            <w:tcW w:w="980"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47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二十一、国有资本经营预算支出</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52</w:t>
            </w:r>
          </w:p>
        </w:tc>
        <w:tc>
          <w:tcPr>
            <w:tcW w:w="2031"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043"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22</w:t>
            </w:r>
          </w:p>
        </w:tc>
        <w:tc>
          <w:tcPr>
            <w:tcW w:w="980"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47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二十二、灾害防治及应急管理支出</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53</w:t>
            </w:r>
          </w:p>
        </w:tc>
        <w:tc>
          <w:tcPr>
            <w:tcW w:w="2031"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043"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23</w:t>
            </w:r>
          </w:p>
        </w:tc>
        <w:tc>
          <w:tcPr>
            <w:tcW w:w="980"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47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二十三、其他支出</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54</w:t>
            </w:r>
          </w:p>
        </w:tc>
        <w:tc>
          <w:tcPr>
            <w:tcW w:w="2031"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043" w:type="dxa"/>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Arial"/>
                <w:b/>
                <w:bCs/>
                <w:color w:val="auto"/>
                <w:sz w:val="20"/>
                <w:szCs w:val="20"/>
                <w:highlight w:val="none"/>
              </w:rPr>
            </w:pPr>
            <w:r>
              <w:rPr>
                <w:rFonts w:hint="eastAsia" w:cs="Arial"/>
                <w:b/>
                <w:bCs/>
                <w:color w:val="auto"/>
                <w:sz w:val="20"/>
                <w:szCs w:val="20"/>
                <w:highlight w:val="none"/>
              </w:rPr>
              <w:t>　</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0"/>
                <w:szCs w:val="20"/>
                <w:highlight w:val="none"/>
              </w:rPr>
            </w:pPr>
            <w:r>
              <w:rPr>
                <w:rFonts w:hint="eastAsia" w:cs="Arial"/>
                <w:color w:val="auto"/>
                <w:sz w:val="20"/>
                <w:szCs w:val="20"/>
                <w:highlight w:val="none"/>
              </w:rPr>
              <w:t>24</w:t>
            </w:r>
          </w:p>
        </w:tc>
        <w:tc>
          <w:tcPr>
            <w:tcW w:w="980"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0"/>
                <w:szCs w:val="20"/>
                <w:highlight w:val="none"/>
              </w:rPr>
            </w:pPr>
            <w:r>
              <w:rPr>
                <w:rFonts w:hint="eastAsia" w:cs="Arial"/>
                <w:color w:val="auto"/>
                <w:sz w:val="20"/>
                <w:szCs w:val="20"/>
                <w:highlight w:val="none"/>
              </w:rPr>
              <w:t>　</w:t>
            </w:r>
          </w:p>
        </w:tc>
        <w:tc>
          <w:tcPr>
            <w:tcW w:w="47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二十四、债务还本支出</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55</w:t>
            </w:r>
          </w:p>
        </w:tc>
        <w:tc>
          <w:tcPr>
            <w:tcW w:w="2031"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043"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0"/>
                <w:szCs w:val="20"/>
                <w:highlight w:val="none"/>
              </w:rPr>
            </w:pPr>
            <w:r>
              <w:rPr>
                <w:rFonts w:hint="eastAsia" w:cs="Arial"/>
                <w:color w:val="auto"/>
                <w:sz w:val="20"/>
                <w:szCs w:val="20"/>
                <w:highlight w:val="none"/>
              </w:rPr>
              <w:t>　</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0"/>
                <w:szCs w:val="20"/>
                <w:highlight w:val="none"/>
              </w:rPr>
            </w:pPr>
            <w:r>
              <w:rPr>
                <w:rFonts w:hint="eastAsia" w:cs="Arial"/>
                <w:color w:val="auto"/>
                <w:sz w:val="20"/>
                <w:szCs w:val="20"/>
                <w:highlight w:val="none"/>
              </w:rPr>
              <w:t>25</w:t>
            </w:r>
          </w:p>
        </w:tc>
        <w:tc>
          <w:tcPr>
            <w:tcW w:w="980"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0"/>
                <w:szCs w:val="20"/>
                <w:highlight w:val="none"/>
              </w:rPr>
            </w:pPr>
            <w:r>
              <w:rPr>
                <w:rFonts w:hint="eastAsia" w:cs="Arial"/>
                <w:color w:val="auto"/>
                <w:sz w:val="20"/>
                <w:szCs w:val="20"/>
                <w:highlight w:val="none"/>
              </w:rPr>
              <w:t>　</w:t>
            </w:r>
          </w:p>
        </w:tc>
        <w:tc>
          <w:tcPr>
            <w:tcW w:w="47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二十五、债务付息支出</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56</w:t>
            </w:r>
          </w:p>
        </w:tc>
        <w:tc>
          <w:tcPr>
            <w:tcW w:w="2031"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043"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0"/>
                <w:szCs w:val="20"/>
                <w:highlight w:val="none"/>
              </w:rPr>
            </w:pPr>
            <w:r>
              <w:rPr>
                <w:rFonts w:hint="eastAsia" w:cs="Arial"/>
                <w:color w:val="auto"/>
                <w:sz w:val="20"/>
                <w:szCs w:val="20"/>
                <w:highlight w:val="none"/>
              </w:rPr>
              <w:t>　</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0"/>
                <w:szCs w:val="20"/>
                <w:highlight w:val="none"/>
              </w:rPr>
            </w:pPr>
            <w:r>
              <w:rPr>
                <w:rFonts w:hint="eastAsia" w:cs="Arial"/>
                <w:color w:val="auto"/>
                <w:sz w:val="20"/>
                <w:szCs w:val="20"/>
                <w:highlight w:val="none"/>
              </w:rPr>
              <w:t>26</w:t>
            </w:r>
          </w:p>
        </w:tc>
        <w:tc>
          <w:tcPr>
            <w:tcW w:w="980"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0"/>
                <w:szCs w:val="20"/>
                <w:highlight w:val="none"/>
              </w:rPr>
            </w:pPr>
            <w:r>
              <w:rPr>
                <w:rFonts w:hint="eastAsia" w:cs="Arial"/>
                <w:color w:val="auto"/>
                <w:sz w:val="20"/>
                <w:szCs w:val="20"/>
                <w:highlight w:val="none"/>
              </w:rPr>
              <w:t>　</w:t>
            </w:r>
          </w:p>
        </w:tc>
        <w:tc>
          <w:tcPr>
            <w:tcW w:w="47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二十六、抗疫特别国债安排的支出</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57</w:t>
            </w:r>
          </w:p>
        </w:tc>
        <w:tc>
          <w:tcPr>
            <w:tcW w:w="2031"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043" w:type="dxa"/>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Arial"/>
                <w:b/>
                <w:bCs/>
                <w:color w:val="auto"/>
                <w:sz w:val="22"/>
                <w:highlight w:val="none"/>
              </w:rPr>
            </w:pPr>
            <w:r>
              <w:rPr>
                <w:rFonts w:hint="eastAsia" w:cs="Arial"/>
                <w:b/>
                <w:bCs/>
                <w:color w:val="auto"/>
                <w:sz w:val="22"/>
                <w:highlight w:val="none"/>
              </w:rPr>
              <w:t>本年收入合计</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27</w:t>
            </w:r>
          </w:p>
        </w:tc>
        <w:tc>
          <w:tcPr>
            <w:tcW w:w="980"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525.85</w:t>
            </w:r>
          </w:p>
        </w:tc>
        <w:tc>
          <w:tcPr>
            <w:tcW w:w="4730"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b/>
                <w:bCs/>
                <w:color w:val="auto"/>
                <w:sz w:val="22"/>
                <w:highlight w:val="none"/>
              </w:rPr>
            </w:pPr>
            <w:r>
              <w:rPr>
                <w:rFonts w:hint="eastAsia" w:cs="Arial"/>
                <w:b/>
                <w:bCs/>
                <w:color w:val="auto"/>
                <w:sz w:val="22"/>
                <w:highlight w:val="none"/>
              </w:rPr>
              <w:t>本年支出合计</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58</w:t>
            </w:r>
          </w:p>
        </w:tc>
        <w:tc>
          <w:tcPr>
            <w:tcW w:w="2031"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547.95</w:t>
            </w:r>
          </w:p>
        </w:tc>
      </w:tr>
      <w:tr>
        <w:tblPrEx>
          <w:tblCellMar>
            <w:top w:w="0" w:type="dxa"/>
            <w:left w:w="108" w:type="dxa"/>
            <w:bottom w:w="0" w:type="dxa"/>
            <w:right w:w="108" w:type="dxa"/>
          </w:tblCellMar>
        </w:tblPrEx>
        <w:trPr>
          <w:trHeight w:val="308" w:hRule="atLeast"/>
        </w:trPr>
        <w:tc>
          <w:tcPr>
            <w:tcW w:w="5043"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使用非财政拨款结余</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28</w:t>
            </w:r>
          </w:p>
        </w:tc>
        <w:tc>
          <w:tcPr>
            <w:tcW w:w="980"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47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结余分配</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59</w:t>
            </w:r>
          </w:p>
        </w:tc>
        <w:tc>
          <w:tcPr>
            <w:tcW w:w="2031"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043"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年初结转和结余</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29</w:t>
            </w:r>
          </w:p>
        </w:tc>
        <w:tc>
          <w:tcPr>
            <w:tcW w:w="980"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24.41</w:t>
            </w:r>
          </w:p>
        </w:tc>
        <w:tc>
          <w:tcPr>
            <w:tcW w:w="47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年末结转和结余</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60</w:t>
            </w:r>
          </w:p>
        </w:tc>
        <w:tc>
          <w:tcPr>
            <w:tcW w:w="2031"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2.31</w:t>
            </w:r>
          </w:p>
        </w:tc>
      </w:tr>
      <w:tr>
        <w:tblPrEx>
          <w:tblCellMar>
            <w:top w:w="0" w:type="dxa"/>
            <w:left w:w="108" w:type="dxa"/>
            <w:bottom w:w="0" w:type="dxa"/>
            <w:right w:w="108" w:type="dxa"/>
          </w:tblCellMar>
        </w:tblPrEx>
        <w:trPr>
          <w:trHeight w:val="308" w:hRule="atLeast"/>
        </w:trPr>
        <w:tc>
          <w:tcPr>
            <w:tcW w:w="5043"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30</w:t>
            </w:r>
          </w:p>
        </w:tc>
        <w:tc>
          <w:tcPr>
            <w:tcW w:w="980"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47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61</w:t>
            </w:r>
          </w:p>
        </w:tc>
        <w:tc>
          <w:tcPr>
            <w:tcW w:w="2031"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043" w:type="dxa"/>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Arial"/>
                <w:b/>
                <w:bCs/>
                <w:color w:val="auto"/>
                <w:sz w:val="22"/>
                <w:highlight w:val="none"/>
              </w:rPr>
            </w:pPr>
            <w:r>
              <w:rPr>
                <w:rFonts w:hint="eastAsia" w:cs="Arial"/>
                <w:b/>
                <w:bCs/>
                <w:color w:val="auto"/>
                <w:sz w:val="22"/>
                <w:highlight w:val="none"/>
              </w:rPr>
              <w:t>总计</w:t>
            </w:r>
          </w:p>
        </w:tc>
        <w:tc>
          <w:tcPr>
            <w:tcW w:w="668" w:type="dxa"/>
            <w:tcBorders>
              <w:top w:val="nil"/>
              <w:left w:val="nil"/>
              <w:bottom w:val="single" w:color="000000" w:sz="8"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31</w:t>
            </w:r>
          </w:p>
        </w:tc>
        <w:tc>
          <w:tcPr>
            <w:tcW w:w="980"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550.27</w:t>
            </w:r>
          </w:p>
        </w:tc>
        <w:tc>
          <w:tcPr>
            <w:tcW w:w="4730"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b/>
                <w:bCs/>
                <w:color w:val="auto"/>
                <w:sz w:val="22"/>
                <w:highlight w:val="none"/>
              </w:rPr>
            </w:pPr>
            <w:r>
              <w:rPr>
                <w:rFonts w:hint="eastAsia" w:cs="Arial"/>
                <w:b/>
                <w:bCs/>
                <w:color w:val="auto"/>
                <w:sz w:val="22"/>
                <w:highlight w:val="none"/>
              </w:rPr>
              <w:t>总计</w:t>
            </w:r>
          </w:p>
        </w:tc>
        <w:tc>
          <w:tcPr>
            <w:tcW w:w="668"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62</w:t>
            </w:r>
          </w:p>
        </w:tc>
        <w:tc>
          <w:tcPr>
            <w:tcW w:w="2031"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550.27</w:t>
            </w:r>
          </w:p>
        </w:tc>
      </w:tr>
      <w:tr>
        <w:tblPrEx>
          <w:tblCellMar>
            <w:top w:w="0" w:type="dxa"/>
            <w:left w:w="108" w:type="dxa"/>
            <w:bottom w:w="0" w:type="dxa"/>
            <w:right w:w="108" w:type="dxa"/>
          </w:tblCellMar>
        </w:tblPrEx>
        <w:trPr>
          <w:trHeight w:val="308" w:hRule="atLeast"/>
        </w:trPr>
        <w:tc>
          <w:tcPr>
            <w:tcW w:w="14120" w:type="dxa"/>
            <w:gridSpan w:val="6"/>
            <w:tcBorders>
              <w:top w:val="nil"/>
              <w:left w:val="nil"/>
              <w:bottom w:val="nil"/>
              <w:right w:val="nil"/>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注：本表反映</w:t>
            </w:r>
            <w:r>
              <w:rPr>
                <w:rFonts w:hint="eastAsia" w:cs="Arial"/>
                <w:color w:val="auto"/>
                <w:sz w:val="22"/>
                <w:highlight w:val="none"/>
                <w:lang w:eastAsia="zh-CN"/>
              </w:rPr>
              <w:t>单位</w:t>
            </w:r>
            <w:r>
              <w:rPr>
                <w:rFonts w:hint="eastAsia" w:cs="Arial"/>
                <w:color w:val="auto"/>
                <w:sz w:val="22"/>
                <w:highlight w:val="none"/>
              </w:rPr>
              <w:t>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108" w:type="dxa"/>
          <w:bottom w:w="0" w:type="dxa"/>
          <w:right w:w="108" w:type="dxa"/>
        </w:tblCellMar>
      </w:tblPr>
      <w:tblGrid>
        <w:gridCol w:w="400"/>
        <w:gridCol w:w="312"/>
        <w:gridCol w:w="275"/>
        <w:gridCol w:w="4138"/>
        <w:gridCol w:w="1369"/>
        <w:gridCol w:w="1372"/>
        <w:gridCol w:w="1120"/>
        <w:gridCol w:w="1120"/>
        <w:gridCol w:w="1131"/>
        <w:gridCol w:w="1140"/>
        <w:gridCol w:w="1797"/>
      </w:tblGrid>
      <w:tr>
        <w:tblPrEx>
          <w:tblCellMar>
            <w:top w:w="0" w:type="dxa"/>
            <w:left w:w="108" w:type="dxa"/>
            <w:bottom w:w="0" w:type="dxa"/>
            <w:right w:w="108" w:type="dxa"/>
          </w:tblCellMar>
        </w:tblPrEx>
        <w:trPr>
          <w:trHeight w:val="287" w:hRule="atLeast"/>
        </w:trPr>
        <w:tc>
          <w:tcPr>
            <w:tcW w:w="14174" w:type="dxa"/>
            <w:gridSpan w:val="11"/>
            <w:tcBorders>
              <w:top w:val="nil"/>
              <w:left w:val="nil"/>
              <w:bottom w:val="nil"/>
              <w:right w:val="nil"/>
            </w:tcBorders>
            <w:noWrap w:val="0"/>
            <w:vAlign w:val="bottom"/>
          </w:tcPr>
          <w:p>
            <w:pPr>
              <w:jc w:val="center"/>
              <w:rPr>
                <w:rFonts w:ascii="宋体" w:hAnsi="宋体" w:cs="Arial"/>
                <w:color w:val="auto"/>
                <w:sz w:val="30"/>
                <w:szCs w:val="30"/>
                <w:highlight w:val="none"/>
              </w:rPr>
            </w:pPr>
            <w:r>
              <w:rPr>
                <w:rFonts w:hint="eastAsia" w:cs="Arial"/>
                <w:color w:val="auto"/>
                <w:sz w:val="30"/>
                <w:szCs w:val="30"/>
                <w:highlight w:val="none"/>
              </w:rPr>
              <w:t>收入决算表</w:t>
            </w:r>
          </w:p>
        </w:tc>
      </w:tr>
      <w:tr>
        <w:tblPrEx>
          <w:tblCellMar>
            <w:top w:w="0" w:type="dxa"/>
            <w:left w:w="108" w:type="dxa"/>
            <w:bottom w:w="0" w:type="dxa"/>
            <w:right w:w="108" w:type="dxa"/>
          </w:tblCellMar>
        </w:tblPrEx>
        <w:trPr>
          <w:trHeight w:val="255" w:hRule="atLeast"/>
        </w:trPr>
        <w:tc>
          <w:tcPr>
            <w:tcW w:w="400" w:type="dxa"/>
            <w:tcBorders>
              <w:top w:val="nil"/>
              <w:left w:val="nil"/>
              <w:bottom w:val="nil"/>
              <w:right w:val="nil"/>
            </w:tcBorders>
            <w:noWrap w:val="0"/>
            <w:vAlign w:val="bottom"/>
          </w:tcPr>
          <w:p>
            <w:pPr>
              <w:rPr>
                <w:rFonts w:ascii="Arial" w:hAnsi="Arial" w:cs="Arial"/>
                <w:color w:val="auto"/>
                <w:sz w:val="20"/>
                <w:szCs w:val="20"/>
                <w:highlight w:val="none"/>
              </w:rPr>
            </w:pPr>
          </w:p>
        </w:tc>
        <w:tc>
          <w:tcPr>
            <w:tcW w:w="312" w:type="dxa"/>
            <w:tcBorders>
              <w:top w:val="nil"/>
              <w:left w:val="nil"/>
              <w:bottom w:val="nil"/>
              <w:right w:val="nil"/>
            </w:tcBorders>
            <w:noWrap w:val="0"/>
            <w:vAlign w:val="bottom"/>
          </w:tcPr>
          <w:p>
            <w:pPr>
              <w:rPr>
                <w:rFonts w:ascii="Arial" w:hAnsi="Arial" w:cs="Arial"/>
                <w:color w:val="auto"/>
                <w:sz w:val="20"/>
                <w:szCs w:val="20"/>
                <w:highlight w:val="none"/>
              </w:rPr>
            </w:pPr>
          </w:p>
        </w:tc>
        <w:tc>
          <w:tcPr>
            <w:tcW w:w="275" w:type="dxa"/>
            <w:tcBorders>
              <w:top w:val="nil"/>
              <w:left w:val="nil"/>
              <w:bottom w:val="nil"/>
              <w:right w:val="nil"/>
            </w:tcBorders>
            <w:noWrap w:val="0"/>
            <w:vAlign w:val="bottom"/>
          </w:tcPr>
          <w:p>
            <w:pPr>
              <w:rPr>
                <w:rFonts w:ascii="Arial" w:hAnsi="Arial" w:cs="Arial"/>
                <w:color w:val="auto"/>
                <w:sz w:val="20"/>
                <w:szCs w:val="20"/>
                <w:highlight w:val="none"/>
              </w:rPr>
            </w:pPr>
          </w:p>
        </w:tc>
        <w:tc>
          <w:tcPr>
            <w:tcW w:w="4138" w:type="dxa"/>
            <w:tcBorders>
              <w:top w:val="nil"/>
              <w:left w:val="nil"/>
              <w:bottom w:val="nil"/>
              <w:right w:val="nil"/>
            </w:tcBorders>
            <w:noWrap w:val="0"/>
            <w:vAlign w:val="bottom"/>
          </w:tcPr>
          <w:p>
            <w:pPr>
              <w:rPr>
                <w:rFonts w:ascii="Arial" w:hAnsi="Arial" w:cs="Arial"/>
                <w:color w:val="auto"/>
                <w:sz w:val="20"/>
                <w:szCs w:val="20"/>
                <w:highlight w:val="none"/>
              </w:rPr>
            </w:pPr>
          </w:p>
        </w:tc>
        <w:tc>
          <w:tcPr>
            <w:tcW w:w="1369" w:type="dxa"/>
            <w:tcBorders>
              <w:top w:val="nil"/>
              <w:left w:val="nil"/>
              <w:bottom w:val="nil"/>
              <w:right w:val="nil"/>
            </w:tcBorders>
            <w:noWrap w:val="0"/>
            <w:vAlign w:val="bottom"/>
          </w:tcPr>
          <w:p>
            <w:pPr>
              <w:rPr>
                <w:rFonts w:ascii="Arial" w:hAnsi="Arial" w:cs="Arial"/>
                <w:color w:val="auto"/>
                <w:sz w:val="20"/>
                <w:szCs w:val="20"/>
                <w:highlight w:val="none"/>
              </w:rPr>
            </w:pPr>
          </w:p>
        </w:tc>
        <w:tc>
          <w:tcPr>
            <w:tcW w:w="1372" w:type="dxa"/>
            <w:tcBorders>
              <w:top w:val="nil"/>
              <w:left w:val="nil"/>
              <w:bottom w:val="nil"/>
              <w:right w:val="nil"/>
            </w:tcBorders>
            <w:noWrap w:val="0"/>
            <w:vAlign w:val="bottom"/>
          </w:tcPr>
          <w:p>
            <w:pPr>
              <w:rPr>
                <w:rFonts w:ascii="Arial" w:hAnsi="Arial" w:cs="Arial"/>
                <w:color w:val="auto"/>
                <w:sz w:val="20"/>
                <w:szCs w:val="20"/>
                <w:highlight w:val="none"/>
              </w:rPr>
            </w:pPr>
          </w:p>
        </w:tc>
        <w:tc>
          <w:tcPr>
            <w:tcW w:w="1120" w:type="dxa"/>
            <w:tcBorders>
              <w:top w:val="nil"/>
              <w:left w:val="nil"/>
              <w:bottom w:val="nil"/>
              <w:right w:val="nil"/>
            </w:tcBorders>
            <w:noWrap w:val="0"/>
            <w:vAlign w:val="bottom"/>
          </w:tcPr>
          <w:p>
            <w:pPr>
              <w:rPr>
                <w:rFonts w:ascii="Arial" w:hAnsi="Arial" w:cs="Arial"/>
                <w:color w:val="auto"/>
                <w:sz w:val="20"/>
                <w:szCs w:val="20"/>
                <w:highlight w:val="none"/>
              </w:rPr>
            </w:pPr>
          </w:p>
        </w:tc>
        <w:tc>
          <w:tcPr>
            <w:tcW w:w="1120" w:type="dxa"/>
            <w:tcBorders>
              <w:top w:val="nil"/>
              <w:left w:val="nil"/>
              <w:bottom w:val="nil"/>
              <w:right w:val="nil"/>
            </w:tcBorders>
            <w:noWrap w:val="0"/>
            <w:vAlign w:val="bottom"/>
          </w:tcPr>
          <w:p>
            <w:pPr>
              <w:rPr>
                <w:rFonts w:ascii="Arial" w:hAnsi="Arial" w:cs="Arial"/>
                <w:color w:val="auto"/>
                <w:sz w:val="20"/>
                <w:szCs w:val="20"/>
                <w:highlight w:val="none"/>
              </w:rPr>
            </w:pPr>
          </w:p>
        </w:tc>
        <w:tc>
          <w:tcPr>
            <w:tcW w:w="1131" w:type="dxa"/>
            <w:tcBorders>
              <w:top w:val="nil"/>
              <w:left w:val="nil"/>
              <w:bottom w:val="nil"/>
              <w:right w:val="nil"/>
            </w:tcBorders>
            <w:noWrap w:val="0"/>
            <w:vAlign w:val="bottom"/>
          </w:tcPr>
          <w:p>
            <w:pPr>
              <w:rPr>
                <w:rFonts w:ascii="Arial" w:hAnsi="Arial" w:cs="Arial"/>
                <w:color w:val="auto"/>
                <w:sz w:val="20"/>
                <w:szCs w:val="20"/>
                <w:highlight w:val="none"/>
              </w:rPr>
            </w:pPr>
          </w:p>
        </w:tc>
        <w:tc>
          <w:tcPr>
            <w:tcW w:w="1140" w:type="dxa"/>
            <w:tcBorders>
              <w:top w:val="nil"/>
              <w:left w:val="nil"/>
              <w:bottom w:val="nil"/>
              <w:right w:val="nil"/>
            </w:tcBorders>
            <w:noWrap w:val="0"/>
            <w:vAlign w:val="bottom"/>
          </w:tcPr>
          <w:p>
            <w:pPr>
              <w:rPr>
                <w:rFonts w:ascii="Arial" w:hAnsi="Arial" w:cs="Arial"/>
                <w:color w:val="auto"/>
                <w:sz w:val="20"/>
                <w:szCs w:val="20"/>
                <w:highlight w:val="none"/>
              </w:rPr>
            </w:pPr>
          </w:p>
        </w:tc>
        <w:tc>
          <w:tcPr>
            <w:tcW w:w="1797" w:type="dxa"/>
            <w:tcBorders>
              <w:top w:val="nil"/>
              <w:left w:val="nil"/>
              <w:bottom w:val="nil"/>
              <w:right w:val="nil"/>
            </w:tcBorders>
            <w:noWrap w:val="0"/>
            <w:vAlign w:val="bottom"/>
          </w:tcPr>
          <w:p>
            <w:pPr>
              <w:jc w:val="right"/>
              <w:rPr>
                <w:rFonts w:ascii="宋体" w:hAnsi="宋体" w:cs="Arial"/>
                <w:color w:val="auto"/>
                <w:sz w:val="20"/>
                <w:szCs w:val="20"/>
                <w:highlight w:val="none"/>
              </w:rPr>
            </w:pPr>
            <w:r>
              <w:rPr>
                <w:rFonts w:hint="eastAsia" w:cs="Arial"/>
                <w:color w:val="auto"/>
                <w:sz w:val="20"/>
                <w:szCs w:val="20"/>
                <w:highlight w:val="none"/>
              </w:rPr>
              <w:t>公开02表</w:t>
            </w:r>
          </w:p>
        </w:tc>
      </w:tr>
      <w:tr>
        <w:tblPrEx>
          <w:tblCellMar>
            <w:top w:w="0" w:type="dxa"/>
            <w:left w:w="108" w:type="dxa"/>
            <w:bottom w:w="0" w:type="dxa"/>
            <w:right w:w="108" w:type="dxa"/>
          </w:tblCellMar>
        </w:tblPrEx>
        <w:trPr>
          <w:trHeight w:val="255" w:hRule="atLeast"/>
        </w:trPr>
        <w:tc>
          <w:tcPr>
            <w:tcW w:w="5125" w:type="dxa"/>
            <w:gridSpan w:val="4"/>
            <w:tcBorders>
              <w:top w:val="nil"/>
              <w:left w:val="nil"/>
              <w:bottom w:val="single" w:color="000000" w:sz="4" w:space="0"/>
              <w:right w:val="nil"/>
            </w:tcBorders>
            <w:noWrap w:val="0"/>
            <w:vAlign w:val="bottom"/>
          </w:tcPr>
          <w:p>
            <w:pPr>
              <w:rPr>
                <w:rFonts w:ascii="宋体" w:hAnsi="宋体" w:cs="Arial"/>
                <w:color w:val="auto"/>
                <w:sz w:val="20"/>
                <w:szCs w:val="20"/>
                <w:highlight w:val="none"/>
              </w:rPr>
            </w:pPr>
            <w:r>
              <w:rPr>
                <w:rFonts w:hint="eastAsia" w:cs="Arial"/>
                <w:color w:val="auto"/>
                <w:sz w:val="20"/>
                <w:szCs w:val="20"/>
                <w:highlight w:val="none"/>
                <w:lang w:eastAsia="zh-CN"/>
              </w:rPr>
              <w:t>单位</w:t>
            </w:r>
            <w:r>
              <w:rPr>
                <w:rFonts w:hint="eastAsia" w:cs="Arial"/>
                <w:color w:val="auto"/>
                <w:sz w:val="20"/>
                <w:szCs w:val="20"/>
                <w:highlight w:val="none"/>
              </w:rPr>
              <w:t>：许昌市普通教育教学研究室</w:t>
            </w:r>
          </w:p>
        </w:tc>
        <w:tc>
          <w:tcPr>
            <w:tcW w:w="1369" w:type="dxa"/>
            <w:tcBorders>
              <w:top w:val="nil"/>
              <w:left w:val="nil"/>
              <w:bottom w:val="single" w:color="000000" w:sz="4" w:space="0"/>
              <w:right w:val="nil"/>
            </w:tcBorders>
            <w:noWrap w:val="0"/>
            <w:vAlign w:val="bottom"/>
          </w:tcPr>
          <w:p>
            <w:pPr>
              <w:rPr>
                <w:rFonts w:ascii="Arial" w:hAnsi="Arial" w:cs="Arial"/>
                <w:color w:val="auto"/>
                <w:sz w:val="20"/>
                <w:szCs w:val="20"/>
                <w:highlight w:val="none"/>
              </w:rPr>
            </w:pPr>
          </w:p>
        </w:tc>
        <w:tc>
          <w:tcPr>
            <w:tcW w:w="1372" w:type="dxa"/>
            <w:tcBorders>
              <w:top w:val="nil"/>
              <w:left w:val="nil"/>
              <w:bottom w:val="single" w:color="000000" w:sz="4" w:space="0"/>
              <w:right w:val="nil"/>
            </w:tcBorders>
            <w:noWrap w:val="0"/>
            <w:vAlign w:val="bottom"/>
          </w:tcPr>
          <w:p>
            <w:pPr>
              <w:rPr>
                <w:rFonts w:ascii="Arial" w:hAnsi="Arial" w:cs="Arial"/>
                <w:color w:val="auto"/>
                <w:sz w:val="20"/>
                <w:szCs w:val="20"/>
                <w:highlight w:val="none"/>
              </w:rPr>
            </w:pPr>
          </w:p>
        </w:tc>
        <w:tc>
          <w:tcPr>
            <w:tcW w:w="1120" w:type="dxa"/>
            <w:tcBorders>
              <w:top w:val="nil"/>
              <w:left w:val="nil"/>
              <w:bottom w:val="single" w:color="000000" w:sz="4" w:space="0"/>
              <w:right w:val="nil"/>
            </w:tcBorders>
            <w:noWrap w:val="0"/>
            <w:vAlign w:val="bottom"/>
          </w:tcPr>
          <w:p>
            <w:pPr>
              <w:rPr>
                <w:rFonts w:ascii="Arial" w:hAnsi="Arial" w:cs="Arial"/>
                <w:color w:val="auto"/>
                <w:sz w:val="20"/>
                <w:szCs w:val="20"/>
                <w:highlight w:val="none"/>
              </w:rPr>
            </w:pPr>
          </w:p>
        </w:tc>
        <w:tc>
          <w:tcPr>
            <w:tcW w:w="1120" w:type="dxa"/>
            <w:tcBorders>
              <w:top w:val="nil"/>
              <w:left w:val="nil"/>
              <w:bottom w:val="single" w:color="000000" w:sz="4" w:space="0"/>
              <w:right w:val="nil"/>
            </w:tcBorders>
            <w:noWrap w:val="0"/>
            <w:vAlign w:val="bottom"/>
          </w:tcPr>
          <w:p>
            <w:pPr>
              <w:rPr>
                <w:rFonts w:ascii="Arial" w:hAnsi="Arial" w:cs="Arial"/>
                <w:color w:val="auto"/>
                <w:sz w:val="20"/>
                <w:szCs w:val="20"/>
                <w:highlight w:val="none"/>
              </w:rPr>
            </w:pPr>
          </w:p>
        </w:tc>
        <w:tc>
          <w:tcPr>
            <w:tcW w:w="1131" w:type="dxa"/>
            <w:tcBorders>
              <w:top w:val="nil"/>
              <w:left w:val="nil"/>
              <w:bottom w:val="single" w:color="000000" w:sz="4" w:space="0"/>
              <w:right w:val="nil"/>
            </w:tcBorders>
            <w:noWrap w:val="0"/>
            <w:vAlign w:val="bottom"/>
          </w:tcPr>
          <w:p>
            <w:pPr>
              <w:rPr>
                <w:rFonts w:ascii="Arial" w:hAnsi="Arial" w:cs="Arial"/>
                <w:color w:val="auto"/>
                <w:sz w:val="20"/>
                <w:szCs w:val="20"/>
                <w:highlight w:val="none"/>
              </w:rPr>
            </w:pPr>
          </w:p>
        </w:tc>
        <w:tc>
          <w:tcPr>
            <w:tcW w:w="1140" w:type="dxa"/>
            <w:tcBorders>
              <w:top w:val="nil"/>
              <w:left w:val="nil"/>
              <w:bottom w:val="single" w:color="000000" w:sz="4" w:space="0"/>
              <w:right w:val="nil"/>
            </w:tcBorders>
            <w:noWrap w:val="0"/>
            <w:vAlign w:val="bottom"/>
          </w:tcPr>
          <w:p>
            <w:pPr>
              <w:rPr>
                <w:rFonts w:ascii="Arial" w:hAnsi="Arial" w:cs="Arial"/>
                <w:color w:val="auto"/>
                <w:sz w:val="20"/>
                <w:szCs w:val="20"/>
                <w:highlight w:val="none"/>
              </w:rPr>
            </w:pPr>
          </w:p>
        </w:tc>
        <w:tc>
          <w:tcPr>
            <w:tcW w:w="1797" w:type="dxa"/>
            <w:tcBorders>
              <w:top w:val="nil"/>
              <w:left w:val="nil"/>
              <w:bottom w:val="single" w:color="000000" w:sz="4" w:space="0"/>
              <w:right w:val="nil"/>
            </w:tcBorders>
            <w:noWrap w:val="0"/>
            <w:vAlign w:val="bottom"/>
          </w:tcPr>
          <w:p>
            <w:pPr>
              <w:jc w:val="right"/>
              <w:rPr>
                <w:rFonts w:ascii="宋体" w:hAnsi="宋体" w:cs="Arial"/>
                <w:color w:val="auto"/>
                <w:sz w:val="20"/>
                <w:szCs w:val="20"/>
                <w:highlight w:val="none"/>
              </w:rPr>
            </w:pPr>
            <w:r>
              <w:rPr>
                <w:rFonts w:hint="eastAsia" w:cs="Arial"/>
                <w:color w:val="auto"/>
                <w:sz w:val="20"/>
                <w:szCs w:val="20"/>
                <w:highlight w:val="none"/>
              </w:rPr>
              <w:t>金额单位：万元</w:t>
            </w:r>
          </w:p>
        </w:tc>
      </w:tr>
      <w:tr>
        <w:tblPrEx>
          <w:tblCellMar>
            <w:top w:w="0" w:type="dxa"/>
            <w:left w:w="108" w:type="dxa"/>
            <w:bottom w:w="0" w:type="dxa"/>
            <w:right w:w="108" w:type="dxa"/>
          </w:tblCellMar>
        </w:tblPrEx>
        <w:trPr>
          <w:trHeight w:val="308" w:hRule="atLeast"/>
        </w:trPr>
        <w:tc>
          <w:tcPr>
            <w:tcW w:w="5125"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项目</w:t>
            </w:r>
          </w:p>
        </w:tc>
        <w:tc>
          <w:tcPr>
            <w:tcW w:w="1369"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本年收入合计</w:t>
            </w:r>
          </w:p>
        </w:tc>
        <w:tc>
          <w:tcPr>
            <w:tcW w:w="1372"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财政拨款收入</w:t>
            </w:r>
          </w:p>
        </w:tc>
        <w:tc>
          <w:tcPr>
            <w:tcW w:w="1120"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上级补助收入</w:t>
            </w:r>
          </w:p>
        </w:tc>
        <w:tc>
          <w:tcPr>
            <w:tcW w:w="1120"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事业收入</w:t>
            </w:r>
          </w:p>
        </w:tc>
        <w:tc>
          <w:tcPr>
            <w:tcW w:w="1131"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经营收入</w:t>
            </w:r>
          </w:p>
        </w:tc>
        <w:tc>
          <w:tcPr>
            <w:tcW w:w="1140"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附属单位上缴收入</w:t>
            </w:r>
          </w:p>
        </w:tc>
        <w:tc>
          <w:tcPr>
            <w:tcW w:w="1797"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其他收入</w:t>
            </w:r>
          </w:p>
        </w:tc>
      </w:tr>
      <w:tr>
        <w:tblPrEx>
          <w:tblCellMar>
            <w:top w:w="0" w:type="dxa"/>
            <w:left w:w="108" w:type="dxa"/>
            <w:bottom w:w="0" w:type="dxa"/>
            <w:right w:w="108" w:type="dxa"/>
          </w:tblCellMar>
        </w:tblPrEx>
        <w:trPr>
          <w:trHeight w:val="312" w:hRule="atLeast"/>
        </w:trPr>
        <w:tc>
          <w:tcPr>
            <w:tcW w:w="987" w:type="dxa"/>
            <w:gridSpan w:val="3"/>
            <w:vMerge w:val="restart"/>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功能分类科目编码</w:t>
            </w:r>
          </w:p>
        </w:tc>
        <w:tc>
          <w:tcPr>
            <w:tcW w:w="4138" w:type="dxa"/>
            <w:vMerge w:val="restart"/>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科目名称</w:t>
            </w:r>
          </w:p>
        </w:tc>
        <w:tc>
          <w:tcPr>
            <w:tcW w:w="1369"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1372"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112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112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1131"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114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1797"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r>
      <w:tr>
        <w:tblPrEx>
          <w:tblCellMar>
            <w:top w:w="0" w:type="dxa"/>
            <w:left w:w="108" w:type="dxa"/>
            <w:bottom w:w="0" w:type="dxa"/>
            <w:right w:w="108" w:type="dxa"/>
          </w:tblCellMar>
        </w:tblPrEx>
        <w:trPr>
          <w:trHeight w:val="312" w:hRule="atLeast"/>
        </w:trPr>
        <w:tc>
          <w:tcPr>
            <w:tcW w:w="987" w:type="dxa"/>
            <w:gridSpan w:val="3"/>
            <w:vMerge w:val="continue"/>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4138" w:type="dxa"/>
            <w:vMerge w:val="continue"/>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1369"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1372"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112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112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1131"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114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1797"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r>
      <w:tr>
        <w:tblPrEx>
          <w:tblCellMar>
            <w:top w:w="0" w:type="dxa"/>
            <w:left w:w="108" w:type="dxa"/>
            <w:bottom w:w="0" w:type="dxa"/>
            <w:right w:w="108" w:type="dxa"/>
          </w:tblCellMar>
        </w:tblPrEx>
        <w:trPr>
          <w:trHeight w:val="312" w:hRule="atLeast"/>
        </w:trPr>
        <w:tc>
          <w:tcPr>
            <w:tcW w:w="987" w:type="dxa"/>
            <w:gridSpan w:val="3"/>
            <w:vMerge w:val="continue"/>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4138" w:type="dxa"/>
            <w:vMerge w:val="continue"/>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1369"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1372"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112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112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1131"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114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1797"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r>
      <w:tr>
        <w:tblPrEx>
          <w:tblCellMar>
            <w:top w:w="0" w:type="dxa"/>
            <w:left w:w="108" w:type="dxa"/>
            <w:bottom w:w="0" w:type="dxa"/>
            <w:right w:w="108" w:type="dxa"/>
          </w:tblCellMar>
        </w:tblPrEx>
        <w:trPr>
          <w:trHeight w:val="308" w:hRule="atLeast"/>
        </w:trPr>
        <w:tc>
          <w:tcPr>
            <w:tcW w:w="5125" w:type="dxa"/>
            <w:gridSpan w:val="4"/>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栏次</w:t>
            </w:r>
          </w:p>
        </w:tc>
        <w:tc>
          <w:tcPr>
            <w:tcW w:w="1369"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1</w:t>
            </w:r>
          </w:p>
        </w:tc>
        <w:tc>
          <w:tcPr>
            <w:tcW w:w="1372"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2</w:t>
            </w:r>
          </w:p>
        </w:tc>
        <w:tc>
          <w:tcPr>
            <w:tcW w:w="1120"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3</w:t>
            </w:r>
          </w:p>
        </w:tc>
        <w:tc>
          <w:tcPr>
            <w:tcW w:w="1120"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4</w:t>
            </w:r>
          </w:p>
        </w:tc>
        <w:tc>
          <w:tcPr>
            <w:tcW w:w="1131"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5</w:t>
            </w:r>
          </w:p>
        </w:tc>
        <w:tc>
          <w:tcPr>
            <w:tcW w:w="1140"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6</w:t>
            </w:r>
          </w:p>
        </w:tc>
        <w:tc>
          <w:tcPr>
            <w:tcW w:w="1797"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7</w:t>
            </w:r>
          </w:p>
        </w:tc>
      </w:tr>
      <w:tr>
        <w:tblPrEx>
          <w:tblCellMar>
            <w:top w:w="0" w:type="dxa"/>
            <w:left w:w="108" w:type="dxa"/>
            <w:bottom w:w="0" w:type="dxa"/>
            <w:right w:w="108" w:type="dxa"/>
          </w:tblCellMar>
        </w:tblPrEx>
        <w:trPr>
          <w:trHeight w:val="308" w:hRule="atLeast"/>
        </w:trPr>
        <w:tc>
          <w:tcPr>
            <w:tcW w:w="5125" w:type="dxa"/>
            <w:gridSpan w:val="4"/>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合计</w:t>
            </w:r>
          </w:p>
        </w:tc>
        <w:tc>
          <w:tcPr>
            <w:tcW w:w="1369"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b/>
                <w:bCs/>
                <w:color w:val="auto"/>
                <w:sz w:val="22"/>
                <w:highlight w:val="none"/>
              </w:rPr>
            </w:pPr>
            <w:r>
              <w:rPr>
                <w:rFonts w:hint="eastAsia" w:cs="Arial"/>
                <w:b/>
                <w:bCs/>
                <w:color w:val="auto"/>
                <w:sz w:val="22"/>
                <w:highlight w:val="none"/>
              </w:rPr>
              <w:t>525.85</w:t>
            </w:r>
          </w:p>
        </w:tc>
        <w:tc>
          <w:tcPr>
            <w:tcW w:w="1372"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b/>
                <w:bCs/>
                <w:color w:val="auto"/>
                <w:sz w:val="22"/>
                <w:highlight w:val="none"/>
              </w:rPr>
            </w:pPr>
            <w:r>
              <w:rPr>
                <w:rFonts w:hint="eastAsia" w:cs="Arial"/>
                <w:b/>
                <w:bCs/>
                <w:color w:val="auto"/>
                <w:sz w:val="22"/>
                <w:highlight w:val="none"/>
              </w:rPr>
              <w:t>523.76</w:t>
            </w:r>
          </w:p>
        </w:tc>
        <w:tc>
          <w:tcPr>
            <w:tcW w:w="1120"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b/>
                <w:bCs/>
                <w:color w:val="auto"/>
                <w:sz w:val="22"/>
                <w:highlight w:val="none"/>
              </w:rPr>
            </w:pPr>
            <w:r>
              <w:rPr>
                <w:rFonts w:hint="eastAsia" w:cs="Arial"/>
                <w:b/>
                <w:bCs/>
                <w:color w:val="auto"/>
                <w:sz w:val="22"/>
                <w:highlight w:val="none"/>
              </w:rPr>
              <w:t>　</w:t>
            </w:r>
          </w:p>
        </w:tc>
        <w:tc>
          <w:tcPr>
            <w:tcW w:w="1120"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b/>
                <w:bCs/>
                <w:color w:val="auto"/>
                <w:sz w:val="22"/>
                <w:highlight w:val="none"/>
              </w:rPr>
            </w:pPr>
            <w:r>
              <w:rPr>
                <w:rFonts w:hint="eastAsia" w:cs="Arial"/>
                <w:b/>
                <w:bCs/>
                <w:color w:val="auto"/>
                <w:sz w:val="22"/>
                <w:highlight w:val="none"/>
              </w:rPr>
              <w:t>　</w:t>
            </w:r>
          </w:p>
        </w:tc>
        <w:tc>
          <w:tcPr>
            <w:tcW w:w="1131"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b/>
                <w:bCs/>
                <w:color w:val="auto"/>
                <w:sz w:val="22"/>
                <w:highlight w:val="none"/>
              </w:rPr>
            </w:pPr>
            <w:r>
              <w:rPr>
                <w:rFonts w:hint="eastAsia" w:cs="Arial"/>
                <w:b/>
                <w:bCs/>
                <w:color w:val="auto"/>
                <w:sz w:val="22"/>
                <w:highlight w:val="none"/>
              </w:rPr>
              <w:t>　</w:t>
            </w:r>
          </w:p>
        </w:tc>
        <w:tc>
          <w:tcPr>
            <w:tcW w:w="1140"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b/>
                <w:bCs/>
                <w:color w:val="auto"/>
                <w:sz w:val="22"/>
                <w:highlight w:val="none"/>
              </w:rPr>
            </w:pPr>
            <w:r>
              <w:rPr>
                <w:rFonts w:hint="eastAsia" w:cs="Arial"/>
                <w:b/>
                <w:bCs/>
                <w:color w:val="auto"/>
                <w:sz w:val="22"/>
                <w:highlight w:val="none"/>
              </w:rPr>
              <w:t>　</w:t>
            </w:r>
          </w:p>
        </w:tc>
        <w:tc>
          <w:tcPr>
            <w:tcW w:w="1797"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b/>
                <w:bCs/>
                <w:color w:val="auto"/>
                <w:sz w:val="22"/>
                <w:highlight w:val="none"/>
              </w:rPr>
            </w:pPr>
            <w:r>
              <w:rPr>
                <w:rFonts w:hint="eastAsia" w:cs="Arial"/>
                <w:b/>
                <w:bCs/>
                <w:color w:val="auto"/>
                <w:sz w:val="22"/>
                <w:highlight w:val="none"/>
              </w:rPr>
              <w:t>2.09</w:t>
            </w: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201</w:t>
            </w:r>
          </w:p>
        </w:tc>
        <w:tc>
          <w:tcPr>
            <w:tcW w:w="4138" w:type="dxa"/>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一般公共服务支出</w:t>
            </w:r>
          </w:p>
        </w:tc>
        <w:tc>
          <w:tcPr>
            <w:tcW w:w="1369"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2.78</w:t>
            </w:r>
          </w:p>
        </w:tc>
        <w:tc>
          <w:tcPr>
            <w:tcW w:w="1372"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2.78</w:t>
            </w:r>
          </w:p>
        </w:tc>
        <w:tc>
          <w:tcPr>
            <w:tcW w:w="112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12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131"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14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797"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20129</w:t>
            </w:r>
          </w:p>
        </w:tc>
        <w:tc>
          <w:tcPr>
            <w:tcW w:w="4138" w:type="dxa"/>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群众团体事务</w:t>
            </w:r>
          </w:p>
        </w:tc>
        <w:tc>
          <w:tcPr>
            <w:tcW w:w="1369"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2.78</w:t>
            </w:r>
          </w:p>
        </w:tc>
        <w:tc>
          <w:tcPr>
            <w:tcW w:w="1372"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2.78</w:t>
            </w:r>
          </w:p>
        </w:tc>
        <w:tc>
          <w:tcPr>
            <w:tcW w:w="112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12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131"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14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797"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2012906</w:t>
            </w:r>
          </w:p>
        </w:tc>
        <w:tc>
          <w:tcPr>
            <w:tcW w:w="4138" w:type="dxa"/>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 xml:space="preserve">  工会事务</w:t>
            </w:r>
          </w:p>
        </w:tc>
        <w:tc>
          <w:tcPr>
            <w:tcW w:w="1369"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2.78</w:t>
            </w:r>
          </w:p>
        </w:tc>
        <w:tc>
          <w:tcPr>
            <w:tcW w:w="1372"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2.78</w:t>
            </w:r>
          </w:p>
        </w:tc>
        <w:tc>
          <w:tcPr>
            <w:tcW w:w="112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12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131"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14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797"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205</w:t>
            </w:r>
          </w:p>
        </w:tc>
        <w:tc>
          <w:tcPr>
            <w:tcW w:w="4138" w:type="dxa"/>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教育支出</w:t>
            </w:r>
          </w:p>
        </w:tc>
        <w:tc>
          <w:tcPr>
            <w:tcW w:w="1369"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390.88</w:t>
            </w:r>
          </w:p>
        </w:tc>
        <w:tc>
          <w:tcPr>
            <w:tcW w:w="1372"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388.79</w:t>
            </w:r>
          </w:p>
        </w:tc>
        <w:tc>
          <w:tcPr>
            <w:tcW w:w="112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12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131"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14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797"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2.09</w:t>
            </w: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20501</w:t>
            </w:r>
          </w:p>
        </w:tc>
        <w:tc>
          <w:tcPr>
            <w:tcW w:w="4138" w:type="dxa"/>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教育管理事务</w:t>
            </w:r>
          </w:p>
        </w:tc>
        <w:tc>
          <w:tcPr>
            <w:tcW w:w="1369"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390.88</w:t>
            </w:r>
          </w:p>
        </w:tc>
        <w:tc>
          <w:tcPr>
            <w:tcW w:w="1372"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388.79</w:t>
            </w:r>
          </w:p>
        </w:tc>
        <w:tc>
          <w:tcPr>
            <w:tcW w:w="112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12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131"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14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797"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2.09</w:t>
            </w: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2050199</w:t>
            </w:r>
          </w:p>
        </w:tc>
        <w:tc>
          <w:tcPr>
            <w:tcW w:w="4138" w:type="dxa"/>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 xml:space="preserve">  其他教育管理事务支出</w:t>
            </w:r>
          </w:p>
        </w:tc>
        <w:tc>
          <w:tcPr>
            <w:tcW w:w="1369"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390.88</w:t>
            </w:r>
          </w:p>
        </w:tc>
        <w:tc>
          <w:tcPr>
            <w:tcW w:w="1372"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388.79</w:t>
            </w:r>
          </w:p>
        </w:tc>
        <w:tc>
          <w:tcPr>
            <w:tcW w:w="112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12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131"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14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797"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2.09</w:t>
            </w: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208</w:t>
            </w:r>
          </w:p>
        </w:tc>
        <w:tc>
          <w:tcPr>
            <w:tcW w:w="4138" w:type="dxa"/>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社会保障和就业支出</w:t>
            </w:r>
          </w:p>
        </w:tc>
        <w:tc>
          <w:tcPr>
            <w:tcW w:w="1369"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118.18</w:t>
            </w:r>
          </w:p>
        </w:tc>
        <w:tc>
          <w:tcPr>
            <w:tcW w:w="1372"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118.18</w:t>
            </w:r>
          </w:p>
        </w:tc>
        <w:tc>
          <w:tcPr>
            <w:tcW w:w="112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12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131"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14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797"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20805</w:t>
            </w:r>
          </w:p>
        </w:tc>
        <w:tc>
          <w:tcPr>
            <w:tcW w:w="4138" w:type="dxa"/>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行政事业单位养老支出</w:t>
            </w:r>
          </w:p>
        </w:tc>
        <w:tc>
          <w:tcPr>
            <w:tcW w:w="1369"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111.03</w:t>
            </w:r>
          </w:p>
        </w:tc>
        <w:tc>
          <w:tcPr>
            <w:tcW w:w="1372"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111.03</w:t>
            </w:r>
          </w:p>
        </w:tc>
        <w:tc>
          <w:tcPr>
            <w:tcW w:w="112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12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131"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14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797"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2080502</w:t>
            </w:r>
          </w:p>
        </w:tc>
        <w:tc>
          <w:tcPr>
            <w:tcW w:w="4138" w:type="dxa"/>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 xml:space="preserve">  事业单位离退休</w:t>
            </w:r>
          </w:p>
        </w:tc>
        <w:tc>
          <w:tcPr>
            <w:tcW w:w="1369"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80.78</w:t>
            </w:r>
          </w:p>
        </w:tc>
        <w:tc>
          <w:tcPr>
            <w:tcW w:w="1372"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80.78</w:t>
            </w:r>
          </w:p>
        </w:tc>
        <w:tc>
          <w:tcPr>
            <w:tcW w:w="112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12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131"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14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797"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2080505</w:t>
            </w:r>
          </w:p>
        </w:tc>
        <w:tc>
          <w:tcPr>
            <w:tcW w:w="4138" w:type="dxa"/>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 xml:space="preserve">  机关事业单位基本养老保险缴费支出</w:t>
            </w:r>
          </w:p>
        </w:tc>
        <w:tc>
          <w:tcPr>
            <w:tcW w:w="1369"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30.25</w:t>
            </w:r>
          </w:p>
        </w:tc>
        <w:tc>
          <w:tcPr>
            <w:tcW w:w="1372"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30.25</w:t>
            </w:r>
          </w:p>
        </w:tc>
        <w:tc>
          <w:tcPr>
            <w:tcW w:w="112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12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131"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14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797"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20808</w:t>
            </w:r>
          </w:p>
        </w:tc>
        <w:tc>
          <w:tcPr>
            <w:tcW w:w="4138" w:type="dxa"/>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抚恤</w:t>
            </w:r>
          </w:p>
        </w:tc>
        <w:tc>
          <w:tcPr>
            <w:tcW w:w="1369"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7.15</w:t>
            </w:r>
          </w:p>
        </w:tc>
        <w:tc>
          <w:tcPr>
            <w:tcW w:w="1372"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7.15</w:t>
            </w:r>
          </w:p>
        </w:tc>
        <w:tc>
          <w:tcPr>
            <w:tcW w:w="112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12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131"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14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797"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2080801</w:t>
            </w:r>
          </w:p>
        </w:tc>
        <w:tc>
          <w:tcPr>
            <w:tcW w:w="4138" w:type="dxa"/>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 xml:space="preserve">  死亡抚恤</w:t>
            </w:r>
          </w:p>
        </w:tc>
        <w:tc>
          <w:tcPr>
            <w:tcW w:w="1369"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7.15</w:t>
            </w:r>
          </w:p>
        </w:tc>
        <w:tc>
          <w:tcPr>
            <w:tcW w:w="1372"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7.15</w:t>
            </w:r>
          </w:p>
        </w:tc>
        <w:tc>
          <w:tcPr>
            <w:tcW w:w="112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12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131"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14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797"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210</w:t>
            </w:r>
          </w:p>
        </w:tc>
        <w:tc>
          <w:tcPr>
            <w:tcW w:w="4138" w:type="dxa"/>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卫生健康支出</w:t>
            </w:r>
          </w:p>
        </w:tc>
        <w:tc>
          <w:tcPr>
            <w:tcW w:w="1369"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14.01</w:t>
            </w:r>
          </w:p>
        </w:tc>
        <w:tc>
          <w:tcPr>
            <w:tcW w:w="1372"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14.01</w:t>
            </w:r>
          </w:p>
        </w:tc>
        <w:tc>
          <w:tcPr>
            <w:tcW w:w="112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12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131"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14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797"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21011</w:t>
            </w:r>
          </w:p>
        </w:tc>
        <w:tc>
          <w:tcPr>
            <w:tcW w:w="4138" w:type="dxa"/>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行政事业单位医疗</w:t>
            </w:r>
          </w:p>
        </w:tc>
        <w:tc>
          <w:tcPr>
            <w:tcW w:w="1369"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14.01</w:t>
            </w:r>
          </w:p>
        </w:tc>
        <w:tc>
          <w:tcPr>
            <w:tcW w:w="1372"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14.01</w:t>
            </w:r>
          </w:p>
        </w:tc>
        <w:tc>
          <w:tcPr>
            <w:tcW w:w="112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12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131"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14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797"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2101102</w:t>
            </w:r>
          </w:p>
        </w:tc>
        <w:tc>
          <w:tcPr>
            <w:tcW w:w="4138" w:type="dxa"/>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 xml:space="preserve">  事业单位医疗</w:t>
            </w:r>
          </w:p>
        </w:tc>
        <w:tc>
          <w:tcPr>
            <w:tcW w:w="1369"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14.01</w:t>
            </w:r>
          </w:p>
        </w:tc>
        <w:tc>
          <w:tcPr>
            <w:tcW w:w="1372"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14.01</w:t>
            </w:r>
          </w:p>
        </w:tc>
        <w:tc>
          <w:tcPr>
            <w:tcW w:w="112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12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131"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14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797"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4174" w:type="dxa"/>
            <w:gridSpan w:val="11"/>
            <w:tcBorders>
              <w:top w:val="nil"/>
              <w:left w:val="nil"/>
              <w:bottom w:val="nil"/>
              <w:right w:val="nil"/>
            </w:tcBorders>
            <w:noWrap w:val="0"/>
            <w:vAlign w:val="center"/>
          </w:tcPr>
          <w:p>
            <w:pPr>
              <w:rPr>
                <w:rFonts w:ascii="宋体" w:hAnsi="宋体" w:cs="Arial"/>
                <w:color w:val="auto"/>
                <w:sz w:val="22"/>
                <w:highlight w:val="none"/>
              </w:rPr>
            </w:pPr>
            <w:r>
              <w:rPr>
                <w:rFonts w:hint="eastAsia" w:cs="Arial"/>
                <w:color w:val="auto"/>
                <w:sz w:val="22"/>
                <w:highlight w:val="none"/>
              </w:rPr>
              <w:t>注：本表反映</w:t>
            </w:r>
            <w:r>
              <w:rPr>
                <w:rFonts w:hint="eastAsia" w:cs="Arial"/>
                <w:color w:val="auto"/>
                <w:sz w:val="22"/>
                <w:highlight w:val="none"/>
                <w:lang w:eastAsia="zh-CN"/>
              </w:rPr>
              <w:t>单位</w:t>
            </w:r>
            <w:r>
              <w:rPr>
                <w:rFonts w:hint="eastAsia" w:cs="Arial"/>
                <w:color w:val="auto"/>
                <w:sz w:val="22"/>
                <w:highlight w:val="none"/>
              </w:rPr>
              <w:t>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93" w:type="dxa"/>
        <w:tblLayout w:type="fixed"/>
        <w:tblCellMar>
          <w:top w:w="0" w:type="dxa"/>
          <w:left w:w="108" w:type="dxa"/>
          <w:bottom w:w="0" w:type="dxa"/>
          <w:right w:w="108" w:type="dxa"/>
        </w:tblCellMar>
      </w:tblPr>
      <w:tblGrid>
        <w:gridCol w:w="631"/>
        <w:gridCol w:w="631"/>
        <w:gridCol w:w="631"/>
        <w:gridCol w:w="3956"/>
        <w:gridCol w:w="1475"/>
        <w:gridCol w:w="1073"/>
        <w:gridCol w:w="1054"/>
        <w:gridCol w:w="1443"/>
        <w:gridCol w:w="1040"/>
        <w:gridCol w:w="2147"/>
      </w:tblGrid>
      <w:tr>
        <w:tblPrEx>
          <w:tblCellMar>
            <w:top w:w="0" w:type="dxa"/>
            <w:left w:w="108" w:type="dxa"/>
            <w:bottom w:w="0" w:type="dxa"/>
            <w:right w:w="108" w:type="dxa"/>
          </w:tblCellMar>
        </w:tblPrEx>
        <w:trPr>
          <w:trHeight w:val="390" w:hRule="atLeast"/>
        </w:trPr>
        <w:tc>
          <w:tcPr>
            <w:tcW w:w="14081" w:type="dxa"/>
            <w:gridSpan w:val="10"/>
            <w:tcBorders>
              <w:top w:val="nil"/>
              <w:left w:val="nil"/>
              <w:bottom w:val="nil"/>
              <w:right w:val="nil"/>
            </w:tcBorders>
            <w:noWrap w:val="0"/>
            <w:vAlign w:val="bottom"/>
          </w:tcPr>
          <w:p>
            <w:pPr>
              <w:jc w:val="center"/>
              <w:rPr>
                <w:rFonts w:ascii="宋体" w:hAnsi="宋体" w:cs="Arial"/>
                <w:color w:val="auto"/>
                <w:sz w:val="30"/>
                <w:szCs w:val="30"/>
                <w:highlight w:val="none"/>
              </w:rPr>
            </w:pPr>
            <w:r>
              <w:rPr>
                <w:rFonts w:hint="eastAsia" w:cs="Arial"/>
                <w:color w:val="auto"/>
                <w:sz w:val="30"/>
                <w:szCs w:val="30"/>
                <w:highlight w:val="none"/>
              </w:rPr>
              <w:t>支出决算表</w:t>
            </w:r>
          </w:p>
        </w:tc>
      </w:tr>
      <w:tr>
        <w:tblPrEx>
          <w:tblCellMar>
            <w:top w:w="0" w:type="dxa"/>
            <w:left w:w="108" w:type="dxa"/>
            <w:bottom w:w="0" w:type="dxa"/>
            <w:right w:w="108" w:type="dxa"/>
          </w:tblCellMar>
        </w:tblPrEx>
        <w:trPr>
          <w:trHeight w:val="255" w:hRule="atLeast"/>
        </w:trPr>
        <w:tc>
          <w:tcPr>
            <w:tcW w:w="631" w:type="dxa"/>
            <w:tcBorders>
              <w:top w:val="nil"/>
              <w:left w:val="nil"/>
              <w:bottom w:val="nil"/>
              <w:right w:val="nil"/>
            </w:tcBorders>
            <w:noWrap w:val="0"/>
            <w:vAlign w:val="bottom"/>
          </w:tcPr>
          <w:p>
            <w:pPr>
              <w:rPr>
                <w:rFonts w:ascii="Arial" w:hAnsi="Arial" w:cs="Arial"/>
                <w:color w:val="auto"/>
                <w:sz w:val="20"/>
                <w:szCs w:val="20"/>
                <w:highlight w:val="none"/>
              </w:rPr>
            </w:pPr>
          </w:p>
        </w:tc>
        <w:tc>
          <w:tcPr>
            <w:tcW w:w="631" w:type="dxa"/>
            <w:tcBorders>
              <w:top w:val="nil"/>
              <w:left w:val="nil"/>
              <w:bottom w:val="nil"/>
              <w:right w:val="nil"/>
            </w:tcBorders>
            <w:noWrap w:val="0"/>
            <w:vAlign w:val="bottom"/>
          </w:tcPr>
          <w:p>
            <w:pPr>
              <w:rPr>
                <w:rFonts w:ascii="Arial" w:hAnsi="Arial" w:cs="Arial"/>
                <w:color w:val="auto"/>
                <w:sz w:val="20"/>
                <w:szCs w:val="20"/>
                <w:highlight w:val="none"/>
              </w:rPr>
            </w:pPr>
          </w:p>
        </w:tc>
        <w:tc>
          <w:tcPr>
            <w:tcW w:w="631" w:type="dxa"/>
            <w:tcBorders>
              <w:top w:val="nil"/>
              <w:left w:val="nil"/>
              <w:bottom w:val="nil"/>
              <w:right w:val="nil"/>
            </w:tcBorders>
            <w:noWrap w:val="0"/>
            <w:vAlign w:val="bottom"/>
          </w:tcPr>
          <w:p>
            <w:pPr>
              <w:rPr>
                <w:rFonts w:ascii="Arial" w:hAnsi="Arial" w:cs="Arial"/>
                <w:color w:val="auto"/>
                <w:sz w:val="20"/>
                <w:szCs w:val="20"/>
                <w:highlight w:val="none"/>
              </w:rPr>
            </w:pPr>
          </w:p>
        </w:tc>
        <w:tc>
          <w:tcPr>
            <w:tcW w:w="3956" w:type="dxa"/>
            <w:tcBorders>
              <w:top w:val="nil"/>
              <w:left w:val="nil"/>
              <w:bottom w:val="nil"/>
              <w:right w:val="nil"/>
            </w:tcBorders>
            <w:noWrap w:val="0"/>
            <w:vAlign w:val="bottom"/>
          </w:tcPr>
          <w:p>
            <w:pPr>
              <w:rPr>
                <w:rFonts w:ascii="Arial" w:hAnsi="Arial" w:cs="Arial"/>
                <w:color w:val="auto"/>
                <w:sz w:val="20"/>
                <w:szCs w:val="20"/>
                <w:highlight w:val="none"/>
              </w:rPr>
            </w:pPr>
          </w:p>
        </w:tc>
        <w:tc>
          <w:tcPr>
            <w:tcW w:w="1475" w:type="dxa"/>
            <w:tcBorders>
              <w:top w:val="nil"/>
              <w:left w:val="nil"/>
              <w:bottom w:val="nil"/>
              <w:right w:val="nil"/>
            </w:tcBorders>
            <w:noWrap w:val="0"/>
            <w:vAlign w:val="bottom"/>
          </w:tcPr>
          <w:p>
            <w:pPr>
              <w:rPr>
                <w:rFonts w:ascii="Arial" w:hAnsi="Arial" w:cs="Arial"/>
                <w:color w:val="auto"/>
                <w:sz w:val="20"/>
                <w:szCs w:val="20"/>
                <w:highlight w:val="none"/>
              </w:rPr>
            </w:pPr>
          </w:p>
        </w:tc>
        <w:tc>
          <w:tcPr>
            <w:tcW w:w="1073" w:type="dxa"/>
            <w:tcBorders>
              <w:top w:val="nil"/>
              <w:left w:val="nil"/>
              <w:bottom w:val="nil"/>
              <w:right w:val="nil"/>
            </w:tcBorders>
            <w:noWrap w:val="0"/>
            <w:vAlign w:val="bottom"/>
          </w:tcPr>
          <w:p>
            <w:pPr>
              <w:rPr>
                <w:rFonts w:ascii="Arial" w:hAnsi="Arial" w:cs="Arial"/>
                <w:color w:val="auto"/>
                <w:sz w:val="20"/>
                <w:szCs w:val="20"/>
                <w:highlight w:val="none"/>
              </w:rPr>
            </w:pPr>
          </w:p>
        </w:tc>
        <w:tc>
          <w:tcPr>
            <w:tcW w:w="1054" w:type="dxa"/>
            <w:tcBorders>
              <w:top w:val="nil"/>
              <w:left w:val="nil"/>
              <w:bottom w:val="nil"/>
              <w:right w:val="nil"/>
            </w:tcBorders>
            <w:noWrap w:val="0"/>
            <w:vAlign w:val="bottom"/>
          </w:tcPr>
          <w:p>
            <w:pPr>
              <w:rPr>
                <w:rFonts w:ascii="Arial" w:hAnsi="Arial" w:cs="Arial"/>
                <w:color w:val="auto"/>
                <w:sz w:val="20"/>
                <w:szCs w:val="20"/>
                <w:highlight w:val="none"/>
              </w:rPr>
            </w:pPr>
          </w:p>
        </w:tc>
        <w:tc>
          <w:tcPr>
            <w:tcW w:w="1443" w:type="dxa"/>
            <w:tcBorders>
              <w:top w:val="nil"/>
              <w:left w:val="nil"/>
              <w:bottom w:val="nil"/>
              <w:right w:val="nil"/>
            </w:tcBorders>
            <w:noWrap w:val="0"/>
            <w:vAlign w:val="bottom"/>
          </w:tcPr>
          <w:p>
            <w:pPr>
              <w:rPr>
                <w:rFonts w:ascii="Arial" w:hAnsi="Arial" w:cs="Arial"/>
                <w:color w:val="auto"/>
                <w:sz w:val="20"/>
                <w:szCs w:val="20"/>
                <w:highlight w:val="none"/>
              </w:rPr>
            </w:pPr>
          </w:p>
        </w:tc>
        <w:tc>
          <w:tcPr>
            <w:tcW w:w="1040" w:type="dxa"/>
            <w:tcBorders>
              <w:top w:val="nil"/>
              <w:left w:val="nil"/>
              <w:bottom w:val="nil"/>
              <w:right w:val="nil"/>
            </w:tcBorders>
            <w:noWrap w:val="0"/>
            <w:vAlign w:val="bottom"/>
          </w:tcPr>
          <w:p>
            <w:pPr>
              <w:rPr>
                <w:rFonts w:ascii="Arial" w:hAnsi="Arial" w:cs="Arial"/>
                <w:color w:val="auto"/>
                <w:sz w:val="20"/>
                <w:szCs w:val="20"/>
                <w:highlight w:val="none"/>
              </w:rPr>
            </w:pPr>
          </w:p>
        </w:tc>
        <w:tc>
          <w:tcPr>
            <w:tcW w:w="2147" w:type="dxa"/>
            <w:tcBorders>
              <w:top w:val="nil"/>
              <w:left w:val="nil"/>
              <w:bottom w:val="nil"/>
              <w:right w:val="nil"/>
            </w:tcBorders>
            <w:noWrap w:val="0"/>
            <w:vAlign w:val="bottom"/>
          </w:tcPr>
          <w:p>
            <w:pPr>
              <w:jc w:val="right"/>
              <w:rPr>
                <w:rFonts w:ascii="宋体" w:hAnsi="宋体" w:cs="Arial"/>
                <w:color w:val="auto"/>
                <w:sz w:val="20"/>
                <w:szCs w:val="20"/>
                <w:highlight w:val="none"/>
              </w:rPr>
            </w:pPr>
            <w:r>
              <w:rPr>
                <w:rFonts w:hint="eastAsia" w:cs="Arial"/>
                <w:color w:val="auto"/>
                <w:sz w:val="20"/>
                <w:szCs w:val="20"/>
                <w:highlight w:val="none"/>
              </w:rPr>
              <w:t>公开03表</w:t>
            </w:r>
          </w:p>
        </w:tc>
      </w:tr>
      <w:tr>
        <w:tblPrEx>
          <w:tblCellMar>
            <w:top w:w="0" w:type="dxa"/>
            <w:left w:w="108" w:type="dxa"/>
            <w:bottom w:w="0" w:type="dxa"/>
            <w:right w:w="108" w:type="dxa"/>
          </w:tblCellMar>
        </w:tblPrEx>
        <w:trPr>
          <w:trHeight w:val="255" w:hRule="atLeast"/>
        </w:trPr>
        <w:tc>
          <w:tcPr>
            <w:tcW w:w="5849" w:type="dxa"/>
            <w:gridSpan w:val="4"/>
            <w:tcBorders>
              <w:top w:val="nil"/>
              <w:left w:val="nil"/>
              <w:bottom w:val="single" w:color="000000" w:sz="4" w:space="0"/>
              <w:right w:val="nil"/>
            </w:tcBorders>
            <w:noWrap w:val="0"/>
            <w:vAlign w:val="bottom"/>
          </w:tcPr>
          <w:p>
            <w:pPr>
              <w:rPr>
                <w:rFonts w:ascii="宋体" w:hAnsi="宋体" w:cs="Arial"/>
                <w:color w:val="auto"/>
                <w:sz w:val="20"/>
                <w:szCs w:val="20"/>
                <w:highlight w:val="none"/>
              </w:rPr>
            </w:pPr>
            <w:r>
              <w:rPr>
                <w:rFonts w:hint="eastAsia" w:cs="Arial"/>
                <w:color w:val="auto"/>
                <w:sz w:val="20"/>
                <w:szCs w:val="20"/>
                <w:highlight w:val="none"/>
                <w:lang w:eastAsia="zh-CN"/>
              </w:rPr>
              <w:t>单位</w:t>
            </w:r>
            <w:r>
              <w:rPr>
                <w:rFonts w:hint="eastAsia" w:cs="Arial"/>
                <w:color w:val="auto"/>
                <w:sz w:val="20"/>
                <w:szCs w:val="20"/>
                <w:highlight w:val="none"/>
              </w:rPr>
              <w:t>：许昌市普通教育教学研究室</w:t>
            </w:r>
          </w:p>
        </w:tc>
        <w:tc>
          <w:tcPr>
            <w:tcW w:w="1475" w:type="dxa"/>
            <w:tcBorders>
              <w:top w:val="nil"/>
              <w:left w:val="nil"/>
              <w:bottom w:val="single" w:color="000000" w:sz="4" w:space="0"/>
              <w:right w:val="nil"/>
            </w:tcBorders>
            <w:noWrap w:val="0"/>
            <w:vAlign w:val="bottom"/>
          </w:tcPr>
          <w:p>
            <w:pPr>
              <w:rPr>
                <w:rFonts w:ascii="Arial" w:hAnsi="Arial" w:cs="Arial"/>
                <w:color w:val="auto"/>
                <w:sz w:val="20"/>
                <w:szCs w:val="20"/>
                <w:highlight w:val="none"/>
              </w:rPr>
            </w:pPr>
          </w:p>
        </w:tc>
        <w:tc>
          <w:tcPr>
            <w:tcW w:w="1073" w:type="dxa"/>
            <w:tcBorders>
              <w:top w:val="nil"/>
              <w:left w:val="nil"/>
              <w:bottom w:val="single" w:color="000000" w:sz="4" w:space="0"/>
              <w:right w:val="nil"/>
            </w:tcBorders>
            <w:noWrap w:val="0"/>
            <w:vAlign w:val="bottom"/>
          </w:tcPr>
          <w:p>
            <w:pPr>
              <w:rPr>
                <w:rFonts w:ascii="Arial" w:hAnsi="Arial" w:cs="Arial"/>
                <w:color w:val="auto"/>
                <w:sz w:val="20"/>
                <w:szCs w:val="20"/>
                <w:highlight w:val="none"/>
              </w:rPr>
            </w:pPr>
          </w:p>
        </w:tc>
        <w:tc>
          <w:tcPr>
            <w:tcW w:w="1054" w:type="dxa"/>
            <w:tcBorders>
              <w:top w:val="nil"/>
              <w:left w:val="nil"/>
              <w:bottom w:val="single" w:color="000000" w:sz="4" w:space="0"/>
              <w:right w:val="nil"/>
            </w:tcBorders>
            <w:noWrap w:val="0"/>
            <w:vAlign w:val="bottom"/>
          </w:tcPr>
          <w:p>
            <w:pPr>
              <w:rPr>
                <w:rFonts w:ascii="Arial" w:hAnsi="Arial" w:cs="Arial"/>
                <w:color w:val="auto"/>
                <w:sz w:val="20"/>
                <w:szCs w:val="20"/>
                <w:highlight w:val="none"/>
              </w:rPr>
            </w:pPr>
          </w:p>
        </w:tc>
        <w:tc>
          <w:tcPr>
            <w:tcW w:w="1443" w:type="dxa"/>
            <w:tcBorders>
              <w:top w:val="nil"/>
              <w:left w:val="nil"/>
              <w:bottom w:val="single" w:color="000000" w:sz="4" w:space="0"/>
              <w:right w:val="nil"/>
            </w:tcBorders>
            <w:noWrap w:val="0"/>
            <w:vAlign w:val="bottom"/>
          </w:tcPr>
          <w:p>
            <w:pPr>
              <w:rPr>
                <w:rFonts w:ascii="Arial" w:hAnsi="Arial" w:cs="Arial"/>
                <w:color w:val="auto"/>
                <w:sz w:val="20"/>
                <w:szCs w:val="20"/>
                <w:highlight w:val="none"/>
              </w:rPr>
            </w:pPr>
          </w:p>
        </w:tc>
        <w:tc>
          <w:tcPr>
            <w:tcW w:w="1040" w:type="dxa"/>
            <w:tcBorders>
              <w:top w:val="nil"/>
              <w:left w:val="nil"/>
              <w:bottom w:val="single" w:color="000000" w:sz="4" w:space="0"/>
              <w:right w:val="nil"/>
            </w:tcBorders>
            <w:noWrap w:val="0"/>
            <w:vAlign w:val="bottom"/>
          </w:tcPr>
          <w:p>
            <w:pPr>
              <w:rPr>
                <w:rFonts w:ascii="Arial" w:hAnsi="Arial" w:cs="Arial"/>
                <w:color w:val="auto"/>
                <w:sz w:val="20"/>
                <w:szCs w:val="20"/>
                <w:highlight w:val="none"/>
              </w:rPr>
            </w:pPr>
          </w:p>
        </w:tc>
        <w:tc>
          <w:tcPr>
            <w:tcW w:w="2147" w:type="dxa"/>
            <w:tcBorders>
              <w:top w:val="nil"/>
              <w:left w:val="nil"/>
              <w:bottom w:val="single" w:color="000000" w:sz="4" w:space="0"/>
              <w:right w:val="nil"/>
            </w:tcBorders>
            <w:noWrap w:val="0"/>
            <w:vAlign w:val="bottom"/>
          </w:tcPr>
          <w:p>
            <w:pPr>
              <w:jc w:val="right"/>
              <w:rPr>
                <w:rFonts w:ascii="宋体" w:hAnsi="宋体" w:cs="Arial"/>
                <w:color w:val="auto"/>
                <w:sz w:val="20"/>
                <w:szCs w:val="20"/>
                <w:highlight w:val="none"/>
              </w:rPr>
            </w:pPr>
            <w:r>
              <w:rPr>
                <w:rFonts w:hint="eastAsia" w:cs="Arial"/>
                <w:color w:val="auto"/>
                <w:sz w:val="20"/>
                <w:szCs w:val="20"/>
                <w:highlight w:val="none"/>
              </w:rPr>
              <w:t>金额单位：万元</w:t>
            </w:r>
          </w:p>
        </w:tc>
      </w:tr>
      <w:tr>
        <w:tblPrEx>
          <w:tblCellMar>
            <w:top w:w="0" w:type="dxa"/>
            <w:left w:w="108" w:type="dxa"/>
            <w:bottom w:w="0" w:type="dxa"/>
            <w:right w:w="108" w:type="dxa"/>
          </w:tblCellMar>
        </w:tblPrEx>
        <w:trPr>
          <w:trHeight w:val="308" w:hRule="atLeast"/>
        </w:trPr>
        <w:tc>
          <w:tcPr>
            <w:tcW w:w="584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项目</w:t>
            </w:r>
          </w:p>
        </w:tc>
        <w:tc>
          <w:tcPr>
            <w:tcW w:w="1475"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本年支出合计</w:t>
            </w:r>
          </w:p>
        </w:tc>
        <w:tc>
          <w:tcPr>
            <w:tcW w:w="1073"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基本支出</w:t>
            </w:r>
          </w:p>
        </w:tc>
        <w:tc>
          <w:tcPr>
            <w:tcW w:w="1054"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项目支出</w:t>
            </w:r>
          </w:p>
        </w:tc>
        <w:tc>
          <w:tcPr>
            <w:tcW w:w="1443"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上缴上级支出</w:t>
            </w:r>
          </w:p>
        </w:tc>
        <w:tc>
          <w:tcPr>
            <w:tcW w:w="1040"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经营支出</w:t>
            </w:r>
          </w:p>
        </w:tc>
        <w:tc>
          <w:tcPr>
            <w:tcW w:w="2147"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对附属单位补助支出</w:t>
            </w:r>
          </w:p>
        </w:tc>
      </w:tr>
      <w:tr>
        <w:tblPrEx>
          <w:tblCellMar>
            <w:top w:w="0" w:type="dxa"/>
            <w:left w:w="108" w:type="dxa"/>
            <w:bottom w:w="0" w:type="dxa"/>
            <w:right w:w="108" w:type="dxa"/>
          </w:tblCellMar>
        </w:tblPrEx>
        <w:trPr>
          <w:trHeight w:val="312" w:hRule="atLeast"/>
        </w:trPr>
        <w:tc>
          <w:tcPr>
            <w:tcW w:w="1893" w:type="dxa"/>
            <w:gridSpan w:val="3"/>
            <w:vMerge w:val="restart"/>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功能分类科目编码</w:t>
            </w:r>
          </w:p>
        </w:tc>
        <w:tc>
          <w:tcPr>
            <w:tcW w:w="3956" w:type="dxa"/>
            <w:vMerge w:val="restart"/>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科目名称</w:t>
            </w:r>
          </w:p>
        </w:tc>
        <w:tc>
          <w:tcPr>
            <w:tcW w:w="1475"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1073"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1054"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1443"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104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2147"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r>
      <w:tr>
        <w:tblPrEx>
          <w:tblCellMar>
            <w:top w:w="0" w:type="dxa"/>
            <w:left w:w="108" w:type="dxa"/>
            <w:bottom w:w="0" w:type="dxa"/>
            <w:right w:w="108" w:type="dxa"/>
          </w:tblCellMar>
        </w:tblPrEx>
        <w:trPr>
          <w:trHeight w:val="312" w:hRule="atLeast"/>
        </w:trPr>
        <w:tc>
          <w:tcPr>
            <w:tcW w:w="1893" w:type="dxa"/>
            <w:gridSpan w:val="3"/>
            <w:vMerge w:val="continue"/>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3956" w:type="dxa"/>
            <w:vMerge w:val="continue"/>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1475"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1073"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1054"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1443"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104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2147"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r>
      <w:tr>
        <w:tblPrEx>
          <w:tblCellMar>
            <w:top w:w="0" w:type="dxa"/>
            <w:left w:w="108" w:type="dxa"/>
            <w:bottom w:w="0" w:type="dxa"/>
            <w:right w:w="108" w:type="dxa"/>
          </w:tblCellMar>
        </w:tblPrEx>
        <w:trPr>
          <w:trHeight w:val="312" w:hRule="atLeast"/>
        </w:trPr>
        <w:tc>
          <w:tcPr>
            <w:tcW w:w="1893" w:type="dxa"/>
            <w:gridSpan w:val="3"/>
            <w:vMerge w:val="continue"/>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3956" w:type="dxa"/>
            <w:vMerge w:val="continue"/>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1475"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1073"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1054"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1443"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104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2147"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r>
      <w:tr>
        <w:tblPrEx>
          <w:tblCellMar>
            <w:top w:w="0" w:type="dxa"/>
            <w:left w:w="108" w:type="dxa"/>
            <w:bottom w:w="0" w:type="dxa"/>
            <w:right w:w="108" w:type="dxa"/>
          </w:tblCellMar>
        </w:tblPrEx>
        <w:trPr>
          <w:trHeight w:val="308" w:hRule="atLeast"/>
        </w:trPr>
        <w:tc>
          <w:tcPr>
            <w:tcW w:w="5849" w:type="dxa"/>
            <w:gridSpan w:val="4"/>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栏次</w:t>
            </w:r>
          </w:p>
        </w:tc>
        <w:tc>
          <w:tcPr>
            <w:tcW w:w="1475"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1</w:t>
            </w:r>
          </w:p>
        </w:tc>
        <w:tc>
          <w:tcPr>
            <w:tcW w:w="1073"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2</w:t>
            </w:r>
          </w:p>
        </w:tc>
        <w:tc>
          <w:tcPr>
            <w:tcW w:w="1054"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3</w:t>
            </w:r>
          </w:p>
        </w:tc>
        <w:tc>
          <w:tcPr>
            <w:tcW w:w="1443"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4</w:t>
            </w:r>
          </w:p>
        </w:tc>
        <w:tc>
          <w:tcPr>
            <w:tcW w:w="1040"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5</w:t>
            </w:r>
          </w:p>
        </w:tc>
        <w:tc>
          <w:tcPr>
            <w:tcW w:w="2147"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6</w:t>
            </w:r>
          </w:p>
        </w:tc>
      </w:tr>
      <w:tr>
        <w:tblPrEx>
          <w:tblCellMar>
            <w:top w:w="0" w:type="dxa"/>
            <w:left w:w="108" w:type="dxa"/>
            <w:bottom w:w="0" w:type="dxa"/>
            <w:right w:w="108" w:type="dxa"/>
          </w:tblCellMar>
        </w:tblPrEx>
        <w:trPr>
          <w:trHeight w:val="308" w:hRule="atLeast"/>
        </w:trPr>
        <w:tc>
          <w:tcPr>
            <w:tcW w:w="5849" w:type="dxa"/>
            <w:gridSpan w:val="4"/>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合计</w:t>
            </w:r>
          </w:p>
        </w:tc>
        <w:tc>
          <w:tcPr>
            <w:tcW w:w="1475"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b/>
                <w:bCs/>
                <w:color w:val="auto"/>
                <w:sz w:val="22"/>
                <w:highlight w:val="none"/>
              </w:rPr>
            </w:pPr>
            <w:r>
              <w:rPr>
                <w:rFonts w:hint="eastAsia" w:cs="Arial"/>
                <w:b/>
                <w:bCs/>
                <w:color w:val="auto"/>
                <w:sz w:val="22"/>
                <w:highlight w:val="none"/>
              </w:rPr>
              <w:t>547.95</w:t>
            </w:r>
          </w:p>
        </w:tc>
        <w:tc>
          <w:tcPr>
            <w:tcW w:w="1073"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b/>
                <w:bCs/>
                <w:color w:val="auto"/>
                <w:sz w:val="22"/>
                <w:highlight w:val="none"/>
              </w:rPr>
            </w:pPr>
            <w:r>
              <w:rPr>
                <w:rFonts w:hint="eastAsia" w:cs="Arial"/>
                <w:b/>
                <w:bCs/>
                <w:color w:val="auto"/>
                <w:sz w:val="22"/>
                <w:highlight w:val="none"/>
              </w:rPr>
              <w:t>543.20</w:t>
            </w:r>
          </w:p>
        </w:tc>
        <w:tc>
          <w:tcPr>
            <w:tcW w:w="1054"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b/>
                <w:bCs/>
                <w:color w:val="auto"/>
                <w:sz w:val="22"/>
                <w:highlight w:val="none"/>
              </w:rPr>
            </w:pPr>
            <w:r>
              <w:rPr>
                <w:rFonts w:hint="eastAsia" w:cs="Arial"/>
                <w:b/>
                <w:bCs/>
                <w:color w:val="auto"/>
                <w:sz w:val="22"/>
                <w:highlight w:val="none"/>
              </w:rPr>
              <w:t>4.75</w:t>
            </w:r>
          </w:p>
        </w:tc>
        <w:tc>
          <w:tcPr>
            <w:tcW w:w="1443"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b/>
                <w:bCs/>
                <w:color w:val="auto"/>
                <w:sz w:val="22"/>
                <w:highlight w:val="none"/>
              </w:rPr>
            </w:pPr>
            <w:r>
              <w:rPr>
                <w:rFonts w:hint="eastAsia" w:cs="Arial"/>
                <w:b/>
                <w:bCs/>
                <w:color w:val="auto"/>
                <w:sz w:val="22"/>
                <w:highlight w:val="none"/>
              </w:rPr>
              <w:t>　</w:t>
            </w:r>
          </w:p>
        </w:tc>
        <w:tc>
          <w:tcPr>
            <w:tcW w:w="1040"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b/>
                <w:bCs/>
                <w:color w:val="auto"/>
                <w:sz w:val="22"/>
                <w:highlight w:val="none"/>
              </w:rPr>
            </w:pPr>
            <w:r>
              <w:rPr>
                <w:rFonts w:hint="eastAsia" w:cs="Arial"/>
                <w:b/>
                <w:bCs/>
                <w:color w:val="auto"/>
                <w:sz w:val="22"/>
                <w:highlight w:val="none"/>
              </w:rPr>
              <w:t>　</w:t>
            </w:r>
          </w:p>
        </w:tc>
        <w:tc>
          <w:tcPr>
            <w:tcW w:w="2147"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b/>
                <w:bCs/>
                <w:color w:val="auto"/>
                <w:sz w:val="22"/>
                <w:highlight w:val="none"/>
              </w:rPr>
            </w:pPr>
            <w:r>
              <w:rPr>
                <w:rFonts w:hint="eastAsia" w:cs="Arial"/>
                <w:b/>
                <w:bCs/>
                <w:color w:val="auto"/>
                <w:sz w:val="22"/>
                <w:highlight w:val="none"/>
              </w:rPr>
              <w:t>　</w:t>
            </w:r>
          </w:p>
        </w:tc>
      </w:tr>
      <w:tr>
        <w:tblPrEx>
          <w:tblCellMar>
            <w:top w:w="0" w:type="dxa"/>
            <w:left w:w="108" w:type="dxa"/>
            <w:bottom w:w="0" w:type="dxa"/>
            <w:right w:w="108" w:type="dxa"/>
          </w:tblCellMar>
        </w:tblPrEx>
        <w:trPr>
          <w:trHeight w:val="308" w:hRule="atLeast"/>
        </w:trPr>
        <w:tc>
          <w:tcPr>
            <w:tcW w:w="1893" w:type="dxa"/>
            <w:gridSpan w:val="3"/>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201</w:t>
            </w:r>
          </w:p>
        </w:tc>
        <w:tc>
          <w:tcPr>
            <w:tcW w:w="3956" w:type="dxa"/>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一般公共服务支出</w:t>
            </w:r>
          </w:p>
        </w:tc>
        <w:tc>
          <w:tcPr>
            <w:tcW w:w="1475"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2.78</w:t>
            </w:r>
          </w:p>
        </w:tc>
        <w:tc>
          <w:tcPr>
            <w:tcW w:w="107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2.78</w:t>
            </w:r>
          </w:p>
        </w:tc>
        <w:tc>
          <w:tcPr>
            <w:tcW w:w="1054"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44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04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2147"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893" w:type="dxa"/>
            <w:gridSpan w:val="3"/>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20129</w:t>
            </w:r>
          </w:p>
        </w:tc>
        <w:tc>
          <w:tcPr>
            <w:tcW w:w="3956" w:type="dxa"/>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群众团体事务</w:t>
            </w:r>
          </w:p>
        </w:tc>
        <w:tc>
          <w:tcPr>
            <w:tcW w:w="1475"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2.78</w:t>
            </w:r>
          </w:p>
        </w:tc>
        <w:tc>
          <w:tcPr>
            <w:tcW w:w="107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2.78</w:t>
            </w:r>
          </w:p>
        </w:tc>
        <w:tc>
          <w:tcPr>
            <w:tcW w:w="1054"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44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04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2147"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893" w:type="dxa"/>
            <w:gridSpan w:val="3"/>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2012906</w:t>
            </w:r>
          </w:p>
        </w:tc>
        <w:tc>
          <w:tcPr>
            <w:tcW w:w="3956" w:type="dxa"/>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 xml:space="preserve">  工会事务</w:t>
            </w:r>
          </w:p>
        </w:tc>
        <w:tc>
          <w:tcPr>
            <w:tcW w:w="1475"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2.78</w:t>
            </w:r>
          </w:p>
        </w:tc>
        <w:tc>
          <w:tcPr>
            <w:tcW w:w="107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2.78</w:t>
            </w:r>
          </w:p>
        </w:tc>
        <w:tc>
          <w:tcPr>
            <w:tcW w:w="1054"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44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04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2147"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893" w:type="dxa"/>
            <w:gridSpan w:val="3"/>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205</w:t>
            </w:r>
          </w:p>
        </w:tc>
        <w:tc>
          <w:tcPr>
            <w:tcW w:w="3956" w:type="dxa"/>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教育支出</w:t>
            </w:r>
          </w:p>
        </w:tc>
        <w:tc>
          <w:tcPr>
            <w:tcW w:w="1475"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406.93</w:t>
            </w:r>
          </w:p>
        </w:tc>
        <w:tc>
          <w:tcPr>
            <w:tcW w:w="107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402.17</w:t>
            </w:r>
          </w:p>
        </w:tc>
        <w:tc>
          <w:tcPr>
            <w:tcW w:w="1054"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4.75</w:t>
            </w:r>
          </w:p>
        </w:tc>
        <w:tc>
          <w:tcPr>
            <w:tcW w:w="144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04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2147"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893" w:type="dxa"/>
            <w:gridSpan w:val="3"/>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20501</w:t>
            </w:r>
          </w:p>
        </w:tc>
        <w:tc>
          <w:tcPr>
            <w:tcW w:w="3956" w:type="dxa"/>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教育管理事务</w:t>
            </w:r>
          </w:p>
        </w:tc>
        <w:tc>
          <w:tcPr>
            <w:tcW w:w="1475"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406.93</w:t>
            </w:r>
          </w:p>
        </w:tc>
        <w:tc>
          <w:tcPr>
            <w:tcW w:w="107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402.17</w:t>
            </w:r>
          </w:p>
        </w:tc>
        <w:tc>
          <w:tcPr>
            <w:tcW w:w="1054"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4.75</w:t>
            </w:r>
          </w:p>
        </w:tc>
        <w:tc>
          <w:tcPr>
            <w:tcW w:w="144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04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2147"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893" w:type="dxa"/>
            <w:gridSpan w:val="3"/>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2050199</w:t>
            </w:r>
          </w:p>
        </w:tc>
        <w:tc>
          <w:tcPr>
            <w:tcW w:w="3956" w:type="dxa"/>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 xml:space="preserve">  其他教育管理事务支出</w:t>
            </w:r>
          </w:p>
        </w:tc>
        <w:tc>
          <w:tcPr>
            <w:tcW w:w="1475"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406.93</w:t>
            </w:r>
          </w:p>
        </w:tc>
        <w:tc>
          <w:tcPr>
            <w:tcW w:w="107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402.17</w:t>
            </w:r>
          </w:p>
        </w:tc>
        <w:tc>
          <w:tcPr>
            <w:tcW w:w="1054"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4.75</w:t>
            </w:r>
          </w:p>
        </w:tc>
        <w:tc>
          <w:tcPr>
            <w:tcW w:w="144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04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2147"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893" w:type="dxa"/>
            <w:gridSpan w:val="3"/>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208</w:t>
            </w:r>
          </w:p>
        </w:tc>
        <w:tc>
          <w:tcPr>
            <w:tcW w:w="3956" w:type="dxa"/>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社会保障和就业支出</w:t>
            </w:r>
          </w:p>
        </w:tc>
        <w:tc>
          <w:tcPr>
            <w:tcW w:w="1475"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121.93</w:t>
            </w:r>
          </w:p>
        </w:tc>
        <w:tc>
          <w:tcPr>
            <w:tcW w:w="107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121.93</w:t>
            </w:r>
          </w:p>
        </w:tc>
        <w:tc>
          <w:tcPr>
            <w:tcW w:w="1054"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44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04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2147"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893" w:type="dxa"/>
            <w:gridSpan w:val="3"/>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20805</w:t>
            </w:r>
          </w:p>
        </w:tc>
        <w:tc>
          <w:tcPr>
            <w:tcW w:w="3956" w:type="dxa"/>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行政事业单位养老支出</w:t>
            </w:r>
          </w:p>
        </w:tc>
        <w:tc>
          <w:tcPr>
            <w:tcW w:w="1475"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114.78</w:t>
            </w:r>
          </w:p>
        </w:tc>
        <w:tc>
          <w:tcPr>
            <w:tcW w:w="107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114.78</w:t>
            </w:r>
          </w:p>
        </w:tc>
        <w:tc>
          <w:tcPr>
            <w:tcW w:w="1054"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44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04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2147"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893" w:type="dxa"/>
            <w:gridSpan w:val="3"/>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2080502</w:t>
            </w:r>
          </w:p>
        </w:tc>
        <w:tc>
          <w:tcPr>
            <w:tcW w:w="3956" w:type="dxa"/>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 xml:space="preserve">  事业单位离退休</w:t>
            </w:r>
          </w:p>
        </w:tc>
        <w:tc>
          <w:tcPr>
            <w:tcW w:w="1475"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80.78</w:t>
            </w:r>
          </w:p>
        </w:tc>
        <w:tc>
          <w:tcPr>
            <w:tcW w:w="107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80.78</w:t>
            </w:r>
          </w:p>
        </w:tc>
        <w:tc>
          <w:tcPr>
            <w:tcW w:w="1054"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44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04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2147"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893" w:type="dxa"/>
            <w:gridSpan w:val="3"/>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2080505</w:t>
            </w:r>
          </w:p>
        </w:tc>
        <w:tc>
          <w:tcPr>
            <w:tcW w:w="3956" w:type="dxa"/>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 xml:space="preserve">  机关事业单位基本养老保险缴费支出</w:t>
            </w:r>
          </w:p>
        </w:tc>
        <w:tc>
          <w:tcPr>
            <w:tcW w:w="1475"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34.00</w:t>
            </w:r>
          </w:p>
        </w:tc>
        <w:tc>
          <w:tcPr>
            <w:tcW w:w="107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34.00</w:t>
            </w:r>
          </w:p>
        </w:tc>
        <w:tc>
          <w:tcPr>
            <w:tcW w:w="1054"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44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04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2147"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893" w:type="dxa"/>
            <w:gridSpan w:val="3"/>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20808</w:t>
            </w:r>
          </w:p>
        </w:tc>
        <w:tc>
          <w:tcPr>
            <w:tcW w:w="3956" w:type="dxa"/>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抚恤</w:t>
            </w:r>
          </w:p>
        </w:tc>
        <w:tc>
          <w:tcPr>
            <w:tcW w:w="1475"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7.15</w:t>
            </w:r>
          </w:p>
        </w:tc>
        <w:tc>
          <w:tcPr>
            <w:tcW w:w="107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7.15</w:t>
            </w:r>
          </w:p>
        </w:tc>
        <w:tc>
          <w:tcPr>
            <w:tcW w:w="1054"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44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04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2147"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893" w:type="dxa"/>
            <w:gridSpan w:val="3"/>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2080801</w:t>
            </w:r>
          </w:p>
        </w:tc>
        <w:tc>
          <w:tcPr>
            <w:tcW w:w="3956" w:type="dxa"/>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 xml:space="preserve">  死亡抚恤</w:t>
            </w:r>
          </w:p>
        </w:tc>
        <w:tc>
          <w:tcPr>
            <w:tcW w:w="1475"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7.15</w:t>
            </w:r>
          </w:p>
        </w:tc>
        <w:tc>
          <w:tcPr>
            <w:tcW w:w="107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7.15</w:t>
            </w:r>
          </w:p>
        </w:tc>
        <w:tc>
          <w:tcPr>
            <w:tcW w:w="1054"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44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04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2147"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893" w:type="dxa"/>
            <w:gridSpan w:val="3"/>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210</w:t>
            </w:r>
          </w:p>
        </w:tc>
        <w:tc>
          <w:tcPr>
            <w:tcW w:w="3956" w:type="dxa"/>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卫生健康支出</w:t>
            </w:r>
          </w:p>
        </w:tc>
        <w:tc>
          <w:tcPr>
            <w:tcW w:w="1475"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16.31</w:t>
            </w:r>
          </w:p>
        </w:tc>
        <w:tc>
          <w:tcPr>
            <w:tcW w:w="107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16.31</w:t>
            </w:r>
          </w:p>
        </w:tc>
        <w:tc>
          <w:tcPr>
            <w:tcW w:w="1054"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44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04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2147"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893" w:type="dxa"/>
            <w:gridSpan w:val="3"/>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21011</w:t>
            </w:r>
          </w:p>
        </w:tc>
        <w:tc>
          <w:tcPr>
            <w:tcW w:w="3956" w:type="dxa"/>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行政事业单位医疗</w:t>
            </w:r>
          </w:p>
        </w:tc>
        <w:tc>
          <w:tcPr>
            <w:tcW w:w="1475"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16.31</w:t>
            </w:r>
          </w:p>
        </w:tc>
        <w:tc>
          <w:tcPr>
            <w:tcW w:w="107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16.31</w:t>
            </w:r>
          </w:p>
        </w:tc>
        <w:tc>
          <w:tcPr>
            <w:tcW w:w="1054"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44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04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2147"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893" w:type="dxa"/>
            <w:gridSpan w:val="3"/>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2101102</w:t>
            </w:r>
          </w:p>
        </w:tc>
        <w:tc>
          <w:tcPr>
            <w:tcW w:w="3956" w:type="dxa"/>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 xml:space="preserve">  事业单位医疗</w:t>
            </w:r>
          </w:p>
        </w:tc>
        <w:tc>
          <w:tcPr>
            <w:tcW w:w="1475"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16.31</w:t>
            </w:r>
          </w:p>
        </w:tc>
        <w:tc>
          <w:tcPr>
            <w:tcW w:w="107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16.31</w:t>
            </w:r>
          </w:p>
        </w:tc>
        <w:tc>
          <w:tcPr>
            <w:tcW w:w="1054"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44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1040"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2147"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4081" w:type="dxa"/>
            <w:gridSpan w:val="10"/>
            <w:tcBorders>
              <w:top w:val="nil"/>
              <w:left w:val="nil"/>
              <w:bottom w:val="nil"/>
              <w:right w:val="nil"/>
            </w:tcBorders>
            <w:noWrap w:val="0"/>
            <w:vAlign w:val="center"/>
          </w:tcPr>
          <w:p>
            <w:pPr>
              <w:rPr>
                <w:rFonts w:ascii="宋体" w:hAnsi="宋体" w:cs="Arial"/>
                <w:color w:val="auto"/>
                <w:sz w:val="22"/>
                <w:highlight w:val="none"/>
              </w:rPr>
            </w:pPr>
            <w:r>
              <w:rPr>
                <w:rFonts w:hint="eastAsia" w:cs="Arial"/>
                <w:color w:val="auto"/>
                <w:sz w:val="22"/>
                <w:highlight w:val="none"/>
              </w:rPr>
              <w:t>注：本表反映</w:t>
            </w:r>
            <w:r>
              <w:rPr>
                <w:rFonts w:hint="eastAsia" w:cs="Arial"/>
                <w:color w:val="auto"/>
                <w:sz w:val="22"/>
                <w:highlight w:val="none"/>
                <w:lang w:eastAsia="zh-CN"/>
              </w:rPr>
              <w:t>单位</w:t>
            </w:r>
            <w:r>
              <w:rPr>
                <w:rFonts w:hint="eastAsia" w:cs="Arial"/>
                <w:color w:val="auto"/>
                <w:sz w:val="22"/>
                <w:highlight w:val="none"/>
              </w:rPr>
              <w:t>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2915"/>
        <w:gridCol w:w="1058"/>
      </w:tblGrid>
      <w:tr>
        <w:tblPrEx>
          <w:tblCellMar>
            <w:top w:w="0" w:type="dxa"/>
            <w:left w:w="0" w:type="dxa"/>
            <w:bottom w:w="0" w:type="dxa"/>
            <w:right w:w="0" w:type="dxa"/>
          </w:tblCellMar>
        </w:tblPrEx>
        <w:trPr>
          <w:trHeight w:val="360" w:hRule="atLeast"/>
        </w:trPr>
        <w:tc>
          <w:tcPr>
            <w:tcW w:w="12915" w:type="dxa"/>
            <w:tcBorders>
              <w:top w:val="nil"/>
              <w:left w:val="nil"/>
              <w:bottom w:val="nil"/>
              <w:right w:val="nil"/>
            </w:tcBorders>
            <w:noWrap w:val="0"/>
            <w:tcMar>
              <w:top w:w="15" w:type="dxa"/>
              <w:left w:w="15" w:type="dxa"/>
              <w:right w:w="15" w:type="dxa"/>
            </w:tcMar>
            <w:vAlign w:val="center"/>
          </w:tcPr>
          <w:tbl>
            <w:tblPr>
              <w:tblStyle w:val="5"/>
              <w:tblW w:w="0" w:type="auto"/>
              <w:tblInd w:w="0" w:type="dxa"/>
              <w:tblLayout w:type="fixed"/>
              <w:tblCellMar>
                <w:top w:w="0" w:type="dxa"/>
                <w:left w:w="108" w:type="dxa"/>
                <w:bottom w:w="0" w:type="dxa"/>
                <w:right w:w="108" w:type="dxa"/>
              </w:tblCellMar>
            </w:tblPr>
            <w:tblGrid>
              <w:gridCol w:w="3229"/>
              <w:gridCol w:w="460"/>
              <w:gridCol w:w="880"/>
              <w:gridCol w:w="3531"/>
              <w:gridCol w:w="460"/>
              <w:gridCol w:w="880"/>
              <w:gridCol w:w="1036"/>
              <w:gridCol w:w="661"/>
              <w:gridCol w:w="1748"/>
            </w:tblGrid>
            <w:tr>
              <w:tblPrEx>
                <w:tblCellMar>
                  <w:top w:w="0" w:type="dxa"/>
                  <w:left w:w="108" w:type="dxa"/>
                  <w:bottom w:w="0" w:type="dxa"/>
                  <w:right w:w="108" w:type="dxa"/>
                </w:tblCellMar>
              </w:tblPrEx>
              <w:trPr>
                <w:trHeight w:val="390" w:hRule="atLeast"/>
              </w:trPr>
              <w:tc>
                <w:tcPr>
                  <w:tcW w:w="12885" w:type="dxa"/>
                  <w:gridSpan w:val="9"/>
                  <w:tcBorders>
                    <w:top w:val="nil"/>
                    <w:left w:val="nil"/>
                    <w:bottom w:val="nil"/>
                    <w:right w:val="nil"/>
                  </w:tcBorders>
                  <w:noWrap w:val="0"/>
                  <w:vAlign w:val="bottom"/>
                </w:tcPr>
                <w:p>
                  <w:pPr>
                    <w:widowControl/>
                    <w:jc w:val="center"/>
                    <w:rPr>
                      <w:rFonts w:ascii="宋体" w:hAnsi="宋体" w:cs="Arial"/>
                      <w:color w:val="auto"/>
                      <w:kern w:val="0"/>
                      <w:sz w:val="30"/>
                      <w:szCs w:val="30"/>
                      <w:highlight w:val="none"/>
                    </w:rPr>
                  </w:pPr>
                  <w:r>
                    <w:rPr>
                      <w:rFonts w:hint="eastAsia" w:ascii="宋体" w:hAnsi="宋体" w:cs="Arial"/>
                      <w:color w:val="auto"/>
                      <w:kern w:val="0"/>
                      <w:sz w:val="30"/>
                      <w:szCs w:val="30"/>
                      <w:highlight w:val="none"/>
                    </w:rPr>
                    <w:t>财政拨款收入支出决算总表</w:t>
                  </w:r>
                </w:p>
              </w:tc>
            </w:tr>
            <w:tr>
              <w:tblPrEx>
                <w:tblCellMar>
                  <w:top w:w="0" w:type="dxa"/>
                  <w:left w:w="108" w:type="dxa"/>
                  <w:bottom w:w="0" w:type="dxa"/>
                  <w:right w:w="108" w:type="dxa"/>
                </w:tblCellMar>
              </w:tblPrEx>
              <w:trPr>
                <w:trHeight w:val="255" w:hRule="atLeast"/>
              </w:trPr>
              <w:tc>
                <w:tcPr>
                  <w:tcW w:w="3229" w:type="dxa"/>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460" w:type="dxa"/>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880" w:type="dxa"/>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3531" w:type="dxa"/>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460" w:type="dxa"/>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880" w:type="dxa"/>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1036" w:type="dxa"/>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661" w:type="dxa"/>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1748" w:type="dxa"/>
                  <w:tcBorders>
                    <w:top w:val="nil"/>
                    <w:left w:val="nil"/>
                    <w:bottom w:val="nil"/>
                    <w:right w:val="nil"/>
                  </w:tcBorders>
                  <w:noWrap w:val="0"/>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公开04表</w:t>
                  </w:r>
                </w:p>
              </w:tc>
            </w:tr>
            <w:tr>
              <w:tblPrEx>
                <w:tblCellMar>
                  <w:top w:w="0" w:type="dxa"/>
                  <w:left w:w="108" w:type="dxa"/>
                  <w:bottom w:w="0" w:type="dxa"/>
                  <w:right w:w="108" w:type="dxa"/>
                </w:tblCellMar>
              </w:tblPrEx>
              <w:trPr>
                <w:trHeight w:val="255" w:hRule="atLeast"/>
              </w:trPr>
              <w:tc>
                <w:tcPr>
                  <w:tcW w:w="3229" w:type="dxa"/>
                  <w:tcBorders>
                    <w:top w:val="nil"/>
                    <w:left w:val="nil"/>
                    <w:bottom w:val="single" w:color="000000" w:sz="4" w:space="0"/>
                    <w:right w:val="nil"/>
                  </w:tcBorders>
                  <w:noWrap w:val="0"/>
                  <w:vAlign w:val="bottom"/>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lang w:eastAsia="zh-CN"/>
                    </w:rPr>
                    <w:t>单位</w:t>
                  </w:r>
                  <w:r>
                    <w:rPr>
                      <w:rFonts w:hint="eastAsia" w:ascii="宋体" w:hAnsi="宋体" w:cs="Arial"/>
                      <w:color w:val="auto"/>
                      <w:kern w:val="0"/>
                      <w:sz w:val="20"/>
                      <w:szCs w:val="20"/>
                      <w:highlight w:val="none"/>
                    </w:rPr>
                    <w:t>：许昌市普通教育教学研究室</w:t>
                  </w:r>
                </w:p>
              </w:tc>
              <w:tc>
                <w:tcPr>
                  <w:tcW w:w="460" w:type="dxa"/>
                  <w:tcBorders>
                    <w:top w:val="nil"/>
                    <w:left w:val="nil"/>
                    <w:bottom w:val="single" w:color="000000" w:sz="4" w:space="0"/>
                    <w:right w:val="nil"/>
                  </w:tcBorders>
                  <w:noWrap w:val="0"/>
                  <w:vAlign w:val="bottom"/>
                </w:tcPr>
                <w:p>
                  <w:pPr>
                    <w:widowControl/>
                    <w:jc w:val="left"/>
                    <w:rPr>
                      <w:rFonts w:ascii="Arial" w:hAnsi="Arial" w:cs="Arial"/>
                      <w:color w:val="auto"/>
                      <w:kern w:val="0"/>
                      <w:sz w:val="20"/>
                      <w:szCs w:val="20"/>
                      <w:highlight w:val="none"/>
                    </w:rPr>
                  </w:pPr>
                </w:p>
              </w:tc>
              <w:tc>
                <w:tcPr>
                  <w:tcW w:w="880" w:type="dxa"/>
                  <w:tcBorders>
                    <w:top w:val="nil"/>
                    <w:left w:val="nil"/>
                    <w:bottom w:val="single" w:color="000000" w:sz="4" w:space="0"/>
                    <w:right w:val="nil"/>
                  </w:tcBorders>
                  <w:noWrap w:val="0"/>
                  <w:vAlign w:val="bottom"/>
                </w:tcPr>
                <w:p>
                  <w:pPr>
                    <w:widowControl/>
                    <w:jc w:val="left"/>
                    <w:rPr>
                      <w:rFonts w:ascii="Arial" w:hAnsi="Arial" w:cs="Arial"/>
                      <w:color w:val="auto"/>
                      <w:kern w:val="0"/>
                      <w:sz w:val="20"/>
                      <w:szCs w:val="20"/>
                      <w:highlight w:val="none"/>
                    </w:rPr>
                  </w:pPr>
                </w:p>
              </w:tc>
              <w:tc>
                <w:tcPr>
                  <w:tcW w:w="3531" w:type="dxa"/>
                  <w:tcBorders>
                    <w:top w:val="nil"/>
                    <w:left w:val="nil"/>
                    <w:bottom w:val="single" w:color="000000" w:sz="4" w:space="0"/>
                    <w:right w:val="nil"/>
                  </w:tcBorders>
                  <w:noWrap w:val="0"/>
                  <w:vAlign w:val="bottom"/>
                </w:tcPr>
                <w:p>
                  <w:pPr>
                    <w:widowControl/>
                    <w:jc w:val="left"/>
                    <w:rPr>
                      <w:rFonts w:ascii="Arial" w:hAnsi="Arial" w:cs="Arial"/>
                      <w:color w:val="auto"/>
                      <w:kern w:val="0"/>
                      <w:sz w:val="20"/>
                      <w:szCs w:val="20"/>
                      <w:highlight w:val="none"/>
                    </w:rPr>
                  </w:pPr>
                </w:p>
              </w:tc>
              <w:tc>
                <w:tcPr>
                  <w:tcW w:w="460" w:type="dxa"/>
                  <w:tcBorders>
                    <w:top w:val="nil"/>
                    <w:left w:val="nil"/>
                    <w:bottom w:val="single" w:color="000000" w:sz="4" w:space="0"/>
                    <w:right w:val="nil"/>
                  </w:tcBorders>
                  <w:noWrap w:val="0"/>
                  <w:vAlign w:val="bottom"/>
                </w:tcPr>
                <w:p>
                  <w:pPr>
                    <w:widowControl/>
                    <w:jc w:val="left"/>
                    <w:rPr>
                      <w:rFonts w:ascii="Arial" w:hAnsi="Arial" w:cs="Arial"/>
                      <w:color w:val="auto"/>
                      <w:kern w:val="0"/>
                      <w:sz w:val="20"/>
                      <w:szCs w:val="20"/>
                      <w:highlight w:val="none"/>
                    </w:rPr>
                  </w:pPr>
                </w:p>
              </w:tc>
              <w:tc>
                <w:tcPr>
                  <w:tcW w:w="880" w:type="dxa"/>
                  <w:tcBorders>
                    <w:top w:val="nil"/>
                    <w:left w:val="nil"/>
                    <w:bottom w:val="single" w:color="000000" w:sz="4" w:space="0"/>
                    <w:right w:val="nil"/>
                  </w:tcBorders>
                  <w:noWrap w:val="0"/>
                  <w:vAlign w:val="bottom"/>
                </w:tcPr>
                <w:p>
                  <w:pPr>
                    <w:widowControl/>
                    <w:jc w:val="left"/>
                    <w:rPr>
                      <w:rFonts w:ascii="Arial" w:hAnsi="Arial" w:cs="Arial"/>
                      <w:color w:val="auto"/>
                      <w:kern w:val="0"/>
                      <w:sz w:val="20"/>
                      <w:szCs w:val="20"/>
                      <w:highlight w:val="none"/>
                    </w:rPr>
                  </w:pPr>
                </w:p>
              </w:tc>
              <w:tc>
                <w:tcPr>
                  <w:tcW w:w="1036" w:type="dxa"/>
                  <w:tcBorders>
                    <w:top w:val="nil"/>
                    <w:left w:val="nil"/>
                    <w:bottom w:val="single" w:color="000000" w:sz="4" w:space="0"/>
                    <w:right w:val="nil"/>
                  </w:tcBorders>
                  <w:noWrap w:val="0"/>
                  <w:vAlign w:val="bottom"/>
                </w:tcPr>
                <w:p>
                  <w:pPr>
                    <w:widowControl/>
                    <w:jc w:val="left"/>
                    <w:rPr>
                      <w:rFonts w:ascii="Arial" w:hAnsi="Arial" w:cs="Arial"/>
                      <w:color w:val="auto"/>
                      <w:kern w:val="0"/>
                      <w:sz w:val="20"/>
                      <w:szCs w:val="20"/>
                      <w:highlight w:val="none"/>
                    </w:rPr>
                  </w:pPr>
                </w:p>
              </w:tc>
              <w:tc>
                <w:tcPr>
                  <w:tcW w:w="661" w:type="dxa"/>
                  <w:tcBorders>
                    <w:top w:val="nil"/>
                    <w:left w:val="nil"/>
                    <w:bottom w:val="single" w:color="000000" w:sz="4" w:space="0"/>
                    <w:right w:val="nil"/>
                  </w:tcBorders>
                  <w:noWrap w:val="0"/>
                  <w:vAlign w:val="bottom"/>
                </w:tcPr>
                <w:p>
                  <w:pPr>
                    <w:widowControl/>
                    <w:jc w:val="left"/>
                    <w:rPr>
                      <w:rFonts w:ascii="Arial" w:hAnsi="Arial" w:cs="Arial"/>
                      <w:color w:val="auto"/>
                      <w:kern w:val="0"/>
                      <w:sz w:val="20"/>
                      <w:szCs w:val="20"/>
                      <w:highlight w:val="none"/>
                    </w:rPr>
                  </w:pPr>
                </w:p>
              </w:tc>
              <w:tc>
                <w:tcPr>
                  <w:tcW w:w="1748" w:type="dxa"/>
                  <w:tcBorders>
                    <w:top w:val="nil"/>
                    <w:left w:val="nil"/>
                    <w:bottom w:val="single" w:color="000000" w:sz="4" w:space="0"/>
                    <w:right w:val="nil"/>
                  </w:tcBorders>
                  <w:noWrap w:val="0"/>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金额单位：万元</w:t>
                  </w:r>
                </w:p>
              </w:tc>
            </w:tr>
            <w:tr>
              <w:tblPrEx>
                <w:tblCellMar>
                  <w:top w:w="0" w:type="dxa"/>
                  <w:left w:w="108" w:type="dxa"/>
                  <w:bottom w:w="0" w:type="dxa"/>
                  <w:right w:w="108" w:type="dxa"/>
                </w:tblCellMar>
              </w:tblPrEx>
              <w:trPr>
                <w:trHeight w:val="308" w:hRule="atLeast"/>
              </w:trPr>
              <w:tc>
                <w:tcPr>
                  <w:tcW w:w="4569"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收     入</w:t>
                  </w:r>
                </w:p>
              </w:tc>
              <w:tc>
                <w:tcPr>
                  <w:tcW w:w="8316" w:type="dxa"/>
                  <w:gridSpan w:val="6"/>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支     出</w:t>
                  </w:r>
                </w:p>
              </w:tc>
            </w:tr>
            <w:tr>
              <w:tblPrEx>
                <w:tblCellMar>
                  <w:top w:w="0" w:type="dxa"/>
                  <w:left w:w="108" w:type="dxa"/>
                  <w:bottom w:w="0" w:type="dxa"/>
                  <w:right w:w="108" w:type="dxa"/>
                </w:tblCellMar>
              </w:tblPrEx>
              <w:trPr>
                <w:trHeight w:val="312" w:hRule="atLeast"/>
              </w:trPr>
              <w:tc>
                <w:tcPr>
                  <w:tcW w:w="3229"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460" w:type="dxa"/>
                  <w:vMerge w:val="restart"/>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行次</w:t>
                  </w:r>
                </w:p>
              </w:tc>
              <w:tc>
                <w:tcPr>
                  <w:tcW w:w="880" w:type="dxa"/>
                  <w:vMerge w:val="restart"/>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金额</w:t>
                  </w:r>
                </w:p>
              </w:tc>
              <w:tc>
                <w:tcPr>
                  <w:tcW w:w="3531" w:type="dxa"/>
                  <w:vMerge w:val="restart"/>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460" w:type="dxa"/>
                  <w:vMerge w:val="restart"/>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行次</w:t>
                  </w:r>
                </w:p>
              </w:tc>
              <w:tc>
                <w:tcPr>
                  <w:tcW w:w="880"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合计</w:t>
                  </w:r>
                </w:p>
              </w:tc>
              <w:tc>
                <w:tcPr>
                  <w:tcW w:w="1036"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一般公共预算财政拨款</w:t>
                  </w:r>
                </w:p>
              </w:tc>
              <w:tc>
                <w:tcPr>
                  <w:tcW w:w="661"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政府性基金预算财政拨款</w:t>
                  </w:r>
                </w:p>
              </w:tc>
              <w:tc>
                <w:tcPr>
                  <w:tcW w:w="1748"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国有资本经营预算财政拨款</w:t>
                  </w:r>
                </w:p>
              </w:tc>
            </w:tr>
            <w:tr>
              <w:tblPrEx>
                <w:tblCellMar>
                  <w:top w:w="0" w:type="dxa"/>
                  <w:left w:w="108" w:type="dxa"/>
                  <w:bottom w:w="0" w:type="dxa"/>
                  <w:right w:w="108" w:type="dxa"/>
                </w:tblCellMar>
              </w:tblPrEx>
              <w:trPr>
                <w:trHeight w:val="615" w:hRule="atLeast"/>
              </w:trPr>
              <w:tc>
                <w:tcPr>
                  <w:tcW w:w="3229"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p>
              </w:tc>
              <w:tc>
                <w:tcPr>
                  <w:tcW w:w="460" w:type="dxa"/>
                  <w:vMerge w:val="continue"/>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p>
              </w:tc>
              <w:tc>
                <w:tcPr>
                  <w:tcW w:w="880" w:type="dxa"/>
                  <w:vMerge w:val="continue"/>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p>
              </w:tc>
              <w:tc>
                <w:tcPr>
                  <w:tcW w:w="3531" w:type="dxa"/>
                  <w:vMerge w:val="continue"/>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p>
              </w:tc>
              <w:tc>
                <w:tcPr>
                  <w:tcW w:w="460" w:type="dxa"/>
                  <w:vMerge w:val="continue"/>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p>
              </w:tc>
              <w:tc>
                <w:tcPr>
                  <w:tcW w:w="88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auto"/>
                      <w:kern w:val="0"/>
                      <w:sz w:val="22"/>
                      <w:highlight w:val="none"/>
                    </w:rPr>
                  </w:pPr>
                </w:p>
              </w:tc>
              <w:tc>
                <w:tcPr>
                  <w:tcW w:w="1036"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auto"/>
                      <w:kern w:val="0"/>
                      <w:sz w:val="22"/>
                      <w:highlight w:val="none"/>
                    </w:rPr>
                  </w:pPr>
                </w:p>
              </w:tc>
              <w:tc>
                <w:tcPr>
                  <w:tcW w:w="661"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auto"/>
                      <w:kern w:val="0"/>
                      <w:sz w:val="22"/>
                      <w:highlight w:val="none"/>
                    </w:rPr>
                  </w:pPr>
                </w:p>
              </w:tc>
              <w:tc>
                <w:tcPr>
                  <w:tcW w:w="1748"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08" w:hRule="atLeast"/>
              </w:trPr>
              <w:tc>
                <w:tcPr>
                  <w:tcW w:w="3229"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8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3531"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80" w:type="dxa"/>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1036" w:type="dxa"/>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c>
                <w:tcPr>
                  <w:tcW w:w="661" w:type="dxa"/>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w:t>
                  </w:r>
                </w:p>
              </w:tc>
              <w:tc>
                <w:tcPr>
                  <w:tcW w:w="1748" w:type="dxa"/>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w:t>
                  </w:r>
                </w:p>
              </w:tc>
            </w:tr>
            <w:tr>
              <w:tblPrEx>
                <w:tblCellMar>
                  <w:top w:w="0" w:type="dxa"/>
                  <w:left w:w="108" w:type="dxa"/>
                  <w:bottom w:w="0" w:type="dxa"/>
                  <w:right w:w="108" w:type="dxa"/>
                </w:tblCellMar>
              </w:tblPrEx>
              <w:trPr>
                <w:trHeight w:val="308" w:hRule="atLeast"/>
              </w:trPr>
              <w:tc>
                <w:tcPr>
                  <w:tcW w:w="3229"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一、一般公共预算财政拨款</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880" w:type="dxa"/>
                  <w:tcBorders>
                    <w:top w:val="nil"/>
                    <w:left w:val="nil"/>
                    <w:bottom w:val="single" w:color="000000" w:sz="4" w:space="0"/>
                    <w:right w:val="single" w:color="000000" w:sz="4" w:space="0"/>
                  </w:tcBorders>
                  <w:shd w:val="clear" w:color="auto" w:fill="FFFFFF"/>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523.76</w:t>
                  </w:r>
                </w:p>
              </w:tc>
              <w:tc>
                <w:tcPr>
                  <w:tcW w:w="353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一、一般公共服务支出</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33</w:t>
                  </w:r>
                </w:p>
              </w:tc>
              <w:tc>
                <w:tcPr>
                  <w:tcW w:w="8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2.78</w:t>
                  </w:r>
                </w:p>
              </w:tc>
              <w:tc>
                <w:tcPr>
                  <w:tcW w:w="103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2.78</w:t>
                  </w:r>
                </w:p>
              </w:tc>
              <w:tc>
                <w:tcPr>
                  <w:tcW w:w="66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748"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229"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二、政府性基金预算财政拨款</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880" w:type="dxa"/>
                  <w:tcBorders>
                    <w:top w:val="nil"/>
                    <w:left w:val="nil"/>
                    <w:bottom w:val="single" w:color="000000" w:sz="4" w:space="0"/>
                    <w:right w:val="single" w:color="000000" w:sz="4" w:space="0"/>
                  </w:tcBorders>
                  <w:shd w:val="clear" w:color="auto" w:fill="FFFFFF"/>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3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二、外交支出</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34</w:t>
                  </w:r>
                </w:p>
              </w:tc>
              <w:tc>
                <w:tcPr>
                  <w:tcW w:w="8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3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6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748"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229"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三、国有资本经营财政拨款</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c>
                <w:tcPr>
                  <w:tcW w:w="880" w:type="dxa"/>
                  <w:tcBorders>
                    <w:top w:val="nil"/>
                    <w:left w:val="nil"/>
                    <w:bottom w:val="single" w:color="000000" w:sz="4" w:space="0"/>
                    <w:right w:val="single" w:color="000000" w:sz="4" w:space="0"/>
                  </w:tcBorders>
                  <w:shd w:val="clear" w:color="auto" w:fill="FFFFFF"/>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3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三、国防支出</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35</w:t>
                  </w:r>
                </w:p>
              </w:tc>
              <w:tc>
                <w:tcPr>
                  <w:tcW w:w="8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3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6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748"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229"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w:t>
                  </w:r>
                </w:p>
              </w:tc>
              <w:tc>
                <w:tcPr>
                  <w:tcW w:w="880" w:type="dxa"/>
                  <w:tcBorders>
                    <w:top w:val="nil"/>
                    <w:left w:val="nil"/>
                    <w:bottom w:val="single" w:color="000000" w:sz="4" w:space="0"/>
                    <w:right w:val="single" w:color="000000" w:sz="4" w:space="0"/>
                  </w:tcBorders>
                  <w:shd w:val="clear" w:color="auto" w:fill="FFFFFF"/>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3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四、公共安全支出</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36</w:t>
                  </w:r>
                </w:p>
              </w:tc>
              <w:tc>
                <w:tcPr>
                  <w:tcW w:w="8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3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6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748"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229"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w:t>
                  </w:r>
                </w:p>
              </w:tc>
              <w:tc>
                <w:tcPr>
                  <w:tcW w:w="880" w:type="dxa"/>
                  <w:tcBorders>
                    <w:top w:val="nil"/>
                    <w:left w:val="nil"/>
                    <w:bottom w:val="single" w:color="000000" w:sz="4" w:space="0"/>
                    <w:right w:val="single" w:color="000000" w:sz="4" w:space="0"/>
                  </w:tcBorders>
                  <w:shd w:val="clear" w:color="auto" w:fill="FFFFFF"/>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3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五、教育支出</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37</w:t>
                  </w:r>
                </w:p>
              </w:tc>
              <w:tc>
                <w:tcPr>
                  <w:tcW w:w="8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406.84</w:t>
                  </w:r>
                </w:p>
              </w:tc>
              <w:tc>
                <w:tcPr>
                  <w:tcW w:w="103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406.84</w:t>
                  </w:r>
                </w:p>
              </w:tc>
              <w:tc>
                <w:tcPr>
                  <w:tcW w:w="66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748"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229"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w:t>
                  </w:r>
                </w:p>
              </w:tc>
              <w:tc>
                <w:tcPr>
                  <w:tcW w:w="880" w:type="dxa"/>
                  <w:tcBorders>
                    <w:top w:val="nil"/>
                    <w:left w:val="nil"/>
                    <w:bottom w:val="single" w:color="000000" w:sz="4" w:space="0"/>
                    <w:right w:val="single" w:color="000000" w:sz="4" w:space="0"/>
                  </w:tcBorders>
                  <w:shd w:val="clear" w:color="auto" w:fill="FFFFFF"/>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3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六、科学技术支出</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38</w:t>
                  </w:r>
                </w:p>
              </w:tc>
              <w:tc>
                <w:tcPr>
                  <w:tcW w:w="8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3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6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748"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229"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7</w:t>
                  </w:r>
                </w:p>
              </w:tc>
              <w:tc>
                <w:tcPr>
                  <w:tcW w:w="880" w:type="dxa"/>
                  <w:tcBorders>
                    <w:top w:val="nil"/>
                    <w:left w:val="nil"/>
                    <w:bottom w:val="single" w:color="000000" w:sz="4" w:space="0"/>
                    <w:right w:val="single" w:color="000000" w:sz="4" w:space="0"/>
                  </w:tcBorders>
                  <w:shd w:val="clear" w:color="auto" w:fill="FFFFFF"/>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3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七、文化旅游体育与传媒支出</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39</w:t>
                  </w:r>
                </w:p>
              </w:tc>
              <w:tc>
                <w:tcPr>
                  <w:tcW w:w="8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3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6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748"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229"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8</w:t>
                  </w:r>
                </w:p>
              </w:tc>
              <w:tc>
                <w:tcPr>
                  <w:tcW w:w="880" w:type="dxa"/>
                  <w:tcBorders>
                    <w:top w:val="nil"/>
                    <w:left w:val="nil"/>
                    <w:bottom w:val="single" w:color="000000" w:sz="4" w:space="0"/>
                    <w:right w:val="single" w:color="000000" w:sz="4" w:space="0"/>
                  </w:tcBorders>
                  <w:shd w:val="clear" w:color="auto" w:fill="FFFFFF"/>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3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八、社会保障和就业支出</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40</w:t>
                  </w:r>
                </w:p>
              </w:tc>
              <w:tc>
                <w:tcPr>
                  <w:tcW w:w="8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121.93</w:t>
                  </w:r>
                </w:p>
              </w:tc>
              <w:tc>
                <w:tcPr>
                  <w:tcW w:w="103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121.93</w:t>
                  </w:r>
                </w:p>
              </w:tc>
              <w:tc>
                <w:tcPr>
                  <w:tcW w:w="66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748"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229"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9</w:t>
                  </w:r>
                </w:p>
              </w:tc>
              <w:tc>
                <w:tcPr>
                  <w:tcW w:w="880" w:type="dxa"/>
                  <w:tcBorders>
                    <w:top w:val="nil"/>
                    <w:left w:val="nil"/>
                    <w:bottom w:val="single" w:color="000000" w:sz="4" w:space="0"/>
                    <w:right w:val="single" w:color="000000" w:sz="4" w:space="0"/>
                  </w:tcBorders>
                  <w:shd w:val="clear" w:color="auto" w:fill="FFFFFF"/>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3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九、卫生健康支出</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41</w:t>
                  </w:r>
                </w:p>
              </w:tc>
              <w:tc>
                <w:tcPr>
                  <w:tcW w:w="8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16.31</w:t>
                  </w:r>
                </w:p>
              </w:tc>
              <w:tc>
                <w:tcPr>
                  <w:tcW w:w="103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16.31</w:t>
                  </w:r>
                </w:p>
              </w:tc>
              <w:tc>
                <w:tcPr>
                  <w:tcW w:w="66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748"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229"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10</w:t>
                  </w:r>
                </w:p>
              </w:tc>
              <w:tc>
                <w:tcPr>
                  <w:tcW w:w="880" w:type="dxa"/>
                  <w:tcBorders>
                    <w:top w:val="nil"/>
                    <w:left w:val="nil"/>
                    <w:bottom w:val="single" w:color="000000" w:sz="4" w:space="0"/>
                    <w:right w:val="single" w:color="000000" w:sz="4" w:space="0"/>
                  </w:tcBorders>
                  <w:shd w:val="clear" w:color="auto" w:fill="FFFFFF"/>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3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十、节能环保支出</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42</w:t>
                  </w:r>
                </w:p>
              </w:tc>
              <w:tc>
                <w:tcPr>
                  <w:tcW w:w="8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3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6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748"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229"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11</w:t>
                  </w:r>
                </w:p>
              </w:tc>
              <w:tc>
                <w:tcPr>
                  <w:tcW w:w="880" w:type="dxa"/>
                  <w:tcBorders>
                    <w:top w:val="nil"/>
                    <w:left w:val="nil"/>
                    <w:bottom w:val="single" w:color="000000" w:sz="4" w:space="0"/>
                    <w:right w:val="single" w:color="000000" w:sz="4" w:space="0"/>
                  </w:tcBorders>
                  <w:shd w:val="clear" w:color="auto" w:fill="FFFFFF"/>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3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十一、城乡社区支出</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43</w:t>
                  </w:r>
                </w:p>
              </w:tc>
              <w:tc>
                <w:tcPr>
                  <w:tcW w:w="8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3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6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748"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229"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12</w:t>
                  </w:r>
                </w:p>
              </w:tc>
              <w:tc>
                <w:tcPr>
                  <w:tcW w:w="880" w:type="dxa"/>
                  <w:tcBorders>
                    <w:top w:val="nil"/>
                    <w:left w:val="nil"/>
                    <w:bottom w:val="single" w:color="000000" w:sz="4" w:space="0"/>
                    <w:right w:val="single" w:color="000000" w:sz="4" w:space="0"/>
                  </w:tcBorders>
                  <w:shd w:val="clear" w:color="auto" w:fill="FFFFFF"/>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3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十二、农林水支出</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44</w:t>
                  </w:r>
                </w:p>
              </w:tc>
              <w:tc>
                <w:tcPr>
                  <w:tcW w:w="8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3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6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748"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229"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13</w:t>
                  </w:r>
                </w:p>
              </w:tc>
              <w:tc>
                <w:tcPr>
                  <w:tcW w:w="880" w:type="dxa"/>
                  <w:tcBorders>
                    <w:top w:val="nil"/>
                    <w:left w:val="nil"/>
                    <w:bottom w:val="single" w:color="000000" w:sz="4" w:space="0"/>
                    <w:right w:val="single" w:color="000000" w:sz="4" w:space="0"/>
                  </w:tcBorders>
                  <w:shd w:val="clear" w:color="auto" w:fill="FFFFFF"/>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3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十三、交通运输支出</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45</w:t>
                  </w:r>
                </w:p>
              </w:tc>
              <w:tc>
                <w:tcPr>
                  <w:tcW w:w="8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3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6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748"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229"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14</w:t>
                  </w:r>
                </w:p>
              </w:tc>
              <w:tc>
                <w:tcPr>
                  <w:tcW w:w="880" w:type="dxa"/>
                  <w:tcBorders>
                    <w:top w:val="nil"/>
                    <w:left w:val="nil"/>
                    <w:bottom w:val="single" w:color="000000" w:sz="4" w:space="0"/>
                    <w:right w:val="single" w:color="000000" w:sz="4" w:space="0"/>
                  </w:tcBorders>
                  <w:shd w:val="clear" w:color="auto" w:fill="FFFFFF"/>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3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十四、资源勘探工业信息等支出</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46</w:t>
                  </w:r>
                </w:p>
              </w:tc>
              <w:tc>
                <w:tcPr>
                  <w:tcW w:w="8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3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6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748"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229"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15</w:t>
                  </w:r>
                </w:p>
              </w:tc>
              <w:tc>
                <w:tcPr>
                  <w:tcW w:w="880" w:type="dxa"/>
                  <w:tcBorders>
                    <w:top w:val="nil"/>
                    <w:left w:val="nil"/>
                    <w:bottom w:val="single" w:color="000000" w:sz="4" w:space="0"/>
                    <w:right w:val="single" w:color="000000" w:sz="4" w:space="0"/>
                  </w:tcBorders>
                  <w:shd w:val="clear" w:color="auto" w:fill="FFFFFF"/>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3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十五、商业服务业等支出</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47</w:t>
                  </w:r>
                </w:p>
              </w:tc>
              <w:tc>
                <w:tcPr>
                  <w:tcW w:w="8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3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6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748"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229"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16</w:t>
                  </w:r>
                </w:p>
              </w:tc>
              <w:tc>
                <w:tcPr>
                  <w:tcW w:w="880" w:type="dxa"/>
                  <w:tcBorders>
                    <w:top w:val="nil"/>
                    <w:left w:val="nil"/>
                    <w:bottom w:val="single" w:color="000000" w:sz="4" w:space="0"/>
                    <w:right w:val="single" w:color="000000" w:sz="4" w:space="0"/>
                  </w:tcBorders>
                  <w:shd w:val="clear" w:color="auto" w:fill="FFFFFF"/>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3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十六、金融支出</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48</w:t>
                  </w:r>
                </w:p>
              </w:tc>
              <w:tc>
                <w:tcPr>
                  <w:tcW w:w="8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3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6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748"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229"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17</w:t>
                  </w:r>
                </w:p>
              </w:tc>
              <w:tc>
                <w:tcPr>
                  <w:tcW w:w="880" w:type="dxa"/>
                  <w:tcBorders>
                    <w:top w:val="nil"/>
                    <w:left w:val="nil"/>
                    <w:bottom w:val="single" w:color="000000" w:sz="4" w:space="0"/>
                    <w:right w:val="single" w:color="000000" w:sz="4" w:space="0"/>
                  </w:tcBorders>
                  <w:shd w:val="clear" w:color="auto" w:fill="FFFFFF"/>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3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十七、援助其他地区支出</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49</w:t>
                  </w:r>
                </w:p>
              </w:tc>
              <w:tc>
                <w:tcPr>
                  <w:tcW w:w="8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3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6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748"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229"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18</w:t>
                  </w:r>
                </w:p>
              </w:tc>
              <w:tc>
                <w:tcPr>
                  <w:tcW w:w="880" w:type="dxa"/>
                  <w:tcBorders>
                    <w:top w:val="nil"/>
                    <w:left w:val="nil"/>
                    <w:bottom w:val="single" w:color="000000" w:sz="4" w:space="0"/>
                    <w:right w:val="single" w:color="000000" w:sz="4" w:space="0"/>
                  </w:tcBorders>
                  <w:shd w:val="clear" w:color="auto" w:fill="FFFFFF"/>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3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十八、自然资源海洋气象等支出</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50</w:t>
                  </w:r>
                </w:p>
              </w:tc>
              <w:tc>
                <w:tcPr>
                  <w:tcW w:w="8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3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6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748"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229"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19</w:t>
                  </w:r>
                </w:p>
              </w:tc>
              <w:tc>
                <w:tcPr>
                  <w:tcW w:w="880" w:type="dxa"/>
                  <w:tcBorders>
                    <w:top w:val="nil"/>
                    <w:left w:val="nil"/>
                    <w:bottom w:val="single" w:color="000000" w:sz="4" w:space="0"/>
                    <w:right w:val="single" w:color="000000" w:sz="4" w:space="0"/>
                  </w:tcBorders>
                  <w:shd w:val="clear" w:color="auto" w:fill="FFFFFF"/>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3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十九、住房保障支出</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51</w:t>
                  </w:r>
                </w:p>
              </w:tc>
              <w:tc>
                <w:tcPr>
                  <w:tcW w:w="8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3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6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748"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229"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20</w:t>
                  </w:r>
                </w:p>
              </w:tc>
              <w:tc>
                <w:tcPr>
                  <w:tcW w:w="880" w:type="dxa"/>
                  <w:tcBorders>
                    <w:top w:val="nil"/>
                    <w:left w:val="nil"/>
                    <w:bottom w:val="single" w:color="000000" w:sz="4" w:space="0"/>
                    <w:right w:val="single" w:color="000000" w:sz="4" w:space="0"/>
                  </w:tcBorders>
                  <w:shd w:val="clear" w:color="auto" w:fill="FFFFFF"/>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3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二十、粮油物资储备支出</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52</w:t>
                  </w:r>
                </w:p>
              </w:tc>
              <w:tc>
                <w:tcPr>
                  <w:tcW w:w="8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3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6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748"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229"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21</w:t>
                  </w:r>
                </w:p>
              </w:tc>
              <w:tc>
                <w:tcPr>
                  <w:tcW w:w="880" w:type="dxa"/>
                  <w:tcBorders>
                    <w:top w:val="nil"/>
                    <w:left w:val="nil"/>
                    <w:bottom w:val="single" w:color="000000" w:sz="4" w:space="0"/>
                    <w:right w:val="single" w:color="000000" w:sz="4" w:space="0"/>
                  </w:tcBorders>
                  <w:shd w:val="clear" w:color="auto" w:fill="FFFFFF"/>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3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二十一、国有资本经营预算支出</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53</w:t>
                  </w:r>
                </w:p>
              </w:tc>
              <w:tc>
                <w:tcPr>
                  <w:tcW w:w="8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3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6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748"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229"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22</w:t>
                  </w:r>
                </w:p>
              </w:tc>
              <w:tc>
                <w:tcPr>
                  <w:tcW w:w="880" w:type="dxa"/>
                  <w:tcBorders>
                    <w:top w:val="nil"/>
                    <w:left w:val="nil"/>
                    <w:bottom w:val="single" w:color="000000" w:sz="4" w:space="0"/>
                    <w:right w:val="single" w:color="000000" w:sz="4" w:space="0"/>
                  </w:tcBorders>
                  <w:shd w:val="clear" w:color="auto" w:fill="FFFFFF"/>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3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二十二、灾害防治及应急管理支出</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54</w:t>
                  </w:r>
                </w:p>
              </w:tc>
              <w:tc>
                <w:tcPr>
                  <w:tcW w:w="8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3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6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748"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229"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23</w:t>
                  </w:r>
                </w:p>
              </w:tc>
              <w:tc>
                <w:tcPr>
                  <w:tcW w:w="880" w:type="dxa"/>
                  <w:tcBorders>
                    <w:top w:val="nil"/>
                    <w:left w:val="nil"/>
                    <w:bottom w:val="single" w:color="000000" w:sz="4" w:space="0"/>
                    <w:right w:val="single" w:color="000000" w:sz="4" w:space="0"/>
                  </w:tcBorders>
                  <w:shd w:val="clear" w:color="auto" w:fill="FFFFFF"/>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3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二十三、其他支出</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55</w:t>
                  </w:r>
                </w:p>
              </w:tc>
              <w:tc>
                <w:tcPr>
                  <w:tcW w:w="8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3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6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748"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229"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Arial"/>
                      <w:b/>
                      <w:bCs/>
                      <w:color w:val="auto"/>
                      <w:kern w:val="0"/>
                      <w:sz w:val="20"/>
                      <w:szCs w:val="20"/>
                      <w:highlight w:val="none"/>
                    </w:rPr>
                  </w:pPr>
                  <w:r>
                    <w:rPr>
                      <w:rFonts w:hint="eastAsia" w:ascii="宋体" w:hAnsi="宋体" w:cs="Arial"/>
                      <w:b/>
                      <w:bCs/>
                      <w:color w:val="auto"/>
                      <w:kern w:val="0"/>
                      <w:sz w:val="20"/>
                      <w:szCs w:val="20"/>
                      <w:highlight w:val="none"/>
                    </w:rPr>
                    <w:t>　</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24</w:t>
                  </w:r>
                </w:p>
              </w:tc>
              <w:tc>
                <w:tcPr>
                  <w:tcW w:w="880" w:type="dxa"/>
                  <w:tcBorders>
                    <w:top w:val="nil"/>
                    <w:left w:val="nil"/>
                    <w:bottom w:val="single" w:color="000000" w:sz="4" w:space="0"/>
                    <w:right w:val="single" w:color="000000" w:sz="4" w:space="0"/>
                  </w:tcBorders>
                  <w:shd w:val="clear" w:color="auto" w:fill="FFFFFF"/>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3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二十四、债务还本支出</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56</w:t>
                  </w:r>
                </w:p>
              </w:tc>
              <w:tc>
                <w:tcPr>
                  <w:tcW w:w="8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3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6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748"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229"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rPr>
                    <w:t>　</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25</w:t>
                  </w:r>
                </w:p>
              </w:tc>
              <w:tc>
                <w:tcPr>
                  <w:tcW w:w="880" w:type="dxa"/>
                  <w:tcBorders>
                    <w:top w:val="nil"/>
                    <w:left w:val="nil"/>
                    <w:bottom w:val="single" w:color="000000" w:sz="4" w:space="0"/>
                    <w:right w:val="single" w:color="000000" w:sz="4" w:space="0"/>
                  </w:tcBorders>
                  <w:shd w:val="clear" w:color="auto" w:fill="FFFFFF"/>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3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二十五、债务付息支出</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57</w:t>
                  </w:r>
                </w:p>
              </w:tc>
              <w:tc>
                <w:tcPr>
                  <w:tcW w:w="8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3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6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748"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229"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rPr>
                    <w:t>　</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26</w:t>
                  </w:r>
                </w:p>
              </w:tc>
              <w:tc>
                <w:tcPr>
                  <w:tcW w:w="880" w:type="dxa"/>
                  <w:tcBorders>
                    <w:top w:val="nil"/>
                    <w:left w:val="nil"/>
                    <w:bottom w:val="single" w:color="000000" w:sz="4" w:space="0"/>
                    <w:right w:val="single" w:color="000000" w:sz="4" w:space="0"/>
                  </w:tcBorders>
                  <w:shd w:val="clear" w:color="auto" w:fill="FFFFFF"/>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3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二十六、抗疫特别国债安排的支出</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58</w:t>
                  </w:r>
                </w:p>
              </w:tc>
              <w:tc>
                <w:tcPr>
                  <w:tcW w:w="8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3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6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748"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229"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本年收入合计</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27</w:t>
                  </w:r>
                </w:p>
              </w:tc>
              <w:tc>
                <w:tcPr>
                  <w:tcW w:w="880" w:type="dxa"/>
                  <w:tcBorders>
                    <w:top w:val="nil"/>
                    <w:left w:val="nil"/>
                    <w:bottom w:val="single" w:color="000000" w:sz="4" w:space="0"/>
                    <w:right w:val="single" w:color="000000" w:sz="4" w:space="0"/>
                  </w:tcBorders>
                  <w:shd w:val="clear" w:color="auto" w:fill="FFFFFF"/>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523.76</w:t>
                  </w:r>
                </w:p>
              </w:tc>
              <w:tc>
                <w:tcPr>
                  <w:tcW w:w="3531"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本年支出合计</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59</w:t>
                  </w:r>
                </w:p>
              </w:tc>
              <w:tc>
                <w:tcPr>
                  <w:tcW w:w="8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547.87</w:t>
                  </w:r>
                </w:p>
              </w:tc>
              <w:tc>
                <w:tcPr>
                  <w:tcW w:w="103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547.87</w:t>
                  </w:r>
                </w:p>
              </w:tc>
              <w:tc>
                <w:tcPr>
                  <w:tcW w:w="66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748"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229"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年初财政拨款结转和结余</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28</w:t>
                  </w:r>
                </w:p>
              </w:tc>
              <w:tc>
                <w:tcPr>
                  <w:tcW w:w="880" w:type="dxa"/>
                  <w:tcBorders>
                    <w:top w:val="nil"/>
                    <w:left w:val="nil"/>
                    <w:bottom w:val="single" w:color="000000" w:sz="4" w:space="0"/>
                    <w:right w:val="single" w:color="000000" w:sz="4" w:space="0"/>
                  </w:tcBorders>
                  <w:shd w:val="clear" w:color="auto" w:fill="FFFFFF"/>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24.11</w:t>
                  </w:r>
                </w:p>
              </w:tc>
              <w:tc>
                <w:tcPr>
                  <w:tcW w:w="353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年末财政拨款结转和结余</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60</w:t>
                  </w:r>
                </w:p>
              </w:tc>
              <w:tc>
                <w:tcPr>
                  <w:tcW w:w="8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3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6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748"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229"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一般公共预算财政拨款</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29</w:t>
                  </w:r>
                </w:p>
              </w:tc>
              <w:tc>
                <w:tcPr>
                  <w:tcW w:w="880" w:type="dxa"/>
                  <w:tcBorders>
                    <w:top w:val="nil"/>
                    <w:left w:val="nil"/>
                    <w:bottom w:val="single" w:color="000000" w:sz="4" w:space="0"/>
                    <w:right w:val="single" w:color="000000" w:sz="4" w:space="0"/>
                  </w:tcBorders>
                  <w:shd w:val="clear" w:color="auto" w:fill="FFFFFF"/>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24.11</w:t>
                  </w:r>
                </w:p>
              </w:tc>
              <w:tc>
                <w:tcPr>
                  <w:tcW w:w="353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61</w:t>
                  </w:r>
                </w:p>
              </w:tc>
              <w:tc>
                <w:tcPr>
                  <w:tcW w:w="8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3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6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748"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229"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政府性基金预算财政拨款</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30</w:t>
                  </w:r>
                </w:p>
              </w:tc>
              <w:tc>
                <w:tcPr>
                  <w:tcW w:w="880" w:type="dxa"/>
                  <w:tcBorders>
                    <w:top w:val="nil"/>
                    <w:left w:val="nil"/>
                    <w:bottom w:val="single" w:color="000000" w:sz="4" w:space="0"/>
                    <w:right w:val="single" w:color="000000" w:sz="4" w:space="0"/>
                  </w:tcBorders>
                  <w:shd w:val="clear" w:color="auto" w:fill="FFFFFF"/>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3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62</w:t>
                  </w:r>
                </w:p>
              </w:tc>
              <w:tc>
                <w:tcPr>
                  <w:tcW w:w="8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3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6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748"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229"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国有资本经营预算财政拨款</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31</w:t>
                  </w:r>
                </w:p>
              </w:tc>
              <w:tc>
                <w:tcPr>
                  <w:tcW w:w="880" w:type="dxa"/>
                  <w:tcBorders>
                    <w:top w:val="nil"/>
                    <w:left w:val="nil"/>
                    <w:bottom w:val="single" w:color="000000" w:sz="4" w:space="0"/>
                    <w:right w:val="single" w:color="000000" w:sz="4" w:space="0"/>
                  </w:tcBorders>
                  <w:shd w:val="clear" w:color="auto" w:fill="FFFFFF"/>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3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63</w:t>
                  </w:r>
                </w:p>
              </w:tc>
              <w:tc>
                <w:tcPr>
                  <w:tcW w:w="8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3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6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748"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229"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总计</w:t>
                  </w:r>
                </w:p>
              </w:tc>
              <w:tc>
                <w:tcPr>
                  <w:tcW w:w="460" w:type="dxa"/>
                  <w:tcBorders>
                    <w:top w:val="nil"/>
                    <w:left w:val="nil"/>
                    <w:bottom w:val="single" w:color="000000" w:sz="8"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32</w:t>
                  </w:r>
                </w:p>
              </w:tc>
              <w:tc>
                <w:tcPr>
                  <w:tcW w:w="880" w:type="dxa"/>
                  <w:tcBorders>
                    <w:top w:val="nil"/>
                    <w:left w:val="nil"/>
                    <w:bottom w:val="single" w:color="000000" w:sz="4" w:space="0"/>
                    <w:right w:val="single" w:color="000000" w:sz="4" w:space="0"/>
                  </w:tcBorders>
                  <w:shd w:val="clear" w:color="auto" w:fill="FFFFFF"/>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547.87</w:t>
                  </w:r>
                </w:p>
              </w:tc>
              <w:tc>
                <w:tcPr>
                  <w:tcW w:w="3531"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总计</w:t>
                  </w:r>
                </w:p>
              </w:tc>
              <w:tc>
                <w:tcPr>
                  <w:tcW w:w="460"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64</w:t>
                  </w:r>
                </w:p>
              </w:tc>
              <w:tc>
                <w:tcPr>
                  <w:tcW w:w="8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547.87</w:t>
                  </w:r>
                </w:p>
              </w:tc>
              <w:tc>
                <w:tcPr>
                  <w:tcW w:w="103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547.87</w:t>
                  </w:r>
                </w:p>
              </w:tc>
              <w:tc>
                <w:tcPr>
                  <w:tcW w:w="66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748"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585" w:hRule="atLeast"/>
              </w:trPr>
              <w:tc>
                <w:tcPr>
                  <w:tcW w:w="12885" w:type="dxa"/>
                  <w:gridSpan w:val="9"/>
                  <w:tcBorders>
                    <w:top w:val="nil"/>
                    <w:left w:val="nil"/>
                    <w:bottom w:val="nil"/>
                    <w:right w:val="nil"/>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eastAsia="zh-CN"/>
                    </w:rPr>
                    <w:t>单位</w:t>
                  </w:r>
                  <w:r>
                    <w:rPr>
                      <w:rFonts w:hint="eastAsia" w:ascii="宋体" w:hAnsi="宋体" w:cs="Arial"/>
                      <w:color w:val="auto"/>
                      <w:kern w:val="0"/>
                      <w:sz w:val="22"/>
                      <w:highlight w:val="none"/>
                    </w:rPr>
                    <w:t>本年度一般公共预算财政拨款、政府性基金预算财政拨款和国有资本经营预算财政拨款的总收支和年末结转结余情况。本表金额转换为万元时，因四舍五入可能存在尾差。</w:t>
                  </w:r>
                </w:p>
              </w:tc>
            </w:tr>
          </w:tbl>
          <w:p>
            <w:pPr>
              <w:widowControl/>
              <w:textAlignment w:val="center"/>
              <w:rPr>
                <w:rFonts w:ascii="华文中宋" w:hAnsi="华文中宋" w:eastAsia="华文中宋" w:cs="华文中宋"/>
                <w:color w:val="auto"/>
                <w:sz w:val="32"/>
                <w:szCs w:val="32"/>
                <w:highlight w:val="none"/>
              </w:rPr>
            </w:pPr>
          </w:p>
        </w:tc>
        <w:tc>
          <w:tcPr>
            <w:tcW w:w="1058" w:type="dxa"/>
            <w:tcBorders>
              <w:top w:val="nil"/>
              <w:left w:val="nil"/>
              <w:bottom w:val="nil"/>
              <w:right w:val="nil"/>
            </w:tcBorders>
            <w:noWrap w:val="0"/>
            <w:vAlign w:val="top"/>
          </w:tcPr>
          <w:p>
            <w:pPr>
              <w:widowControl/>
              <w:jc w:val="center"/>
              <w:textAlignment w:val="center"/>
              <w:rPr>
                <w:rFonts w:hint="eastAsia" w:ascii="华文中宋" w:hAnsi="华文中宋" w:eastAsia="华文中宋" w:cs="华文中宋"/>
                <w:color w:val="auto"/>
                <w:kern w:val="0"/>
                <w:sz w:val="32"/>
                <w:szCs w:val="32"/>
                <w:highlight w:val="none"/>
                <w:lang w:bidi="ar"/>
              </w:rPr>
            </w:pP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89" w:type="dxa"/>
        <w:tblLayout w:type="fixed"/>
        <w:tblCellMar>
          <w:top w:w="0" w:type="dxa"/>
          <w:left w:w="108" w:type="dxa"/>
          <w:bottom w:w="0" w:type="dxa"/>
          <w:right w:w="108" w:type="dxa"/>
        </w:tblCellMar>
      </w:tblPr>
      <w:tblGrid>
        <w:gridCol w:w="659"/>
        <w:gridCol w:w="659"/>
        <w:gridCol w:w="659"/>
        <w:gridCol w:w="3956"/>
        <w:gridCol w:w="1311"/>
        <w:gridCol w:w="6"/>
        <w:gridCol w:w="2126"/>
        <w:gridCol w:w="3583"/>
      </w:tblGrid>
      <w:tr>
        <w:tblPrEx>
          <w:tblCellMar>
            <w:top w:w="0" w:type="dxa"/>
            <w:left w:w="108" w:type="dxa"/>
            <w:bottom w:w="0" w:type="dxa"/>
            <w:right w:w="108" w:type="dxa"/>
          </w:tblCellMar>
        </w:tblPrEx>
        <w:trPr>
          <w:trHeight w:val="390" w:hRule="atLeast"/>
        </w:trPr>
        <w:tc>
          <w:tcPr>
            <w:tcW w:w="12959" w:type="dxa"/>
            <w:gridSpan w:val="8"/>
            <w:tcBorders>
              <w:top w:val="nil"/>
              <w:left w:val="nil"/>
              <w:bottom w:val="nil"/>
              <w:right w:val="nil"/>
            </w:tcBorders>
            <w:noWrap w:val="0"/>
            <w:vAlign w:val="bottom"/>
          </w:tcPr>
          <w:p>
            <w:pPr>
              <w:jc w:val="center"/>
              <w:rPr>
                <w:rFonts w:ascii="宋体" w:hAnsi="宋体" w:cs="Arial"/>
                <w:color w:val="auto"/>
                <w:sz w:val="30"/>
                <w:szCs w:val="30"/>
                <w:highlight w:val="none"/>
              </w:rPr>
            </w:pPr>
            <w:r>
              <w:rPr>
                <w:rFonts w:hint="eastAsia" w:cs="Arial"/>
                <w:color w:val="auto"/>
                <w:sz w:val="30"/>
                <w:szCs w:val="30"/>
                <w:highlight w:val="none"/>
              </w:rPr>
              <w:t>一般公共预算财政拨款支出决算表</w:t>
            </w:r>
          </w:p>
        </w:tc>
      </w:tr>
      <w:tr>
        <w:tblPrEx>
          <w:tblCellMar>
            <w:top w:w="0" w:type="dxa"/>
            <w:left w:w="108" w:type="dxa"/>
            <w:bottom w:w="0" w:type="dxa"/>
            <w:right w:w="108" w:type="dxa"/>
          </w:tblCellMar>
        </w:tblPrEx>
        <w:trPr>
          <w:trHeight w:val="255" w:hRule="atLeast"/>
        </w:trPr>
        <w:tc>
          <w:tcPr>
            <w:tcW w:w="659" w:type="dxa"/>
            <w:tcBorders>
              <w:top w:val="nil"/>
              <w:left w:val="nil"/>
              <w:bottom w:val="nil"/>
              <w:right w:val="nil"/>
            </w:tcBorders>
            <w:noWrap w:val="0"/>
            <w:vAlign w:val="bottom"/>
          </w:tcPr>
          <w:p>
            <w:pPr>
              <w:rPr>
                <w:rFonts w:ascii="Arial" w:hAnsi="Arial" w:cs="Arial"/>
                <w:color w:val="auto"/>
                <w:sz w:val="20"/>
                <w:szCs w:val="20"/>
                <w:highlight w:val="none"/>
              </w:rPr>
            </w:pPr>
          </w:p>
        </w:tc>
        <w:tc>
          <w:tcPr>
            <w:tcW w:w="659" w:type="dxa"/>
            <w:tcBorders>
              <w:top w:val="nil"/>
              <w:left w:val="nil"/>
              <w:bottom w:val="nil"/>
              <w:right w:val="nil"/>
            </w:tcBorders>
            <w:noWrap w:val="0"/>
            <w:vAlign w:val="bottom"/>
          </w:tcPr>
          <w:p>
            <w:pPr>
              <w:rPr>
                <w:rFonts w:ascii="Arial" w:hAnsi="Arial" w:cs="Arial"/>
                <w:color w:val="auto"/>
                <w:sz w:val="20"/>
                <w:szCs w:val="20"/>
                <w:highlight w:val="none"/>
              </w:rPr>
            </w:pPr>
          </w:p>
        </w:tc>
        <w:tc>
          <w:tcPr>
            <w:tcW w:w="659" w:type="dxa"/>
            <w:tcBorders>
              <w:top w:val="nil"/>
              <w:left w:val="nil"/>
              <w:bottom w:val="nil"/>
              <w:right w:val="nil"/>
            </w:tcBorders>
            <w:noWrap w:val="0"/>
            <w:vAlign w:val="bottom"/>
          </w:tcPr>
          <w:p>
            <w:pPr>
              <w:rPr>
                <w:rFonts w:ascii="Arial" w:hAnsi="Arial" w:cs="Arial"/>
                <w:color w:val="auto"/>
                <w:sz w:val="20"/>
                <w:szCs w:val="20"/>
                <w:highlight w:val="none"/>
              </w:rPr>
            </w:pPr>
          </w:p>
        </w:tc>
        <w:tc>
          <w:tcPr>
            <w:tcW w:w="3956" w:type="dxa"/>
            <w:tcBorders>
              <w:top w:val="nil"/>
              <w:left w:val="nil"/>
              <w:bottom w:val="nil"/>
              <w:right w:val="nil"/>
            </w:tcBorders>
            <w:noWrap w:val="0"/>
            <w:vAlign w:val="bottom"/>
          </w:tcPr>
          <w:p>
            <w:pPr>
              <w:rPr>
                <w:rFonts w:ascii="Arial" w:hAnsi="Arial" w:cs="Arial"/>
                <w:color w:val="auto"/>
                <w:sz w:val="20"/>
                <w:szCs w:val="20"/>
                <w:highlight w:val="none"/>
              </w:rPr>
            </w:pPr>
          </w:p>
        </w:tc>
        <w:tc>
          <w:tcPr>
            <w:tcW w:w="1311" w:type="dxa"/>
            <w:tcBorders>
              <w:top w:val="nil"/>
              <w:left w:val="nil"/>
              <w:bottom w:val="nil"/>
              <w:right w:val="nil"/>
            </w:tcBorders>
            <w:noWrap w:val="0"/>
            <w:vAlign w:val="bottom"/>
          </w:tcPr>
          <w:p>
            <w:pPr>
              <w:rPr>
                <w:rFonts w:ascii="Arial" w:hAnsi="Arial" w:cs="Arial"/>
                <w:color w:val="auto"/>
                <w:sz w:val="20"/>
                <w:szCs w:val="20"/>
                <w:highlight w:val="none"/>
              </w:rPr>
            </w:pPr>
          </w:p>
        </w:tc>
        <w:tc>
          <w:tcPr>
            <w:tcW w:w="2132" w:type="dxa"/>
            <w:gridSpan w:val="2"/>
            <w:tcBorders>
              <w:top w:val="nil"/>
              <w:left w:val="nil"/>
              <w:bottom w:val="nil"/>
              <w:right w:val="nil"/>
            </w:tcBorders>
            <w:noWrap w:val="0"/>
            <w:vAlign w:val="bottom"/>
          </w:tcPr>
          <w:p>
            <w:pPr>
              <w:rPr>
                <w:rFonts w:ascii="Arial" w:hAnsi="Arial" w:cs="Arial"/>
                <w:color w:val="auto"/>
                <w:sz w:val="20"/>
                <w:szCs w:val="20"/>
                <w:highlight w:val="none"/>
              </w:rPr>
            </w:pPr>
          </w:p>
        </w:tc>
        <w:tc>
          <w:tcPr>
            <w:tcW w:w="3583" w:type="dxa"/>
            <w:tcBorders>
              <w:top w:val="nil"/>
              <w:left w:val="nil"/>
              <w:bottom w:val="nil"/>
              <w:right w:val="nil"/>
            </w:tcBorders>
            <w:noWrap w:val="0"/>
            <w:vAlign w:val="bottom"/>
          </w:tcPr>
          <w:p>
            <w:pPr>
              <w:jc w:val="right"/>
              <w:rPr>
                <w:rFonts w:ascii="宋体" w:hAnsi="宋体" w:cs="Arial"/>
                <w:color w:val="auto"/>
                <w:sz w:val="20"/>
                <w:szCs w:val="20"/>
                <w:highlight w:val="none"/>
              </w:rPr>
            </w:pPr>
            <w:r>
              <w:rPr>
                <w:rFonts w:hint="eastAsia" w:cs="Arial"/>
                <w:color w:val="auto"/>
                <w:sz w:val="20"/>
                <w:szCs w:val="20"/>
                <w:highlight w:val="none"/>
              </w:rPr>
              <w:t>公开05表</w:t>
            </w:r>
          </w:p>
        </w:tc>
      </w:tr>
      <w:tr>
        <w:tblPrEx>
          <w:tblCellMar>
            <w:top w:w="0" w:type="dxa"/>
            <w:left w:w="108" w:type="dxa"/>
            <w:bottom w:w="0" w:type="dxa"/>
            <w:right w:w="108" w:type="dxa"/>
          </w:tblCellMar>
        </w:tblPrEx>
        <w:trPr>
          <w:trHeight w:val="255" w:hRule="atLeast"/>
        </w:trPr>
        <w:tc>
          <w:tcPr>
            <w:tcW w:w="5933" w:type="dxa"/>
            <w:gridSpan w:val="4"/>
            <w:tcBorders>
              <w:top w:val="nil"/>
              <w:left w:val="nil"/>
              <w:bottom w:val="single" w:color="000000" w:sz="4" w:space="0"/>
              <w:right w:val="nil"/>
            </w:tcBorders>
            <w:noWrap w:val="0"/>
            <w:vAlign w:val="bottom"/>
          </w:tcPr>
          <w:p>
            <w:pPr>
              <w:rPr>
                <w:rFonts w:ascii="宋体" w:hAnsi="宋体" w:cs="Arial"/>
                <w:color w:val="auto"/>
                <w:sz w:val="20"/>
                <w:szCs w:val="20"/>
                <w:highlight w:val="none"/>
              </w:rPr>
            </w:pPr>
            <w:r>
              <w:rPr>
                <w:rFonts w:hint="eastAsia" w:cs="Arial"/>
                <w:color w:val="auto"/>
                <w:sz w:val="20"/>
                <w:szCs w:val="20"/>
                <w:highlight w:val="none"/>
                <w:lang w:eastAsia="zh-CN"/>
              </w:rPr>
              <w:t>单位</w:t>
            </w:r>
            <w:r>
              <w:rPr>
                <w:rFonts w:hint="eastAsia" w:cs="Arial"/>
                <w:color w:val="auto"/>
                <w:sz w:val="20"/>
                <w:szCs w:val="20"/>
                <w:highlight w:val="none"/>
              </w:rPr>
              <w:t>：许昌市普通教育教学研究室</w:t>
            </w:r>
          </w:p>
        </w:tc>
        <w:tc>
          <w:tcPr>
            <w:tcW w:w="1311" w:type="dxa"/>
            <w:tcBorders>
              <w:top w:val="nil"/>
              <w:left w:val="nil"/>
              <w:bottom w:val="single" w:color="000000" w:sz="4" w:space="0"/>
              <w:right w:val="nil"/>
            </w:tcBorders>
            <w:noWrap w:val="0"/>
            <w:vAlign w:val="bottom"/>
          </w:tcPr>
          <w:p>
            <w:pPr>
              <w:rPr>
                <w:rFonts w:ascii="Arial" w:hAnsi="Arial" w:cs="Arial"/>
                <w:color w:val="auto"/>
                <w:sz w:val="20"/>
                <w:szCs w:val="20"/>
                <w:highlight w:val="none"/>
              </w:rPr>
            </w:pPr>
          </w:p>
        </w:tc>
        <w:tc>
          <w:tcPr>
            <w:tcW w:w="2132" w:type="dxa"/>
            <w:gridSpan w:val="2"/>
            <w:tcBorders>
              <w:top w:val="nil"/>
              <w:left w:val="nil"/>
              <w:bottom w:val="single" w:color="000000" w:sz="4" w:space="0"/>
              <w:right w:val="nil"/>
            </w:tcBorders>
            <w:noWrap w:val="0"/>
            <w:vAlign w:val="bottom"/>
          </w:tcPr>
          <w:p>
            <w:pPr>
              <w:rPr>
                <w:rFonts w:ascii="Arial" w:hAnsi="Arial" w:cs="Arial"/>
                <w:color w:val="auto"/>
                <w:sz w:val="20"/>
                <w:szCs w:val="20"/>
                <w:highlight w:val="none"/>
              </w:rPr>
            </w:pPr>
          </w:p>
        </w:tc>
        <w:tc>
          <w:tcPr>
            <w:tcW w:w="3583" w:type="dxa"/>
            <w:tcBorders>
              <w:top w:val="nil"/>
              <w:left w:val="nil"/>
              <w:bottom w:val="single" w:color="000000" w:sz="4" w:space="0"/>
              <w:right w:val="nil"/>
            </w:tcBorders>
            <w:noWrap w:val="0"/>
            <w:vAlign w:val="bottom"/>
          </w:tcPr>
          <w:p>
            <w:pPr>
              <w:jc w:val="right"/>
              <w:rPr>
                <w:rFonts w:ascii="宋体" w:hAnsi="宋体" w:cs="Arial"/>
                <w:color w:val="auto"/>
                <w:sz w:val="20"/>
                <w:szCs w:val="20"/>
                <w:highlight w:val="none"/>
              </w:rPr>
            </w:pPr>
            <w:r>
              <w:rPr>
                <w:rFonts w:hint="eastAsia" w:cs="Arial"/>
                <w:color w:val="auto"/>
                <w:sz w:val="20"/>
                <w:szCs w:val="20"/>
                <w:highlight w:val="none"/>
              </w:rPr>
              <w:t>金额单位：万元</w:t>
            </w:r>
          </w:p>
        </w:tc>
      </w:tr>
      <w:tr>
        <w:tblPrEx>
          <w:tblCellMar>
            <w:top w:w="0" w:type="dxa"/>
            <w:left w:w="108" w:type="dxa"/>
            <w:bottom w:w="0" w:type="dxa"/>
            <w:right w:w="108" w:type="dxa"/>
          </w:tblCellMar>
        </w:tblPrEx>
        <w:trPr>
          <w:trHeight w:val="308" w:hRule="atLeast"/>
        </w:trPr>
        <w:tc>
          <w:tcPr>
            <w:tcW w:w="5933"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项目</w:t>
            </w:r>
          </w:p>
        </w:tc>
        <w:tc>
          <w:tcPr>
            <w:tcW w:w="7026" w:type="dxa"/>
            <w:gridSpan w:val="4"/>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本年支出</w:t>
            </w:r>
          </w:p>
        </w:tc>
      </w:tr>
      <w:tr>
        <w:tblPrEx>
          <w:tblCellMar>
            <w:top w:w="0" w:type="dxa"/>
            <w:left w:w="108" w:type="dxa"/>
            <w:bottom w:w="0" w:type="dxa"/>
            <w:right w:w="108" w:type="dxa"/>
          </w:tblCellMar>
        </w:tblPrEx>
        <w:trPr>
          <w:trHeight w:val="312" w:hRule="atLeast"/>
        </w:trPr>
        <w:tc>
          <w:tcPr>
            <w:tcW w:w="1977" w:type="dxa"/>
            <w:gridSpan w:val="3"/>
            <w:vMerge w:val="restart"/>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功能分类科目编码</w:t>
            </w:r>
          </w:p>
        </w:tc>
        <w:tc>
          <w:tcPr>
            <w:tcW w:w="3956" w:type="dxa"/>
            <w:vMerge w:val="restart"/>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科目名称</w:t>
            </w:r>
          </w:p>
        </w:tc>
        <w:tc>
          <w:tcPr>
            <w:tcW w:w="1317" w:type="dxa"/>
            <w:gridSpan w:val="2"/>
            <w:vMerge w:val="restart"/>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小计</w:t>
            </w:r>
          </w:p>
        </w:tc>
        <w:tc>
          <w:tcPr>
            <w:tcW w:w="2126" w:type="dxa"/>
            <w:vMerge w:val="restart"/>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基本支出</w:t>
            </w:r>
          </w:p>
        </w:tc>
        <w:tc>
          <w:tcPr>
            <w:tcW w:w="3583" w:type="dxa"/>
            <w:vMerge w:val="restart"/>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项目支出</w:t>
            </w:r>
          </w:p>
        </w:tc>
      </w:tr>
      <w:tr>
        <w:tblPrEx>
          <w:tblCellMar>
            <w:top w:w="0" w:type="dxa"/>
            <w:left w:w="108" w:type="dxa"/>
            <w:bottom w:w="0" w:type="dxa"/>
            <w:right w:w="108" w:type="dxa"/>
          </w:tblCellMar>
        </w:tblPrEx>
        <w:trPr>
          <w:trHeight w:val="312" w:hRule="atLeast"/>
        </w:trPr>
        <w:tc>
          <w:tcPr>
            <w:tcW w:w="1977" w:type="dxa"/>
            <w:gridSpan w:val="3"/>
            <w:vMerge w:val="continue"/>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3956" w:type="dxa"/>
            <w:vMerge w:val="continue"/>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1317" w:type="dxa"/>
            <w:gridSpan w:val="2"/>
            <w:vMerge w:val="continue"/>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2126" w:type="dxa"/>
            <w:vMerge w:val="continue"/>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3583" w:type="dxa"/>
            <w:vMerge w:val="continue"/>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r>
      <w:tr>
        <w:tblPrEx>
          <w:tblCellMar>
            <w:top w:w="0" w:type="dxa"/>
            <w:left w:w="108" w:type="dxa"/>
            <w:bottom w:w="0" w:type="dxa"/>
            <w:right w:w="108" w:type="dxa"/>
          </w:tblCellMar>
        </w:tblPrEx>
        <w:trPr>
          <w:trHeight w:val="312" w:hRule="atLeast"/>
        </w:trPr>
        <w:tc>
          <w:tcPr>
            <w:tcW w:w="1977" w:type="dxa"/>
            <w:gridSpan w:val="3"/>
            <w:vMerge w:val="continue"/>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3956" w:type="dxa"/>
            <w:vMerge w:val="continue"/>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1317" w:type="dxa"/>
            <w:gridSpan w:val="2"/>
            <w:vMerge w:val="continue"/>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2126" w:type="dxa"/>
            <w:vMerge w:val="continue"/>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3583" w:type="dxa"/>
            <w:vMerge w:val="continue"/>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r>
      <w:tr>
        <w:tblPrEx>
          <w:tblCellMar>
            <w:top w:w="0" w:type="dxa"/>
            <w:left w:w="108" w:type="dxa"/>
            <w:bottom w:w="0" w:type="dxa"/>
            <w:right w:w="108" w:type="dxa"/>
          </w:tblCellMar>
        </w:tblPrEx>
        <w:trPr>
          <w:trHeight w:val="308" w:hRule="atLeast"/>
        </w:trPr>
        <w:tc>
          <w:tcPr>
            <w:tcW w:w="5933" w:type="dxa"/>
            <w:gridSpan w:val="4"/>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栏次</w:t>
            </w:r>
          </w:p>
        </w:tc>
        <w:tc>
          <w:tcPr>
            <w:tcW w:w="1317" w:type="dxa"/>
            <w:gridSpan w:val="2"/>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1</w:t>
            </w:r>
          </w:p>
        </w:tc>
        <w:tc>
          <w:tcPr>
            <w:tcW w:w="2126"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2</w:t>
            </w:r>
          </w:p>
        </w:tc>
        <w:tc>
          <w:tcPr>
            <w:tcW w:w="3583"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3</w:t>
            </w:r>
          </w:p>
        </w:tc>
      </w:tr>
      <w:tr>
        <w:tblPrEx>
          <w:tblCellMar>
            <w:top w:w="0" w:type="dxa"/>
            <w:left w:w="108" w:type="dxa"/>
            <w:bottom w:w="0" w:type="dxa"/>
            <w:right w:w="108" w:type="dxa"/>
          </w:tblCellMar>
        </w:tblPrEx>
        <w:trPr>
          <w:trHeight w:val="308" w:hRule="atLeast"/>
        </w:trPr>
        <w:tc>
          <w:tcPr>
            <w:tcW w:w="5933" w:type="dxa"/>
            <w:gridSpan w:val="4"/>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合计</w:t>
            </w:r>
          </w:p>
        </w:tc>
        <w:tc>
          <w:tcPr>
            <w:tcW w:w="1317" w:type="dxa"/>
            <w:gridSpan w:val="2"/>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b/>
                <w:bCs/>
                <w:color w:val="auto"/>
                <w:sz w:val="22"/>
                <w:highlight w:val="none"/>
              </w:rPr>
            </w:pPr>
            <w:r>
              <w:rPr>
                <w:rFonts w:hint="eastAsia" w:cs="Arial"/>
                <w:b/>
                <w:bCs/>
                <w:color w:val="auto"/>
                <w:sz w:val="22"/>
                <w:highlight w:val="none"/>
              </w:rPr>
              <w:t>547.87</w:t>
            </w:r>
          </w:p>
        </w:tc>
        <w:tc>
          <w:tcPr>
            <w:tcW w:w="2126"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b/>
                <w:bCs/>
                <w:color w:val="auto"/>
                <w:sz w:val="22"/>
                <w:highlight w:val="none"/>
              </w:rPr>
            </w:pPr>
            <w:r>
              <w:rPr>
                <w:rFonts w:hint="eastAsia" w:cs="Arial"/>
                <w:b/>
                <w:bCs/>
                <w:color w:val="auto"/>
                <w:sz w:val="22"/>
                <w:highlight w:val="none"/>
              </w:rPr>
              <w:t>543.12</w:t>
            </w:r>
          </w:p>
        </w:tc>
        <w:tc>
          <w:tcPr>
            <w:tcW w:w="3583"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b/>
                <w:bCs/>
                <w:color w:val="auto"/>
                <w:sz w:val="22"/>
                <w:highlight w:val="none"/>
              </w:rPr>
            </w:pPr>
            <w:r>
              <w:rPr>
                <w:rFonts w:hint="eastAsia" w:cs="Arial"/>
                <w:b/>
                <w:bCs/>
                <w:color w:val="auto"/>
                <w:sz w:val="22"/>
                <w:highlight w:val="none"/>
              </w:rPr>
              <w:t>4.75</w:t>
            </w:r>
          </w:p>
        </w:tc>
      </w:tr>
      <w:tr>
        <w:tblPrEx>
          <w:tblCellMar>
            <w:top w:w="0" w:type="dxa"/>
            <w:left w:w="108" w:type="dxa"/>
            <w:bottom w:w="0" w:type="dxa"/>
            <w:right w:w="108" w:type="dxa"/>
          </w:tblCellMar>
        </w:tblPrEx>
        <w:trPr>
          <w:trHeight w:val="308" w:hRule="atLeast"/>
        </w:trPr>
        <w:tc>
          <w:tcPr>
            <w:tcW w:w="1977" w:type="dxa"/>
            <w:gridSpan w:val="3"/>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201</w:t>
            </w:r>
          </w:p>
        </w:tc>
        <w:tc>
          <w:tcPr>
            <w:tcW w:w="3956" w:type="dxa"/>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一般公共服务支出</w:t>
            </w:r>
          </w:p>
        </w:tc>
        <w:tc>
          <w:tcPr>
            <w:tcW w:w="1317" w:type="dxa"/>
            <w:gridSpan w:val="2"/>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2.78</w:t>
            </w:r>
          </w:p>
        </w:tc>
        <w:tc>
          <w:tcPr>
            <w:tcW w:w="2126"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2.78</w:t>
            </w:r>
          </w:p>
        </w:tc>
        <w:tc>
          <w:tcPr>
            <w:tcW w:w="358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977" w:type="dxa"/>
            <w:gridSpan w:val="3"/>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20129</w:t>
            </w:r>
          </w:p>
        </w:tc>
        <w:tc>
          <w:tcPr>
            <w:tcW w:w="3956" w:type="dxa"/>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群众团体事务</w:t>
            </w:r>
          </w:p>
        </w:tc>
        <w:tc>
          <w:tcPr>
            <w:tcW w:w="1317" w:type="dxa"/>
            <w:gridSpan w:val="2"/>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2.78</w:t>
            </w:r>
          </w:p>
        </w:tc>
        <w:tc>
          <w:tcPr>
            <w:tcW w:w="2126"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2.78</w:t>
            </w:r>
          </w:p>
        </w:tc>
        <w:tc>
          <w:tcPr>
            <w:tcW w:w="358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977" w:type="dxa"/>
            <w:gridSpan w:val="3"/>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2012906</w:t>
            </w:r>
          </w:p>
        </w:tc>
        <w:tc>
          <w:tcPr>
            <w:tcW w:w="3956" w:type="dxa"/>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 xml:space="preserve">  工会事务</w:t>
            </w:r>
          </w:p>
        </w:tc>
        <w:tc>
          <w:tcPr>
            <w:tcW w:w="1317" w:type="dxa"/>
            <w:gridSpan w:val="2"/>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2.78</w:t>
            </w:r>
          </w:p>
        </w:tc>
        <w:tc>
          <w:tcPr>
            <w:tcW w:w="2126"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2.78</w:t>
            </w:r>
          </w:p>
        </w:tc>
        <w:tc>
          <w:tcPr>
            <w:tcW w:w="358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977" w:type="dxa"/>
            <w:gridSpan w:val="3"/>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205</w:t>
            </w:r>
          </w:p>
        </w:tc>
        <w:tc>
          <w:tcPr>
            <w:tcW w:w="3956" w:type="dxa"/>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教育支出</w:t>
            </w:r>
          </w:p>
        </w:tc>
        <w:tc>
          <w:tcPr>
            <w:tcW w:w="1317" w:type="dxa"/>
            <w:gridSpan w:val="2"/>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406.84</w:t>
            </w:r>
          </w:p>
        </w:tc>
        <w:tc>
          <w:tcPr>
            <w:tcW w:w="2126"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402.09</w:t>
            </w:r>
          </w:p>
        </w:tc>
        <w:tc>
          <w:tcPr>
            <w:tcW w:w="358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4.75</w:t>
            </w:r>
          </w:p>
        </w:tc>
      </w:tr>
      <w:tr>
        <w:tblPrEx>
          <w:tblCellMar>
            <w:top w:w="0" w:type="dxa"/>
            <w:left w:w="108" w:type="dxa"/>
            <w:bottom w:w="0" w:type="dxa"/>
            <w:right w:w="108" w:type="dxa"/>
          </w:tblCellMar>
        </w:tblPrEx>
        <w:trPr>
          <w:trHeight w:val="308" w:hRule="atLeast"/>
        </w:trPr>
        <w:tc>
          <w:tcPr>
            <w:tcW w:w="1977" w:type="dxa"/>
            <w:gridSpan w:val="3"/>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20501</w:t>
            </w:r>
          </w:p>
        </w:tc>
        <w:tc>
          <w:tcPr>
            <w:tcW w:w="3956" w:type="dxa"/>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教育管理事务</w:t>
            </w:r>
          </w:p>
        </w:tc>
        <w:tc>
          <w:tcPr>
            <w:tcW w:w="1317" w:type="dxa"/>
            <w:gridSpan w:val="2"/>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406.84</w:t>
            </w:r>
          </w:p>
        </w:tc>
        <w:tc>
          <w:tcPr>
            <w:tcW w:w="2126"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402.09</w:t>
            </w:r>
          </w:p>
        </w:tc>
        <w:tc>
          <w:tcPr>
            <w:tcW w:w="358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4.75</w:t>
            </w:r>
          </w:p>
        </w:tc>
      </w:tr>
      <w:tr>
        <w:tblPrEx>
          <w:tblCellMar>
            <w:top w:w="0" w:type="dxa"/>
            <w:left w:w="108" w:type="dxa"/>
            <w:bottom w:w="0" w:type="dxa"/>
            <w:right w:w="108" w:type="dxa"/>
          </w:tblCellMar>
        </w:tblPrEx>
        <w:trPr>
          <w:trHeight w:val="308" w:hRule="atLeast"/>
        </w:trPr>
        <w:tc>
          <w:tcPr>
            <w:tcW w:w="1977" w:type="dxa"/>
            <w:gridSpan w:val="3"/>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2050199</w:t>
            </w:r>
          </w:p>
        </w:tc>
        <w:tc>
          <w:tcPr>
            <w:tcW w:w="3956" w:type="dxa"/>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 xml:space="preserve">  其他教育管理事务支出</w:t>
            </w:r>
          </w:p>
        </w:tc>
        <w:tc>
          <w:tcPr>
            <w:tcW w:w="1317" w:type="dxa"/>
            <w:gridSpan w:val="2"/>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406.84</w:t>
            </w:r>
          </w:p>
        </w:tc>
        <w:tc>
          <w:tcPr>
            <w:tcW w:w="2126"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402.09</w:t>
            </w:r>
          </w:p>
        </w:tc>
        <w:tc>
          <w:tcPr>
            <w:tcW w:w="358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4.75</w:t>
            </w:r>
          </w:p>
        </w:tc>
      </w:tr>
      <w:tr>
        <w:tblPrEx>
          <w:tblCellMar>
            <w:top w:w="0" w:type="dxa"/>
            <w:left w:w="108" w:type="dxa"/>
            <w:bottom w:w="0" w:type="dxa"/>
            <w:right w:w="108" w:type="dxa"/>
          </w:tblCellMar>
        </w:tblPrEx>
        <w:trPr>
          <w:trHeight w:val="308" w:hRule="atLeast"/>
        </w:trPr>
        <w:tc>
          <w:tcPr>
            <w:tcW w:w="1977" w:type="dxa"/>
            <w:gridSpan w:val="3"/>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208</w:t>
            </w:r>
          </w:p>
        </w:tc>
        <w:tc>
          <w:tcPr>
            <w:tcW w:w="3956" w:type="dxa"/>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社会保障和就业支出</w:t>
            </w:r>
          </w:p>
        </w:tc>
        <w:tc>
          <w:tcPr>
            <w:tcW w:w="1317" w:type="dxa"/>
            <w:gridSpan w:val="2"/>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121.93</w:t>
            </w:r>
          </w:p>
        </w:tc>
        <w:tc>
          <w:tcPr>
            <w:tcW w:w="2126"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121.93</w:t>
            </w:r>
          </w:p>
        </w:tc>
        <w:tc>
          <w:tcPr>
            <w:tcW w:w="358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977" w:type="dxa"/>
            <w:gridSpan w:val="3"/>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20805</w:t>
            </w:r>
          </w:p>
        </w:tc>
        <w:tc>
          <w:tcPr>
            <w:tcW w:w="3956" w:type="dxa"/>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行政事业单位养老支出</w:t>
            </w:r>
          </w:p>
        </w:tc>
        <w:tc>
          <w:tcPr>
            <w:tcW w:w="1317" w:type="dxa"/>
            <w:gridSpan w:val="2"/>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114.78</w:t>
            </w:r>
          </w:p>
        </w:tc>
        <w:tc>
          <w:tcPr>
            <w:tcW w:w="2126"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114.78</w:t>
            </w:r>
          </w:p>
        </w:tc>
        <w:tc>
          <w:tcPr>
            <w:tcW w:w="358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977" w:type="dxa"/>
            <w:gridSpan w:val="3"/>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2080502</w:t>
            </w:r>
          </w:p>
        </w:tc>
        <w:tc>
          <w:tcPr>
            <w:tcW w:w="3956" w:type="dxa"/>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 xml:space="preserve">  事业单位离退休</w:t>
            </w:r>
          </w:p>
        </w:tc>
        <w:tc>
          <w:tcPr>
            <w:tcW w:w="1317" w:type="dxa"/>
            <w:gridSpan w:val="2"/>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80.78</w:t>
            </w:r>
          </w:p>
        </w:tc>
        <w:tc>
          <w:tcPr>
            <w:tcW w:w="2126"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80.78</w:t>
            </w:r>
          </w:p>
        </w:tc>
        <w:tc>
          <w:tcPr>
            <w:tcW w:w="358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977" w:type="dxa"/>
            <w:gridSpan w:val="3"/>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2080505</w:t>
            </w:r>
          </w:p>
        </w:tc>
        <w:tc>
          <w:tcPr>
            <w:tcW w:w="3956" w:type="dxa"/>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 xml:space="preserve">  机关事业单位基本养老保险缴费支出</w:t>
            </w:r>
          </w:p>
        </w:tc>
        <w:tc>
          <w:tcPr>
            <w:tcW w:w="1317" w:type="dxa"/>
            <w:gridSpan w:val="2"/>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34.00</w:t>
            </w:r>
          </w:p>
        </w:tc>
        <w:tc>
          <w:tcPr>
            <w:tcW w:w="2126"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34.00</w:t>
            </w:r>
          </w:p>
        </w:tc>
        <w:tc>
          <w:tcPr>
            <w:tcW w:w="358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977" w:type="dxa"/>
            <w:gridSpan w:val="3"/>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20808</w:t>
            </w:r>
          </w:p>
        </w:tc>
        <w:tc>
          <w:tcPr>
            <w:tcW w:w="3956" w:type="dxa"/>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抚恤</w:t>
            </w:r>
          </w:p>
        </w:tc>
        <w:tc>
          <w:tcPr>
            <w:tcW w:w="1317" w:type="dxa"/>
            <w:gridSpan w:val="2"/>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7.15</w:t>
            </w:r>
          </w:p>
        </w:tc>
        <w:tc>
          <w:tcPr>
            <w:tcW w:w="2126"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7.15</w:t>
            </w:r>
          </w:p>
        </w:tc>
        <w:tc>
          <w:tcPr>
            <w:tcW w:w="358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977" w:type="dxa"/>
            <w:gridSpan w:val="3"/>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2080801</w:t>
            </w:r>
          </w:p>
        </w:tc>
        <w:tc>
          <w:tcPr>
            <w:tcW w:w="3956" w:type="dxa"/>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 xml:space="preserve">  死亡抚恤</w:t>
            </w:r>
          </w:p>
        </w:tc>
        <w:tc>
          <w:tcPr>
            <w:tcW w:w="1317" w:type="dxa"/>
            <w:gridSpan w:val="2"/>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7.15</w:t>
            </w:r>
          </w:p>
        </w:tc>
        <w:tc>
          <w:tcPr>
            <w:tcW w:w="2126"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7.15</w:t>
            </w:r>
          </w:p>
        </w:tc>
        <w:tc>
          <w:tcPr>
            <w:tcW w:w="358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977" w:type="dxa"/>
            <w:gridSpan w:val="3"/>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210</w:t>
            </w:r>
          </w:p>
        </w:tc>
        <w:tc>
          <w:tcPr>
            <w:tcW w:w="3956" w:type="dxa"/>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卫生健康支出</w:t>
            </w:r>
          </w:p>
        </w:tc>
        <w:tc>
          <w:tcPr>
            <w:tcW w:w="1317" w:type="dxa"/>
            <w:gridSpan w:val="2"/>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16.31</w:t>
            </w:r>
          </w:p>
        </w:tc>
        <w:tc>
          <w:tcPr>
            <w:tcW w:w="2126"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16.31</w:t>
            </w:r>
          </w:p>
        </w:tc>
        <w:tc>
          <w:tcPr>
            <w:tcW w:w="358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977" w:type="dxa"/>
            <w:gridSpan w:val="3"/>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21011</w:t>
            </w:r>
          </w:p>
        </w:tc>
        <w:tc>
          <w:tcPr>
            <w:tcW w:w="3956" w:type="dxa"/>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行政事业单位医疗</w:t>
            </w:r>
          </w:p>
        </w:tc>
        <w:tc>
          <w:tcPr>
            <w:tcW w:w="1317" w:type="dxa"/>
            <w:gridSpan w:val="2"/>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16.31</w:t>
            </w:r>
          </w:p>
        </w:tc>
        <w:tc>
          <w:tcPr>
            <w:tcW w:w="2126"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16.31</w:t>
            </w:r>
          </w:p>
        </w:tc>
        <w:tc>
          <w:tcPr>
            <w:tcW w:w="358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977" w:type="dxa"/>
            <w:gridSpan w:val="3"/>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2101102</w:t>
            </w:r>
          </w:p>
        </w:tc>
        <w:tc>
          <w:tcPr>
            <w:tcW w:w="3956" w:type="dxa"/>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r>
              <w:rPr>
                <w:rFonts w:hint="eastAsia" w:cs="Arial"/>
                <w:color w:val="auto"/>
                <w:sz w:val="22"/>
                <w:highlight w:val="none"/>
              </w:rPr>
              <w:t xml:space="preserve">  事业单位医疗</w:t>
            </w:r>
          </w:p>
        </w:tc>
        <w:tc>
          <w:tcPr>
            <w:tcW w:w="1317" w:type="dxa"/>
            <w:gridSpan w:val="2"/>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16.31</w:t>
            </w:r>
          </w:p>
        </w:tc>
        <w:tc>
          <w:tcPr>
            <w:tcW w:w="2126"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16.31</w:t>
            </w:r>
          </w:p>
        </w:tc>
        <w:tc>
          <w:tcPr>
            <w:tcW w:w="358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959" w:type="dxa"/>
            <w:gridSpan w:val="8"/>
            <w:tcBorders>
              <w:top w:val="nil"/>
              <w:left w:val="nil"/>
              <w:bottom w:val="nil"/>
              <w:right w:val="nil"/>
            </w:tcBorders>
            <w:noWrap w:val="0"/>
            <w:vAlign w:val="center"/>
          </w:tcPr>
          <w:p>
            <w:pPr>
              <w:rPr>
                <w:rFonts w:ascii="宋体" w:hAnsi="宋体" w:cs="Arial"/>
                <w:color w:val="auto"/>
                <w:sz w:val="22"/>
                <w:highlight w:val="none"/>
              </w:rPr>
            </w:pPr>
            <w:r>
              <w:rPr>
                <w:rFonts w:hint="eastAsia" w:cs="Arial"/>
                <w:color w:val="auto"/>
                <w:sz w:val="22"/>
                <w:highlight w:val="none"/>
              </w:rPr>
              <w:t>注：本表反映</w:t>
            </w:r>
            <w:r>
              <w:rPr>
                <w:rFonts w:hint="eastAsia" w:cs="Arial"/>
                <w:color w:val="auto"/>
                <w:sz w:val="22"/>
                <w:highlight w:val="none"/>
                <w:lang w:eastAsia="zh-CN"/>
              </w:rPr>
              <w:t>单位</w:t>
            </w:r>
            <w:r>
              <w:rPr>
                <w:rFonts w:hint="eastAsia" w:cs="Arial"/>
                <w:color w:val="auto"/>
                <w:sz w:val="22"/>
                <w:highlight w:val="none"/>
              </w:rPr>
              <w:t>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93" w:type="dxa"/>
        <w:tblLayout w:type="fixed"/>
        <w:tblCellMar>
          <w:top w:w="0" w:type="dxa"/>
          <w:left w:w="108" w:type="dxa"/>
          <w:bottom w:w="0" w:type="dxa"/>
          <w:right w:w="108" w:type="dxa"/>
        </w:tblCellMar>
      </w:tblPr>
      <w:tblGrid>
        <w:gridCol w:w="784"/>
        <w:gridCol w:w="3061"/>
        <w:gridCol w:w="899"/>
        <w:gridCol w:w="840"/>
        <w:gridCol w:w="1883"/>
        <w:gridCol w:w="892"/>
        <w:gridCol w:w="930"/>
        <w:gridCol w:w="3459"/>
        <w:gridCol w:w="1333"/>
      </w:tblGrid>
      <w:tr>
        <w:tblPrEx>
          <w:tblCellMar>
            <w:top w:w="0" w:type="dxa"/>
            <w:left w:w="108" w:type="dxa"/>
            <w:bottom w:w="0" w:type="dxa"/>
            <w:right w:w="108" w:type="dxa"/>
          </w:tblCellMar>
        </w:tblPrEx>
        <w:trPr>
          <w:trHeight w:val="390" w:hRule="atLeast"/>
        </w:trPr>
        <w:tc>
          <w:tcPr>
            <w:tcW w:w="14081" w:type="dxa"/>
            <w:gridSpan w:val="9"/>
            <w:tcBorders>
              <w:top w:val="nil"/>
              <w:left w:val="nil"/>
              <w:bottom w:val="nil"/>
              <w:right w:val="nil"/>
            </w:tcBorders>
            <w:noWrap w:val="0"/>
            <w:vAlign w:val="bottom"/>
          </w:tcPr>
          <w:p>
            <w:pPr>
              <w:jc w:val="center"/>
              <w:rPr>
                <w:rFonts w:ascii="宋体" w:hAnsi="宋体" w:cs="Arial"/>
                <w:color w:val="auto"/>
                <w:sz w:val="30"/>
                <w:szCs w:val="30"/>
                <w:highlight w:val="none"/>
              </w:rPr>
            </w:pPr>
            <w:r>
              <w:rPr>
                <w:rFonts w:hint="eastAsia" w:cs="Arial"/>
                <w:color w:val="auto"/>
                <w:sz w:val="30"/>
                <w:szCs w:val="30"/>
                <w:highlight w:val="none"/>
              </w:rPr>
              <w:t>一般公共预算财政拨款基本支出决算表</w:t>
            </w:r>
          </w:p>
        </w:tc>
      </w:tr>
      <w:tr>
        <w:tblPrEx>
          <w:tblCellMar>
            <w:top w:w="0" w:type="dxa"/>
            <w:left w:w="108" w:type="dxa"/>
            <w:bottom w:w="0" w:type="dxa"/>
            <w:right w:w="108" w:type="dxa"/>
          </w:tblCellMar>
        </w:tblPrEx>
        <w:trPr>
          <w:trHeight w:val="255" w:hRule="atLeast"/>
        </w:trPr>
        <w:tc>
          <w:tcPr>
            <w:tcW w:w="784" w:type="dxa"/>
            <w:tcBorders>
              <w:top w:val="nil"/>
              <w:left w:val="nil"/>
              <w:bottom w:val="nil"/>
              <w:right w:val="nil"/>
            </w:tcBorders>
            <w:noWrap w:val="0"/>
            <w:vAlign w:val="bottom"/>
          </w:tcPr>
          <w:p>
            <w:pPr>
              <w:rPr>
                <w:rFonts w:ascii="Arial" w:hAnsi="Arial" w:cs="Arial"/>
                <w:color w:val="auto"/>
                <w:sz w:val="20"/>
                <w:szCs w:val="20"/>
                <w:highlight w:val="none"/>
              </w:rPr>
            </w:pPr>
          </w:p>
        </w:tc>
        <w:tc>
          <w:tcPr>
            <w:tcW w:w="3061" w:type="dxa"/>
            <w:tcBorders>
              <w:top w:val="nil"/>
              <w:left w:val="nil"/>
              <w:bottom w:val="nil"/>
              <w:right w:val="nil"/>
            </w:tcBorders>
            <w:noWrap w:val="0"/>
            <w:vAlign w:val="bottom"/>
          </w:tcPr>
          <w:p>
            <w:pPr>
              <w:rPr>
                <w:rFonts w:ascii="Arial" w:hAnsi="Arial" w:cs="Arial"/>
                <w:color w:val="auto"/>
                <w:sz w:val="20"/>
                <w:szCs w:val="20"/>
                <w:highlight w:val="none"/>
              </w:rPr>
            </w:pPr>
          </w:p>
        </w:tc>
        <w:tc>
          <w:tcPr>
            <w:tcW w:w="899" w:type="dxa"/>
            <w:tcBorders>
              <w:top w:val="nil"/>
              <w:left w:val="nil"/>
              <w:bottom w:val="nil"/>
              <w:right w:val="nil"/>
            </w:tcBorders>
            <w:noWrap w:val="0"/>
            <w:vAlign w:val="bottom"/>
          </w:tcPr>
          <w:p>
            <w:pPr>
              <w:rPr>
                <w:rFonts w:ascii="Arial" w:hAnsi="Arial" w:cs="Arial"/>
                <w:color w:val="auto"/>
                <w:sz w:val="20"/>
                <w:szCs w:val="20"/>
                <w:highlight w:val="none"/>
              </w:rPr>
            </w:pPr>
          </w:p>
        </w:tc>
        <w:tc>
          <w:tcPr>
            <w:tcW w:w="840" w:type="dxa"/>
            <w:tcBorders>
              <w:top w:val="nil"/>
              <w:left w:val="nil"/>
              <w:bottom w:val="nil"/>
              <w:right w:val="nil"/>
            </w:tcBorders>
            <w:noWrap w:val="0"/>
            <w:vAlign w:val="bottom"/>
          </w:tcPr>
          <w:p>
            <w:pPr>
              <w:rPr>
                <w:rFonts w:ascii="Arial" w:hAnsi="Arial" w:cs="Arial"/>
                <w:color w:val="auto"/>
                <w:sz w:val="20"/>
                <w:szCs w:val="20"/>
                <w:highlight w:val="none"/>
              </w:rPr>
            </w:pPr>
          </w:p>
        </w:tc>
        <w:tc>
          <w:tcPr>
            <w:tcW w:w="1883" w:type="dxa"/>
            <w:tcBorders>
              <w:top w:val="nil"/>
              <w:left w:val="nil"/>
              <w:bottom w:val="nil"/>
              <w:right w:val="nil"/>
            </w:tcBorders>
            <w:noWrap w:val="0"/>
            <w:vAlign w:val="bottom"/>
          </w:tcPr>
          <w:p>
            <w:pPr>
              <w:rPr>
                <w:rFonts w:ascii="Arial" w:hAnsi="Arial" w:cs="Arial"/>
                <w:color w:val="auto"/>
                <w:sz w:val="20"/>
                <w:szCs w:val="20"/>
                <w:highlight w:val="none"/>
              </w:rPr>
            </w:pPr>
          </w:p>
        </w:tc>
        <w:tc>
          <w:tcPr>
            <w:tcW w:w="892" w:type="dxa"/>
            <w:tcBorders>
              <w:top w:val="nil"/>
              <w:left w:val="nil"/>
              <w:bottom w:val="nil"/>
              <w:right w:val="nil"/>
            </w:tcBorders>
            <w:noWrap w:val="0"/>
            <w:vAlign w:val="bottom"/>
          </w:tcPr>
          <w:p>
            <w:pPr>
              <w:rPr>
                <w:rFonts w:ascii="Arial" w:hAnsi="Arial" w:cs="Arial"/>
                <w:color w:val="auto"/>
                <w:sz w:val="20"/>
                <w:szCs w:val="20"/>
                <w:highlight w:val="none"/>
              </w:rPr>
            </w:pPr>
          </w:p>
        </w:tc>
        <w:tc>
          <w:tcPr>
            <w:tcW w:w="930" w:type="dxa"/>
            <w:tcBorders>
              <w:top w:val="nil"/>
              <w:left w:val="nil"/>
              <w:bottom w:val="nil"/>
              <w:right w:val="nil"/>
            </w:tcBorders>
            <w:noWrap w:val="0"/>
            <w:vAlign w:val="bottom"/>
          </w:tcPr>
          <w:p>
            <w:pPr>
              <w:rPr>
                <w:rFonts w:ascii="Arial" w:hAnsi="Arial" w:cs="Arial"/>
                <w:color w:val="auto"/>
                <w:sz w:val="20"/>
                <w:szCs w:val="20"/>
                <w:highlight w:val="none"/>
              </w:rPr>
            </w:pPr>
          </w:p>
        </w:tc>
        <w:tc>
          <w:tcPr>
            <w:tcW w:w="3459" w:type="dxa"/>
            <w:tcBorders>
              <w:top w:val="nil"/>
              <w:left w:val="nil"/>
              <w:bottom w:val="nil"/>
              <w:right w:val="nil"/>
            </w:tcBorders>
            <w:noWrap w:val="0"/>
            <w:vAlign w:val="bottom"/>
          </w:tcPr>
          <w:p>
            <w:pPr>
              <w:rPr>
                <w:rFonts w:ascii="Arial" w:hAnsi="Arial" w:cs="Arial"/>
                <w:color w:val="auto"/>
                <w:sz w:val="20"/>
                <w:szCs w:val="20"/>
                <w:highlight w:val="none"/>
              </w:rPr>
            </w:pPr>
          </w:p>
        </w:tc>
        <w:tc>
          <w:tcPr>
            <w:tcW w:w="1333" w:type="dxa"/>
            <w:tcBorders>
              <w:top w:val="nil"/>
              <w:left w:val="nil"/>
              <w:bottom w:val="nil"/>
              <w:right w:val="nil"/>
            </w:tcBorders>
            <w:noWrap w:val="0"/>
            <w:vAlign w:val="bottom"/>
          </w:tcPr>
          <w:p>
            <w:pPr>
              <w:jc w:val="right"/>
              <w:rPr>
                <w:rFonts w:ascii="宋体" w:hAnsi="宋体" w:cs="Arial"/>
                <w:color w:val="auto"/>
                <w:sz w:val="18"/>
                <w:szCs w:val="18"/>
                <w:highlight w:val="none"/>
              </w:rPr>
            </w:pPr>
            <w:r>
              <w:rPr>
                <w:rFonts w:hint="eastAsia" w:cs="Arial"/>
                <w:color w:val="auto"/>
                <w:sz w:val="18"/>
                <w:szCs w:val="18"/>
                <w:highlight w:val="none"/>
              </w:rPr>
              <w:t>公开06表</w:t>
            </w:r>
          </w:p>
        </w:tc>
      </w:tr>
      <w:tr>
        <w:tblPrEx>
          <w:tblCellMar>
            <w:top w:w="0" w:type="dxa"/>
            <w:left w:w="108" w:type="dxa"/>
            <w:bottom w:w="0" w:type="dxa"/>
            <w:right w:w="108" w:type="dxa"/>
          </w:tblCellMar>
        </w:tblPrEx>
        <w:trPr>
          <w:trHeight w:val="255" w:hRule="atLeast"/>
        </w:trPr>
        <w:tc>
          <w:tcPr>
            <w:tcW w:w="3845" w:type="dxa"/>
            <w:gridSpan w:val="2"/>
            <w:tcBorders>
              <w:top w:val="nil"/>
              <w:left w:val="nil"/>
              <w:bottom w:val="single" w:color="000000" w:sz="4" w:space="0"/>
              <w:right w:val="nil"/>
            </w:tcBorders>
            <w:noWrap w:val="0"/>
            <w:vAlign w:val="bottom"/>
          </w:tcPr>
          <w:p>
            <w:pPr>
              <w:rPr>
                <w:rFonts w:ascii="宋体" w:hAnsi="宋体" w:cs="Arial"/>
                <w:color w:val="auto"/>
                <w:sz w:val="20"/>
                <w:szCs w:val="20"/>
                <w:highlight w:val="none"/>
              </w:rPr>
            </w:pPr>
            <w:r>
              <w:rPr>
                <w:rFonts w:hint="eastAsia" w:cs="Arial"/>
                <w:color w:val="auto"/>
                <w:sz w:val="20"/>
                <w:szCs w:val="20"/>
                <w:highlight w:val="none"/>
                <w:lang w:eastAsia="zh-CN"/>
              </w:rPr>
              <w:t>单位</w:t>
            </w:r>
            <w:r>
              <w:rPr>
                <w:rFonts w:hint="eastAsia" w:cs="Arial"/>
                <w:color w:val="auto"/>
                <w:sz w:val="20"/>
                <w:szCs w:val="20"/>
                <w:highlight w:val="none"/>
              </w:rPr>
              <w:t>：许昌市普通教育教学研究室</w:t>
            </w:r>
          </w:p>
        </w:tc>
        <w:tc>
          <w:tcPr>
            <w:tcW w:w="899" w:type="dxa"/>
            <w:tcBorders>
              <w:top w:val="nil"/>
              <w:left w:val="nil"/>
              <w:bottom w:val="single" w:color="000000" w:sz="4" w:space="0"/>
              <w:right w:val="nil"/>
            </w:tcBorders>
            <w:noWrap w:val="0"/>
            <w:vAlign w:val="bottom"/>
          </w:tcPr>
          <w:p>
            <w:pPr>
              <w:rPr>
                <w:rFonts w:ascii="Arial" w:hAnsi="Arial" w:cs="Arial"/>
                <w:color w:val="auto"/>
                <w:sz w:val="20"/>
                <w:szCs w:val="20"/>
                <w:highlight w:val="none"/>
              </w:rPr>
            </w:pPr>
          </w:p>
        </w:tc>
        <w:tc>
          <w:tcPr>
            <w:tcW w:w="840" w:type="dxa"/>
            <w:tcBorders>
              <w:top w:val="nil"/>
              <w:left w:val="nil"/>
              <w:bottom w:val="single" w:color="000000" w:sz="4" w:space="0"/>
              <w:right w:val="nil"/>
            </w:tcBorders>
            <w:noWrap w:val="0"/>
            <w:vAlign w:val="bottom"/>
          </w:tcPr>
          <w:p>
            <w:pPr>
              <w:rPr>
                <w:rFonts w:ascii="Arial" w:hAnsi="Arial" w:cs="Arial"/>
                <w:color w:val="auto"/>
                <w:sz w:val="20"/>
                <w:szCs w:val="20"/>
                <w:highlight w:val="none"/>
              </w:rPr>
            </w:pPr>
          </w:p>
        </w:tc>
        <w:tc>
          <w:tcPr>
            <w:tcW w:w="1883" w:type="dxa"/>
            <w:tcBorders>
              <w:top w:val="nil"/>
              <w:left w:val="nil"/>
              <w:bottom w:val="single" w:color="000000" w:sz="4" w:space="0"/>
              <w:right w:val="nil"/>
            </w:tcBorders>
            <w:noWrap w:val="0"/>
            <w:vAlign w:val="bottom"/>
          </w:tcPr>
          <w:p>
            <w:pPr>
              <w:rPr>
                <w:rFonts w:ascii="Arial" w:hAnsi="Arial" w:cs="Arial"/>
                <w:color w:val="auto"/>
                <w:sz w:val="20"/>
                <w:szCs w:val="20"/>
                <w:highlight w:val="none"/>
              </w:rPr>
            </w:pPr>
          </w:p>
        </w:tc>
        <w:tc>
          <w:tcPr>
            <w:tcW w:w="892" w:type="dxa"/>
            <w:tcBorders>
              <w:top w:val="nil"/>
              <w:left w:val="nil"/>
              <w:bottom w:val="single" w:color="000000" w:sz="4" w:space="0"/>
              <w:right w:val="nil"/>
            </w:tcBorders>
            <w:noWrap w:val="0"/>
            <w:vAlign w:val="bottom"/>
          </w:tcPr>
          <w:p>
            <w:pPr>
              <w:rPr>
                <w:rFonts w:ascii="Arial" w:hAnsi="Arial" w:cs="Arial"/>
                <w:color w:val="auto"/>
                <w:sz w:val="20"/>
                <w:szCs w:val="20"/>
                <w:highlight w:val="none"/>
              </w:rPr>
            </w:pPr>
          </w:p>
        </w:tc>
        <w:tc>
          <w:tcPr>
            <w:tcW w:w="930" w:type="dxa"/>
            <w:tcBorders>
              <w:top w:val="nil"/>
              <w:left w:val="nil"/>
              <w:bottom w:val="single" w:color="000000" w:sz="4" w:space="0"/>
              <w:right w:val="nil"/>
            </w:tcBorders>
            <w:noWrap w:val="0"/>
            <w:vAlign w:val="bottom"/>
          </w:tcPr>
          <w:p>
            <w:pPr>
              <w:rPr>
                <w:rFonts w:ascii="Arial" w:hAnsi="Arial" w:cs="Arial"/>
                <w:color w:val="auto"/>
                <w:sz w:val="20"/>
                <w:szCs w:val="20"/>
                <w:highlight w:val="none"/>
              </w:rPr>
            </w:pPr>
          </w:p>
        </w:tc>
        <w:tc>
          <w:tcPr>
            <w:tcW w:w="3459" w:type="dxa"/>
            <w:tcBorders>
              <w:top w:val="nil"/>
              <w:left w:val="nil"/>
              <w:bottom w:val="single" w:color="000000" w:sz="4" w:space="0"/>
              <w:right w:val="nil"/>
            </w:tcBorders>
            <w:noWrap w:val="0"/>
            <w:vAlign w:val="bottom"/>
          </w:tcPr>
          <w:p>
            <w:pPr>
              <w:rPr>
                <w:rFonts w:ascii="Arial" w:hAnsi="Arial" w:cs="Arial"/>
                <w:color w:val="auto"/>
                <w:sz w:val="20"/>
                <w:szCs w:val="20"/>
                <w:highlight w:val="none"/>
              </w:rPr>
            </w:pPr>
          </w:p>
        </w:tc>
        <w:tc>
          <w:tcPr>
            <w:tcW w:w="1333" w:type="dxa"/>
            <w:tcBorders>
              <w:top w:val="nil"/>
              <w:left w:val="nil"/>
              <w:bottom w:val="single" w:color="000000" w:sz="4" w:space="0"/>
              <w:right w:val="nil"/>
            </w:tcBorders>
            <w:noWrap w:val="0"/>
            <w:vAlign w:val="bottom"/>
          </w:tcPr>
          <w:p>
            <w:pPr>
              <w:jc w:val="right"/>
              <w:rPr>
                <w:rFonts w:ascii="宋体" w:hAnsi="宋体" w:cs="Arial"/>
                <w:color w:val="auto"/>
                <w:sz w:val="18"/>
                <w:szCs w:val="18"/>
                <w:highlight w:val="none"/>
              </w:rPr>
            </w:pPr>
            <w:r>
              <w:rPr>
                <w:rFonts w:hint="eastAsia" w:cs="Arial"/>
                <w:color w:val="auto"/>
                <w:sz w:val="18"/>
                <w:szCs w:val="18"/>
                <w:highlight w:val="none"/>
              </w:rPr>
              <w:t>金额单位：万元</w:t>
            </w:r>
          </w:p>
        </w:tc>
      </w:tr>
      <w:tr>
        <w:tblPrEx>
          <w:tblCellMar>
            <w:top w:w="0" w:type="dxa"/>
            <w:left w:w="108" w:type="dxa"/>
            <w:bottom w:w="0" w:type="dxa"/>
            <w:right w:w="108" w:type="dxa"/>
          </w:tblCellMar>
        </w:tblPrEx>
        <w:trPr>
          <w:trHeight w:val="308" w:hRule="atLeast"/>
        </w:trPr>
        <w:tc>
          <w:tcPr>
            <w:tcW w:w="4744"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人员经费</w:t>
            </w:r>
          </w:p>
        </w:tc>
        <w:tc>
          <w:tcPr>
            <w:tcW w:w="9337" w:type="dxa"/>
            <w:gridSpan w:val="6"/>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公用经费</w:t>
            </w:r>
          </w:p>
        </w:tc>
      </w:tr>
      <w:tr>
        <w:tblPrEx>
          <w:tblCellMar>
            <w:top w:w="0" w:type="dxa"/>
            <w:left w:w="108" w:type="dxa"/>
            <w:bottom w:w="0" w:type="dxa"/>
            <w:right w:w="108" w:type="dxa"/>
          </w:tblCellMar>
        </w:tblPrEx>
        <w:trPr>
          <w:trHeight w:val="312" w:hRule="atLeast"/>
        </w:trPr>
        <w:tc>
          <w:tcPr>
            <w:tcW w:w="78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科目编码</w:t>
            </w:r>
          </w:p>
        </w:tc>
        <w:tc>
          <w:tcPr>
            <w:tcW w:w="3061" w:type="dxa"/>
            <w:vMerge w:val="restart"/>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科目名称</w:t>
            </w:r>
          </w:p>
        </w:tc>
        <w:tc>
          <w:tcPr>
            <w:tcW w:w="899" w:type="dxa"/>
            <w:vMerge w:val="restart"/>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决算数</w:t>
            </w:r>
          </w:p>
        </w:tc>
        <w:tc>
          <w:tcPr>
            <w:tcW w:w="840" w:type="dxa"/>
            <w:vMerge w:val="restart"/>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科目编码</w:t>
            </w:r>
          </w:p>
        </w:tc>
        <w:tc>
          <w:tcPr>
            <w:tcW w:w="1883" w:type="dxa"/>
            <w:vMerge w:val="restart"/>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科目名称</w:t>
            </w:r>
          </w:p>
        </w:tc>
        <w:tc>
          <w:tcPr>
            <w:tcW w:w="892" w:type="dxa"/>
            <w:vMerge w:val="restart"/>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决算数</w:t>
            </w:r>
          </w:p>
        </w:tc>
        <w:tc>
          <w:tcPr>
            <w:tcW w:w="930" w:type="dxa"/>
            <w:vMerge w:val="restart"/>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科目编码</w:t>
            </w:r>
          </w:p>
        </w:tc>
        <w:tc>
          <w:tcPr>
            <w:tcW w:w="3459" w:type="dxa"/>
            <w:vMerge w:val="restart"/>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科目名称</w:t>
            </w:r>
          </w:p>
        </w:tc>
        <w:tc>
          <w:tcPr>
            <w:tcW w:w="1333" w:type="dxa"/>
            <w:vMerge w:val="restart"/>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决算数</w:t>
            </w:r>
          </w:p>
        </w:tc>
      </w:tr>
      <w:tr>
        <w:tblPrEx>
          <w:tblCellMar>
            <w:top w:w="0" w:type="dxa"/>
            <w:left w:w="108" w:type="dxa"/>
            <w:bottom w:w="0" w:type="dxa"/>
            <w:right w:w="108" w:type="dxa"/>
          </w:tblCellMar>
        </w:tblPrEx>
        <w:trPr>
          <w:trHeight w:val="312" w:hRule="atLeast"/>
        </w:trPr>
        <w:tc>
          <w:tcPr>
            <w:tcW w:w="78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3061" w:type="dxa"/>
            <w:vMerge w:val="continue"/>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899" w:type="dxa"/>
            <w:vMerge w:val="continue"/>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840" w:type="dxa"/>
            <w:vMerge w:val="continue"/>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1883" w:type="dxa"/>
            <w:vMerge w:val="continue"/>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892" w:type="dxa"/>
            <w:vMerge w:val="continue"/>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930" w:type="dxa"/>
            <w:vMerge w:val="continue"/>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3459" w:type="dxa"/>
            <w:vMerge w:val="continue"/>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c>
          <w:tcPr>
            <w:tcW w:w="1333" w:type="dxa"/>
            <w:vMerge w:val="continue"/>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p>
        </w:tc>
      </w:tr>
      <w:tr>
        <w:tblPrEx>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301</w:t>
            </w:r>
          </w:p>
        </w:tc>
        <w:tc>
          <w:tcPr>
            <w:tcW w:w="3061"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工资福利支出</w:t>
            </w:r>
          </w:p>
        </w:tc>
        <w:tc>
          <w:tcPr>
            <w:tcW w:w="899"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431.22</w:t>
            </w:r>
          </w:p>
        </w:tc>
        <w:tc>
          <w:tcPr>
            <w:tcW w:w="84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302</w:t>
            </w:r>
          </w:p>
        </w:tc>
        <w:tc>
          <w:tcPr>
            <w:tcW w:w="1883"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商品和服务支出</w:t>
            </w:r>
          </w:p>
        </w:tc>
        <w:tc>
          <w:tcPr>
            <w:tcW w:w="892"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20.87</w:t>
            </w:r>
          </w:p>
        </w:tc>
        <w:tc>
          <w:tcPr>
            <w:tcW w:w="9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307</w:t>
            </w:r>
          </w:p>
        </w:tc>
        <w:tc>
          <w:tcPr>
            <w:tcW w:w="3459"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债务利息及费用支出</w:t>
            </w:r>
          </w:p>
        </w:tc>
        <w:tc>
          <w:tcPr>
            <w:tcW w:w="133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30101</w:t>
            </w:r>
          </w:p>
        </w:tc>
        <w:tc>
          <w:tcPr>
            <w:tcW w:w="3061"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基本工资</w:t>
            </w:r>
          </w:p>
        </w:tc>
        <w:tc>
          <w:tcPr>
            <w:tcW w:w="899"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118.56</w:t>
            </w:r>
          </w:p>
        </w:tc>
        <w:tc>
          <w:tcPr>
            <w:tcW w:w="84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30201</w:t>
            </w:r>
          </w:p>
        </w:tc>
        <w:tc>
          <w:tcPr>
            <w:tcW w:w="1883"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办公费</w:t>
            </w:r>
          </w:p>
        </w:tc>
        <w:tc>
          <w:tcPr>
            <w:tcW w:w="892"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5.97</w:t>
            </w:r>
          </w:p>
        </w:tc>
        <w:tc>
          <w:tcPr>
            <w:tcW w:w="9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30701</w:t>
            </w:r>
          </w:p>
        </w:tc>
        <w:tc>
          <w:tcPr>
            <w:tcW w:w="3459"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国内债务付息</w:t>
            </w:r>
          </w:p>
        </w:tc>
        <w:tc>
          <w:tcPr>
            <w:tcW w:w="133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30102</w:t>
            </w:r>
          </w:p>
        </w:tc>
        <w:tc>
          <w:tcPr>
            <w:tcW w:w="3061"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津贴补贴</w:t>
            </w:r>
          </w:p>
        </w:tc>
        <w:tc>
          <w:tcPr>
            <w:tcW w:w="899"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45.57</w:t>
            </w:r>
          </w:p>
        </w:tc>
        <w:tc>
          <w:tcPr>
            <w:tcW w:w="84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30202</w:t>
            </w:r>
          </w:p>
        </w:tc>
        <w:tc>
          <w:tcPr>
            <w:tcW w:w="1883"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印刷费</w:t>
            </w:r>
          </w:p>
        </w:tc>
        <w:tc>
          <w:tcPr>
            <w:tcW w:w="892"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1.95</w:t>
            </w:r>
          </w:p>
        </w:tc>
        <w:tc>
          <w:tcPr>
            <w:tcW w:w="9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30702</w:t>
            </w:r>
          </w:p>
        </w:tc>
        <w:tc>
          <w:tcPr>
            <w:tcW w:w="3459"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国外债务付息</w:t>
            </w:r>
          </w:p>
        </w:tc>
        <w:tc>
          <w:tcPr>
            <w:tcW w:w="133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30103</w:t>
            </w:r>
          </w:p>
        </w:tc>
        <w:tc>
          <w:tcPr>
            <w:tcW w:w="3061"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奖金</w:t>
            </w:r>
          </w:p>
        </w:tc>
        <w:tc>
          <w:tcPr>
            <w:tcW w:w="899"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46.58</w:t>
            </w:r>
          </w:p>
        </w:tc>
        <w:tc>
          <w:tcPr>
            <w:tcW w:w="84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30203</w:t>
            </w:r>
          </w:p>
        </w:tc>
        <w:tc>
          <w:tcPr>
            <w:tcW w:w="1883"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咨询费</w:t>
            </w:r>
          </w:p>
        </w:tc>
        <w:tc>
          <w:tcPr>
            <w:tcW w:w="892"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9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310</w:t>
            </w:r>
          </w:p>
        </w:tc>
        <w:tc>
          <w:tcPr>
            <w:tcW w:w="3459"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资本性支出</w:t>
            </w:r>
          </w:p>
        </w:tc>
        <w:tc>
          <w:tcPr>
            <w:tcW w:w="133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30106</w:t>
            </w:r>
          </w:p>
        </w:tc>
        <w:tc>
          <w:tcPr>
            <w:tcW w:w="3061"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伙食补助费</w:t>
            </w:r>
          </w:p>
        </w:tc>
        <w:tc>
          <w:tcPr>
            <w:tcW w:w="899"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84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30204</w:t>
            </w:r>
          </w:p>
        </w:tc>
        <w:tc>
          <w:tcPr>
            <w:tcW w:w="1883"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手续费</w:t>
            </w:r>
          </w:p>
        </w:tc>
        <w:tc>
          <w:tcPr>
            <w:tcW w:w="892"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9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31001</w:t>
            </w:r>
          </w:p>
        </w:tc>
        <w:tc>
          <w:tcPr>
            <w:tcW w:w="3459"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房屋建筑物购建</w:t>
            </w:r>
          </w:p>
        </w:tc>
        <w:tc>
          <w:tcPr>
            <w:tcW w:w="133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30107</w:t>
            </w:r>
          </w:p>
        </w:tc>
        <w:tc>
          <w:tcPr>
            <w:tcW w:w="3061"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绩效工资</w:t>
            </w:r>
          </w:p>
        </w:tc>
        <w:tc>
          <w:tcPr>
            <w:tcW w:w="899"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94.41</w:t>
            </w:r>
          </w:p>
        </w:tc>
        <w:tc>
          <w:tcPr>
            <w:tcW w:w="84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30205</w:t>
            </w:r>
          </w:p>
        </w:tc>
        <w:tc>
          <w:tcPr>
            <w:tcW w:w="1883"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水费</w:t>
            </w:r>
          </w:p>
        </w:tc>
        <w:tc>
          <w:tcPr>
            <w:tcW w:w="892"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9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31002</w:t>
            </w:r>
          </w:p>
        </w:tc>
        <w:tc>
          <w:tcPr>
            <w:tcW w:w="3459"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办公设备购置</w:t>
            </w:r>
          </w:p>
        </w:tc>
        <w:tc>
          <w:tcPr>
            <w:tcW w:w="133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30108</w:t>
            </w:r>
          </w:p>
        </w:tc>
        <w:tc>
          <w:tcPr>
            <w:tcW w:w="3061"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机关事业单位基本养老保险缴费</w:t>
            </w:r>
          </w:p>
        </w:tc>
        <w:tc>
          <w:tcPr>
            <w:tcW w:w="899"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34.00</w:t>
            </w:r>
          </w:p>
        </w:tc>
        <w:tc>
          <w:tcPr>
            <w:tcW w:w="84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30206</w:t>
            </w:r>
          </w:p>
        </w:tc>
        <w:tc>
          <w:tcPr>
            <w:tcW w:w="1883"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电费</w:t>
            </w:r>
          </w:p>
        </w:tc>
        <w:tc>
          <w:tcPr>
            <w:tcW w:w="892"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9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31003</w:t>
            </w:r>
          </w:p>
        </w:tc>
        <w:tc>
          <w:tcPr>
            <w:tcW w:w="3459"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专用设备购置</w:t>
            </w:r>
          </w:p>
        </w:tc>
        <w:tc>
          <w:tcPr>
            <w:tcW w:w="133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30109</w:t>
            </w:r>
          </w:p>
        </w:tc>
        <w:tc>
          <w:tcPr>
            <w:tcW w:w="3061"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职业年金缴费</w:t>
            </w:r>
          </w:p>
        </w:tc>
        <w:tc>
          <w:tcPr>
            <w:tcW w:w="899"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84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30207</w:t>
            </w:r>
          </w:p>
        </w:tc>
        <w:tc>
          <w:tcPr>
            <w:tcW w:w="1883"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邮电费</w:t>
            </w:r>
          </w:p>
        </w:tc>
        <w:tc>
          <w:tcPr>
            <w:tcW w:w="892"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1.09</w:t>
            </w:r>
          </w:p>
        </w:tc>
        <w:tc>
          <w:tcPr>
            <w:tcW w:w="9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31005</w:t>
            </w:r>
          </w:p>
        </w:tc>
        <w:tc>
          <w:tcPr>
            <w:tcW w:w="3459"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基础设施建设</w:t>
            </w:r>
          </w:p>
        </w:tc>
        <w:tc>
          <w:tcPr>
            <w:tcW w:w="133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30110</w:t>
            </w:r>
          </w:p>
        </w:tc>
        <w:tc>
          <w:tcPr>
            <w:tcW w:w="3061"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职工基本医疗保险缴费</w:t>
            </w:r>
          </w:p>
        </w:tc>
        <w:tc>
          <w:tcPr>
            <w:tcW w:w="899"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16.31</w:t>
            </w:r>
          </w:p>
        </w:tc>
        <w:tc>
          <w:tcPr>
            <w:tcW w:w="84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30208</w:t>
            </w:r>
          </w:p>
        </w:tc>
        <w:tc>
          <w:tcPr>
            <w:tcW w:w="1883"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取暖费</w:t>
            </w:r>
          </w:p>
        </w:tc>
        <w:tc>
          <w:tcPr>
            <w:tcW w:w="892"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9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31006</w:t>
            </w:r>
          </w:p>
        </w:tc>
        <w:tc>
          <w:tcPr>
            <w:tcW w:w="3459"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大型修缮</w:t>
            </w:r>
          </w:p>
        </w:tc>
        <w:tc>
          <w:tcPr>
            <w:tcW w:w="133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30111</w:t>
            </w:r>
          </w:p>
        </w:tc>
        <w:tc>
          <w:tcPr>
            <w:tcW w:w="3061"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公务员医疗补助缴费</w:t>
            </w:r>
          </w:p>
        </w:tc>
        <w:tc>
          <w:tcPr>
            <w:tcW w:w="899"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84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30209</w:t>
            </w:r>
          </w:p>
        </w:tc>
        <w:tc>
          <w:tcPr>
            <w:tcW w:w="1883"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物业管理费</w:t>
            </w:r>
          </w:p>
        </w:tc>
        <w:tc>
          <w:tcPr>
            <w:tcW w:w="892"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9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31007</w:t>
            </w:r>
          </w:p>
        </w:tc>
        <w:tc>
          <w:tcPr>
            <w:tcW w:w="3459"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信息网络及软件购置更新</w:t>
            </w:r>
          </w:p>
        </w:tc>
        <w:tc>
          <w:tcPr>
            <w:tcW w:w="133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30112</w:t>
            </w:r>
          </w:p>
        </w:tc>
        <w:tc>
          <w:tcPr>
            <w:tcW w:w="3061"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其他社会保障缴费</w:t>
            </w:r>
          </w:p>
        </w:tc>
        <w:tc>
          <w:tcPr>
            <w:tcW w:w="899"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3.39</w:t>
            </w:r>
          </w:p>
        </w:tc>
        <w:tc>
          <w:tcPr>
            <w:tcW w:w="84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30211</w:t>
            </w:r>
          </w:p>
        </w:tc>
        <w:tc>
          <w:tcPr>
            <w:tcW w:w="1883"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差旅费</w:t>
            </w:r>
          </w:p>
        </w:tc>
        <w:tc>
          <w:tcPr>
            <w:tcW w:w="892"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3.80</w:t>
            </w:r>
          </w:p>
        </w:tc>
        <w:tc>
          <w:tcPr>
            <w:tcW w:w="9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31008</w:t>
            </w:r>
          </w:p>
        </w:tc>
        <w:tc>
          <w:tcPr>
            <w:tcW w:w="3459"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物资储备</w:t>
            </w:r>
          </w:p>
        </w:tc>
        <w:tc>
          <w:tcPr>
            <w:tcW w:w="133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30113</w:t>
            </w:r>
          </w:p>
        </w:tc>
        <w:tc>
          <w:tcPr>
            <w:tcW w:w="3061"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住房公积金</w:t>
            </w:r>
          </w:p>
        </w:tc>
        <w:tc>
          <w:tcPr>
            <w:tcW w:w="899"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38.45</w:t>
            </w:r>
          </w:p>
        </w:tc>
        <w:tc>
          <w:tcPr>
            <w:tcW w:w="84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30212</w:t>
            </w:r>
          </w:p>
        </w:tc>
        <w:tc>
          <w:tcPr>
            <w:tcW w:w="1883"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因公出国（境）费用</w:t>
            </w:r>
          </w:p>
        </w:tc>
        <w:tc>
          <w:tcPr>
            <w:tcW w:w="892"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9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31009</w:t>
            </w:r>
          </w:p>
        </w:tc>
        <w:tc>
          <w:tcPr>
            <w:tcW w:w="3459"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土地补偿</w:t>
            </w:r>
          </w:p>
        </w:tc>
        <w:tc>
          <w:tcPr>
            <w:tcW w:w="133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30114</w:t>
            </w:r>
          </w:p>
        </w:tc>
        <w:tc>
          <w:tcPr>
            <w:tcW w:w="3061"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医疗费</w:t>
            </w:r>
          </w:p>
        </w:tc>
        <w:tc>
          <w:tcPr>
            <w:tcW w:w="899"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84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30213</w:t>
            </w:r>
          </w:p>
        </w:tc>
        <w:tc>
          <w:tcPr>
            <w:tcW w:w="1883"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维修（护）费</w:t>
            </w:r>
          </w:p>
        </w:tc>
        <w:tc>
          <w:tcPr>
            <w:tcW w:w="892"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0.09</w:t>
            </w:r>
          </w:p>
        </w:tc>
        <w:tc>
          <w:tcPr>
            <w:tcW w:w="9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31010</w:t>
            </w:r>
          </w:p>
        </w:tc>
        <w:tc>
          <w:tcPr>
            <w:tcW w:w="3459"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安置补助</w:t>
            </w:r>
          </w:p>
        </w:tc>
        <w:tc>
          <w:tcPr>
            <w:tcW w:w="133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30199</w:t>
            </w:r>
          </w:p>
        </w:tc>
        <w:tc>
          <w:tcPr>
            <w:tcW w:w="3061"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其他工资福利支出</w:t>
            </w:r>
          </w:p>
        </w:tc>
        <w:tc>
          <w:tcPr>
            <w:tcW w:w="899"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33.95</w:t>
            </w:r>
          </w:p>
        </w:tc>
        <w:tc>
          <w:tcPr>
            <w:tcW w:w="84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30214</w:t>
            </w:r>
          </w:p>
        </w:tc>
        <w:tc>
          <w:tcPr>
            <w:tcW w:w="1883"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租赁费</w:t>
            </w:r>
          </w:p>
        </w:tc>
        <w:tc>
          <w:tcPr>
            <w:tcW w:w="892"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9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31011</w:t>
            </w:r>
          </w:p>
        </w:tc>
        <w:tc>
          <w:tcPr>
            <w:tcW w:w="3459"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地上附着物和青苗补偿</w:t>
            </w:r>
          </w:p>
        </w:tc>
        <w:tc>
          <w:tcPr>
            <w:tcW w:w="133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303</w:t>
            </w:r>
          </w:p>
        </w:tc>
        <w:tc>
          <w:tcPr>
            <w:tcW w:w="3061"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对个人和家庭的补助</w:t>
            </w:r>
          </w:p>
        </w:tc>
        <w:tc>
          <w:tcPr>
            <w:tcW w:w="899"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91.03</w:t>
            </w:r>
          </w:p>
        </w:tc>
        <w:tc>
          <w:tcPr>
            <w:tcW w:w="84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30215</w:t>
            </w:r>
          </w:p>
        </w:tc>
        <w:tc>
          <w:tcPr>
            <w:tcW w:w="1883"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会议费</w:t>
            </w:r>
          </w:p>
        </w:tc>
        <w:tc>
          <w:tcPr>
            <w:tcW w:w="892"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1.01</w:t>
            </w:r>
          </w:p>
        </w:tc>
        <w:tc>
          <w:tcPr>
            <w:tcW w:w="9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31012</w:t>
            </w:r>
          </w:p>
        </w:tc>
        <w:tc>
          <w:tcPr>
            <w:tcW w:w="3459"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拆迁补偿</w:t>
            </w:r>
          </w:p>
        </w:tc>
        <w:tc>
          <w:tcPr>
            <w:tcW w:w="133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30301</w:t>
            </w:r>
          </w:p>
        </w:tc>
        <w:tc>
          <w:tcPr>
            <w:tcW w:w="3061"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离休费</w:t>
            </w:r>
          </w:p>
        </w:tc>
        <w:tc>
          <w:tcPr>
            <w:tcW w:w="899"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84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30216</w:t>
            </w:r>
          </w:p>
        </w:tc>
        <w:tc>
          <w:tcPr>
            <w:tcW w:w="1883"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培训费</w:t>
            </w:r>
          </w:p>
        </w:tc>
        <w:tc>
          <w:tcPr>
            <w:tcW w:w="892"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0.08</w:t>
            </w:r>
          </w:p>
        </w:tc>
        <w:tc>
          <w:tcPr>
            <w:tcW w:w="9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31013</w:t>
            </w:r>
          </w:p>
        </w:tc>
        <w:tc>
          <w:tcPr>
            <w:tcW w:w="3459"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公务用车购置</w:t>
            </w:r>
          </w:p>
        </w:tc>
        <w:tc>
          <w:tcPr>
            <w:tcW w:w="133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30302</w:t>
            </w:r>
          </w:p>
        </w:tc>
        <w:tc>
          <w:tcPr>
            <w:tcW w:w="3061"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退休费</w:t>
            </w:r>
          </w:p>
        </w:tc>
        <w:tc>
          <w:tcPr>
            <w:tcW w:w="899"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82.83</w:t>
            </w:r>
          </w:p>
        </w:tc>
        <w:tc>
          <w:tcPr>
            <w:tcW w:w="84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30217</w:t>
            </w:r>
          </w:p>
        </w:tc>
        <w:tc>
          <w:tcPr>
            <w:tcW w:w="1883"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公务接待费</w:t>
            </w:r>
          </w:p>
        </w:tc>
        <w:tc>
          <w:tcPr>
            <w:tcW w:w="892"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9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31019</w:t>
            </w:r>
          </w:p>
        </w:tc>
        <w:tc>
          <w:tcPr>
            <w:tcW w:w="3459"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其他交通工具购置</w:t>
            </w:r>
          </w:p>
        </w:tc>
        <w:tc>
          <w:tcPr>
            <w:tcW w:w="133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30303</w:t>
            </w:r>
          </w:p>
        </w:tc>
        <w:tc>
          <w:tcPr>
            <w:tcW w:w="3061"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退职（役）费</w:t>
            </w:r>
          </w:p>
        </w:tc>
        <w:tc>
          <w:tcPr>
            <w:tcW w:w="899"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84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30218</w:t>
            </w:r>
          </w:p>
        </w:tc>
        <w:tc>
          <w:tcPr>
            <w:tcW w:w="1883"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专用材料费</w:t>
            </w:r>
          </w:p>
        </w:tc>
        <w:tc>
          <w:tcPr>
            <w:tcW w:w="892"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9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31021</w:t>
            </w:r>
          </w:p>
        </w:tc>
        <w:tc>
          <w:tcPr>
            <w:tcW w:w="3459"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文物和陈列品购置</w:t>
            </w:r>
          </w:p>
        </w:tc>
        <w:tc>
          <w:tcPr>
            <w:tcW w:w="133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30304</w:t>
            </w:r>
          </w:p>
        </w:tc>
        <w:tc>
          <w:tcPr>
            <w:tcW w:w="3061"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抚恤金</w:t>
            </w:r>
          </w:p>
        </w:tc>
        <w:tc>
          <w:tcPr>
            <w:tcW w:w="899"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7.15</w:t>
            </w:r>
          </w:p>
        </w:tc>
        <w:tc>
          <w:tcPr>
            <w:tcW w:w="84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30224</w:t>
            </w:r>
          </w:p>
        </w:tc>
        <w:tc>
          <w:tcPr>
            <w:tcW w:w="1883"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被装购置费</w:t>
            </w:r>
          </w:p>
        </w:tc>
        <w:tc>
          <w:tcPr>
            <w:tcW w:w="892"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9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31022</w:t>
            </w:r>
          </w:p>
        </w:tc>
        <w:tc>
          <w:tcPr>
            <w:tcW w:w="3459"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无形资产购置</w:t>
            </w:r>
          </w:p>
        </w:tc>
        <w:tc>
          <w:tcPr>
            <w:tcW w:w="133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30305</w:t>
            </w:r>
          </w:p>
        </w:tc>
        <w:tc>
          <w:tcPr>
            <w:tcW w:w="3061"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生活补助</w:t>
            </w:r>
          </w:p>
        </w:tc>
        <w:tc>
          <w:tcPr>
            <w:tcW w:w="899"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1.05</w:t>
            </w:r>
          </w:p>
        </w:tc>
        <w:tc>
          <w:tcPr>
            <w:tcW w:w="84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30225</w:t>
            </w:r>
          </w:p>
        </w:tc>
        <w:tc>
          <w:tcPr>
            <w:tcW w:w="1883"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专用燃料费</w:t>
            </w:r>
          </w:p>
        </w:tc>
        <w:tc>
          <w:tcPr>
            <w:tcW w:w="892"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9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31099</w:t>
            </w:r>
          </w:p>
        </w:tc>
        <w:tc>
          <w:tcPr>
            <w:tcW w:w="3459"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其他资本性支出</w:t>
            </w:r>
          </w:p>
        </w:tc>
        <w:tc>
          <w:tcPr>
            <w:tcW w:w="133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30306</w:t>
            </w:r>
          </w:p>
        </w:tc>
        <w:tc>
          <w:tcPr>
            <w:tcW w:w="3061"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救济费</w:t>
            </w:r>
          </w:p>
        </w:tc>
        <w:tc>
          <w:tcPr>
            <w:tcW w:w="899"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84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30226</w:t>
            </w:r>
          </w:p>
        </w:tc>
        <w:tc>
          <w:tcPr>
            <w:tcW w:w="1883"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劳务费</w:t>
            </w:r>
          </w:p>
        </w:tc>
        <w:tc>
          <w:tcPr>
            <w:tcW w:w="892"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9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399</w:t>
            </w:r>
          </w:p>
        </w:tc>
        <w:tc>
          <w:tcPr>
            <w:tcW w:w="3459"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其他支出</w:t>
            </w:r>
          </w:p>
        </w:tc>
        <w:tc>
          <w:tcPr>
            <w:tcW w:w="133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30307</w:t>
            </w:r>
          </w:p>
        </w:tc>
        <w:tc>
          <w:tcPr>
            <w:tcW w:w="3061"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医疗费补助</w:t>
            </w:r>
          </w:p>
        </w:tc>
        <w:tc>
          <w:tcPr>
            <w:tcW w:w="899"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84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30227</w:t>
            </w:r>
          </w:p>
        </w:tc>
        <w:tc>
          <w:tcPr>
            <w:tcW w:w="1883"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委托业务费</w:t>
            </w:r>
          </w:p>
        </w:tc>
        <w:tc>
          <w:tcPr>
            <w:tcW w:w="892"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9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39906</w:t>
            </w:r>
          </w:p>
        </w:tc>
        <w:tc>
          <w:tcPr>
            <w:tcW w:w="3459"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赠与</w:t>
            </w:r>
          </w:p>
        </w:tc>
        <w:tc>
          <w:tcPr>
            <w:tcW w:w="133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30308</w:t>
            </w:r>
          </w:p>
        </w:tc>
        <w:tc>
          <w:tcPr>
            <w:tcW w:w="3061"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助学金</w:t>
            </w:r>
          </w:p>
        </w:tc>
        <w:tc>
          <w:tcPr>
            <w:tcW w:w="899"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84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30228</w:t>
            </w:r>
          </w:p>
        </w:tc>
        <w:tc>
          <w:tcPr>
            <w:tcW w:w="1883"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工会经费</w:t>
            </w:r>
          </w:p>
        </w:tc>
        <w:tc>
          <w:tcPr>
            <w:tcW w:w="892"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2.78</w:t>
            </w:r>
          </w:p>
        </w:tc>
        <w:tc>
          <w:tcPr>
            <w:tcW w:w="9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39907</w:t>
            </w:r>
          </w:p>
        </w:tc>
        <w:tc>
          <w:tcPr>
            <w:tcW w:w="3459"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国家赔偿费用支出</w:t>
            </w:r>
          </w:p>
        </w:tc>
        <w:tc>
          <w:tcPr>
            <w:tcW w:w="133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30309</w:t>
            </w:r>
          </w:p>
        </w:tc>
        <w:tc>
          <w:tcPr>
            <w:tcW w:w="3061"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奖励金</w:t>
            </w:r>
          </w:p>
        </w:tc>
        <w:tc>
          <w:tcPr>
            <w:tcW w:w="899"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84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30229</w:t>
            </w:r>
          </w:p>
        </w:tc>
        <w:tc>
          <w:tcPr>
            <w:tcW w:w="1883"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福利费</w:t>
            </w:r>
          </w:p>
        </w:tc>
        <w:tc>
          <w:tcPr>
            <w:tcW w:w="892"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3.23</w:t>
            </w:r>
          </w:p>
        </w:tc>
        <w:tc>
          <w:tcPr>
            <w:tcW w:w="9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39908</w:t>
            </w:r>
          </w:p>
        </w:tc>
        <w:tc>
          <w:tcPr>
            <w:tcW w:w="3459"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对民间非营利组织和群众性自治组织补贴</w:t>
            </w:r>
          </w:p>
        </w:tc>
        <w:tc>
          <w:tcPr>
            <w:tcW w:w="133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30310</w:t>
            </w:r>
          </w:p>
        </w:tc>
        <w:tc>
          <w:tcPr>
            <w:tcW w:w="3061"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个人农业生产补贴</w:t>
            </w:r>
          </w:p>
        </w:tc>
        <w:tc>
          <w:tcPr>
            <w:tcW w:w="899"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84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30231</w:t>
            </w:r>
          </w:p>
        </w:tc>
        <w:tc>
          <w:tcPr>
            <w:tcW w:w="1883"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公务用车运行维护费</w:t>
            </w:r>
          </w:p>
        </w:tc>
        <w:tc>
          <w:tcPr>
            <w:tcW w:w="892"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9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39999</w:t>
            </w:r>
          </w:p>
        </w:tc>
        <w:tc>
          <w:tcPr>
            <w:tcW w:w="3459"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其他支出</w:t>
            </w:r>
          </w:p>
        </w:tc>
        <w:tc>
          <w:tcPr>
            <w:tcW w:w="133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30311</w:t>
            </w:r>
          </w:p>
        </w:tc>
        <w:tc>
          <w:tcPr>
            <w:tcW w:w="3061"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代缴社会保险费</w:t>
            </w:r>
          </w:p>
        </w:tc>
        <w:tc>
          <w:tcPr>
            <w:tcW w:w="899"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84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30239</w:t>
            </w:r>
          </w:p>
        </w:tc>
        <w:tc>
          <w:tcPr>
            <w:tcW w:w="1883"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其他交通费用</w:t>
            </w:r>
          </w:p>
        </w:tc>
        <w:tc>
          <w:tcPr>
            <w:tcW w:w="892"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0.88</w:t>
            </w:r>
          </w:p>
        </w:tc>
        <w:tc>
          <w:tcPr>
            <w:tcW w:w="9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w:t>
            </w:r>
          </w:p>
        </w:tc>
        <w:tc>
          <w:tcPr>
            <w:tcW w:w="3459"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w:t>
            </w:r>
          </w:p>
        </w:tc>
        <w:tc>
          <w:tcPr>
            <w:tcW w:w="133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30399</w:t>
            </w:r>
          </w:p>
        </w:tc>
        <w:tc>
          <w:tcPr>
            <w:tcW w:w="3061"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其他对个人和家庭的补助</w:t>
            </w:r>
          </w:p>
        </w:tc>
        <w:tc>
          <w:tcPr>
            <w:tcW w:w="899"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84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30240</w:t>
            </w:r>
          </w:p>
        </w:tc>
        <w:tc>
          <w:tcPr>
            <w:tcW w:w="1883"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税金及附加费用</w:t>
            </w:r>
          </w:p>
        </w:tc>
        <w:tc>
          <w:tcPr>
            <w:tcW w:w="892"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9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w:t>
            </w:r>
          </w:p>
        </w:tc>
        <w:tc>
          <w:tcPr>
            <w:tcW w:w="3459"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w:t>
            </w:r>
          </w:p>
        </w:tc>
        <w:tc>
          <w:tcPr>
            <w:tcW w:w="133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w:t>
            </w:r>
          </w:p>
        </w:tc>
        <w:tc>
          <w:tcPr>
            <w:tcW w:w="3061"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w:t>
            </w:r>
          </w:p>
        </w:tc>
        <w:tc>
          <w:tcPr>
            <w:tcW w:w="899"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84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30299</w:t>
            </w:r>
          </w:p>
        </w:tc>
        <w:tc>
          <w:tcPr>
            <w:tcW w:w="1883"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xml:space="preserve">  其他商品和服务支出</w:t>
            </w:r>
          </w:p>
        </w:tc>
        <w:tc>
          <w:tcPr>
            <w:tcW w:w="892"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　</w:t>
            </w:r>
          </w:p>
        </w:tc>
        <w:tc>
          <w:tcPr>
            <w:tcW w:w="930"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w:t>
            </w:r>
          </w:p>
        </w:tc>
        <w:tc>
          <w:tcPr>
            <w:tcW w:w="3459" w:type="dxa"/>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auto"/>
                <w:sz w:val="22"/>
                <w:highlight w:val="none"/>
              </w:rPr>
            </w:pPr>
            <w:r>
              <w:rPr>
                <w:rFonts w:hint="eastAsia" w:cs="Arial"/>
                <w:color w:val="auto"/>
                <w:sz w:val="22"/>
                <w:highlight w:val="none"/>
              </w:rPr>
              <w:t>　</w:t>
            </w:r>
          </w:p>
        </w:tc>
        <w:tc>
          <w:tcPr>
            <w:tcW w:w="133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845" w:type="dxa"/>
            <w:gridSpan w:val="2"/>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人员经费合计</w:t>
            </w:r>
          </w:p>
        </w:tc>
        <w:tc>
          <w:tcPr>
            <w:tcW w:w="899"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Arial"/>
                <w:color w:val="auto"/>
                <w:sz w:val="22"/>
                <w:highlight w:val="none"/>
              </w:rPr>
            </w:pPr>
            <w:r>
              <w:rPr>
                <w:rFonts w:hint="eastAsia" w:cs="Arial"/>
                <w:color w:val="auto"/>
                <w:sz w:val="22"/>
                <w:highlight w:val="none"/>
              </w:rPr>
              <w:t>522.25</w:t>
            </w:r>
          </w:p>
        </w:tc>
        <w:tc>
          <w:tcPr>
            <w:tcW w:w="8004" w:type="dxa"/>
            <w:gridSpan w:val="5"/>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auto"/>
                <w:sz w:val="22"/>
                <w:highlight w:val="none"/>
              </w:rPr>
            </w:pPr>
            <w:r>
              <w:rPr>
                <w:rFonts w:hint="eastAsia" w:cs="Arial"/>
                <w:color w:val="auto"/>
                <w:sz w:val="22"/>
                <w:highlight w:val="none"/>
              </w:rPr>
              <w:t>公用经费合计</w:t>
            </w:r>
          </w:p>
        </w:tc>
        <w:tc>
          <w:tcPr>
            <w:tcW w:w="1333" w:type="dxa"/>
            <w:tcBorders>
              <w:top w:val="nil"/>
              <w:left w:val="nil"/>
              <w:bottom w:val="single" w:color="000000" w:sz="4" w:space="0"/>
              <w:right w:val="single" w:color="000000" w:sz="4" w:space="0"/>
            </w:tcBorders>
            <w:noWrap w:val="0"/>
            <w:vAlign w:val="center"/>
          </w:tcPr>
          <w:p>
            <w:pPr>
              <w:jc w:val="right"/>
              <w:rPr>
                <w:rFonts w:ascii="宋体" w:hAnsi="宋体" w:cs="Arial"/>
                <w:color w:val="auto"/>
                <w:sz w:val="22"/>
                <w:highlight w:val="none"/>
              </w:rPr>
            </w:pPr>
            <w:r>
              <w:rPr>
                <w:rFonts w:hint="eastAsia" w:cs="Arial"/>
                <w:color w:val="auto"/>
                <w:sz w:val="22"/>
                <w:highlight w:val="none"/>
              </w:rPr>
              <w:t>20.87</w:t>
            </w:r>
          </w:p>
        </w:tc>
      </w:tr>
      <w:tr>
        <w:tblPrEx>
          <w:tblCellMar>
            <w:top w:w="0" w:type="dxa"/>
            <w:left w:w="108" w:type="dxa"/>
            <w:bottom w:w="0" w:type="dxa"/>
            <w:right w:w="108" w:type="dxa"/>
          </w:tblCellMar>
        </w:tblPrEx>
        <w:trPr>
          <w:trHeight w:val="308" w:hRule="atLeast"/>
        </w:trPr>
        <w:tc>
          <w:tcPr>
            <w:tcW w:w="14081" w:type="dxa"/>
            <w:gridSpan w:val="9"/>
            <w:tcBorders>
              <w:top w:val="nil"/>
              <w:left w:val="nil"/>
              <w:bottom w:val="nil"/>
              <w:right w:val="nil"/>
            </w:tcBorders>
            <w:noWrap w:val="0"/>
            <w:vAlign w:val="center"/>
          </w:tcPr>
          <w:p>
            <w:pPr>
              <w:rPr>
                <w:rFonts w:ascii="宋体" w:hAnsi="宋体" w:cs="Arial"/>
                <w:color w:val="auto"/>
                <w:sz w:val="22"/>
                <w:highlight w:val="none"/>
              </w:rPr>
            </w:pPr>
            <w:r>
              <w:rPr>
                <w:rFonts w:hint="eastAsia" w:cs="Arial"/>
                <w:color w:val="auto"/>
                <w:sz w:val="22"/>
                <w:highlight w:val="none"/>
              </w:rPr>
              <w:t>注：本表反映</w:t>
            </w:r>
            <w:r>
              <w:rPr>
                <w:rFonts w:hint="eastAsia" w:cs="Arial"/>
                <w:color w:val="auto"/>
                <w:sz w:val="22"/>
                <w:highlight w:val="none"/>
                <w:lang w:eastAsia="zh-CN"/>
              </w:rPr>
              <w:t>单位</w:t>
            </w:r>
            <w:r>
              <w:rPr>
                <w:rFonts w:hint="eastAsia" w:cs="Arial"/>
                <w:color w:val="auto"/>
                <w:sz w:val="22"/>
                <w:highlight w:val="none"/>
              </w:rPr>
              <w:t>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lang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公开07表</w:t>
            </w:r>
          </w:p>
        </w:tc>
      </w:tr>
      <w:tr>
        <w:tblPrEx>
          <w:tblCellMar>
            <w:top w:w="0" w:type="dxa"/>
            <w:left w:w="0" w:type="dxa"/>
            <w:bottom w:w="0" w:type="dxa"/>
            <w:right w:w="0" w:type="dxa"/>
          </w:tblCellMar>
        </w:tblPrEx>
        <w:trPr>
          <w:trHeight w:val="300" w:hRule="atLeast"/>
        </w:trPr>
        <w:tc>
          <w:tcPr>
            <w:tcW w:w="3450" w:type="dxa"/>
            <w:gridSpan w:val="3"/>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：许昌市普通教育教学研究室</w:t>
            </w: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公务用车</w:t>
            </w:r>
          </w:p>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公务用车</w:t>
            </w:r>
          </w:p>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公务用车</w:t>
            </w:r>
          </w:p>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公务用车</w:t>
            </w:r>
          </w:p>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注：本表反映</w:t>
            </w: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none"/>
        </w:rPr>
        <w:t>说明：我</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没有预算安排的三公经费，也没有预算安排的三公支出，故本表无数据</w:t>
      </w:r>
    </w:p>
    <w:tbl>
      <w:tblPr>
        <w:tblStyle w:val="5"/>
        <w:tblW w:w="0" w:type="auto"/>
        <w:tblInd w:w="0" w:type="dxa"/>
        <w:tblLayout w:type="fixed"/>
        <w:tblCellMar>
          <w:top w:w="0" w:type="dxa"/>
          <w:left w:w="0" w:type="dxa"/>
          <w:bottom w:w="0" w:type="dxa"/>
          <w:right w:w="0" w:type="dxa"/>
        </w:tblCellMar>
      </w:tblPr>
      <w:tblGrid>
        <w:gridCol w:w="612"/>
        <w:gridCol w:w="536"/>
        <w:gridCol w:w="1276"/>
        <w:gridCol w:w="1926"/>
        <w:gridCol w:w="30"/>
        <w:gridCol w:w="1896"/>
        <w:gridCol w:w="30"/>
        <w:gridCol w:w="1896"/>
        <w:gridCol w:w="30"/>
        <w:gridCol w:w="1897"/>
        <w:gridCol w:w="30"/>
        <w:gridCol w:w="1896"/>
        <w:gridCol w:w="30"/>
        <w:gridCol w:w="1903"/>
        <w:gridCol w:w="30"/>
      </w:tblGrid>
      <w:tr>
        <w:tblPrEx>
          <w:tblCellMar>
            <w:top w:w="0" w:type="dxa"/>
            <w:left w:w="0" w:type="dxa"/>
            <w:bottom w:w="0" w:type="dxa"/>
            <w:right w:w="0" w:type="dxa"/>
          </w:tblCellMar>
        </w:tblPrEx>
        <w:trPr>
          <w:gridAfter w:val="1"/>
          <w:wAfter w:w="30" w:type="dxa"/>
          <w:trHeight w:val="600" w:hRule="atLeast"/>
        </w:trPr>
        <w:tc>
          <w:tcPr>
            <w:tcW w:w="13988" w:type="dxa"/>
            <w:gridSpan w:val="14"/>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lang w:bidi="ar"/>
              </w:rPr>
              <w:t>政府性基金预算财政拨款收入支出决算表</w:t>
            </w:r>
          </w:p>
        </w:tc>
      </w:tr>
      <w:tr>
        <w:tblPrEx>
          <w:tblCellMar>
            <w:top w:w="0" w:type="dxa"/>
            <w:left w:w="0" w:type="dxa"/>
            <w:bottom w:w="0" w:type="dxa"/>
            <w:right w:w="0" w:type="dxa"/>
          </w:tblCellMar>
        </w:tblPrEx>
        <w:trPr>
          <w:gridAfter w:val="1"/>
          <w:wAfter w:w="30" w:type="dxa"/>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公开08表</w:t>
            </w:r>
          </w:p>
        </w:tc>
      </w:tr>
      <w:tr>
        <w:tblPrEx>
          <w:tblCellMar>
            <w:top w:w="0" w:type="dxa"/>
            <w:left w:w="0" w:type="dxa"/>
            <w:bottom w:w="0" w:type="dxa"/>
            <w:right w:w="0" w:type="dxa"/>
          </w:tblCellMar>
        </w:tblPrEx>
        <w:trPr>
          <w:trHeight w:val="300" w:hRule="atLeast"/>
        </w:trPr>
        <w:tc>
          <w:tcPr>
            <w:tcW w:w="4380" w:type="dxa"/>
            <w:gridSpan w:val="5"/>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：许昌市普通教育教学研究室</w:t>
            </w: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单位：万元</w:t>
            </w:r>
          </w:p>
        </w:tc>
      </w:tr>
      <w:tr>
        <w:tblPrEx>
          <w:tblCellMar>
            <w:top w:w="0" w:type="dxa"/>
            <w:left w:w="0" w:type="dxa"/>
            <w:bottom w:w="0" w:type="dxa"/>
            <w:right w:w="0" w:type="dxa"/>
          </w:tblCellMar>
        </w:tblPrEx>
        <w:trPr>
          <w:gridAfter w:val="1"/>
          <w:wAfter w:w="30" w:type="dxa"/>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    目</w:t>
            </w:r>
          </w:p>
        </w:tc>
        <w:tc>
          <w:tcPr>
            <w:tcW w:w="1926"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年初结转和结余</w:t>
            </w:r>
          </w:p>
        </w:tc>
        <w:tc>
          <w:tcPr>
            <w:tcW w:w="1926"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本年收入</w:t>
            </w:r>
          </w:p>
        </w:tc>
        <w:tc>
          <w:tcPr>
            <w:tcW w:w="5779" w:type="dxa"/>
            <w:gridSpan w:val="6"/>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年末结转和结余</w:t>
            </w:r>
          </w:p>
        </w:tc>
      </w:tr>
      <w:tr>
        <w:tblPrEx>
          <w:tblCellMar>
            <w:top w:w="0" w:type="dxa"/>
            <w:left w:w="0" w:type="dxa"/>
            <w:bottom w:w="0" w:type="dxa"/>
            <w:right w:w="0" w:type="dxa"/>
          </w:tblCellMar>
        </w:tblPrEx>
        <w:trPr>
          <w:gridAfter w:val="1"/>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功能分类</w:t>
            </w:r>
          </w:p>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科目名称</w:t>
            </w: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小计</w:t>
            </w:r>
          </w:p>
        </w:tc>
        <w:tc>
          <w:tcPr>
            <w:tcW w:w="1927"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基本支出</w:t>
            </w:r>
          </w:p>
        </w:tc>
        <w:tc>
          <w:tcPr>
            <w:tcW w:w="1926" w:type="dxa"/>
            <w:gridSpan w:val="2"/>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栏次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合计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645" w:hRule="atLeast"/>
        </w:trPr>
        <w:tc>
          <w:tcPr>
            <w:tcW w:w="13988" w:type="dxa"/>
            <w:gridSpan w:val="14"/>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注：本表反映</w:t>
            </w: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本年度政府性基金预算财政拨款收入、支出及结转和结余情况。</w:t>
            </w:r>
          </w:p>
          <w:p>
            <w:pPr>
              <w:widowControl/>
              <w:jc w:val="both"/>
              <w:textAlignment w:val="center"/>
              <w:rPr>
                <w:rFonts w:hint="eastAsia" w:ascii="宋体" w:hAnsi="宋体" w:cs="宋体"/>
                <w:color w:val="auto"/>
                <w:sz w:val="20"/>
                <w:szCs w:val="20"/>
                <w:highlight w:val="none"/>
              </w:rPr>
            </w:pPr>
          </w:p>
        </w:tc>
      </w:tr>
    </w:tbl>
    <w:p>
      <w:pPr>
        <w:widowControl/>
        <w:spacing w:line="590" w:lineRule="exact"/>
        <w:jc w:val="left"/>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none"/>
        </w:rPr>
        <w:t>说明：我</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没有政府性基金收入，也没有使用政府性基金安排的支出，故本表无数据</w:t>
      </w: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eastAsia="zh-CN"/>
        </w:rPr>
        <w:t>单位决算</w:t>
      </w:r>
      <w:r>
        <w:rPr>
          <w:rFonts w:hint="eastAsia" w:ascii="黑体" w:hAnsi="黑体" w:eastAsia="黑体" w:cs="黑体"/>
          <w:color w:val="auto"/>
          <w:sz w:val="48"/>
          <w:szCs w:val="48"/>
          <w:highlight w:val="none"/>
        </w:rPr>
        <w:t>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ind w:firstLine="640" w:firstLineChars="200"/>
        <w:rPr>
          <w:rFonts w:ascii="仿宋" w:hAnsi="仿宋" w:eastAsia="仿宋" w:cs="宋体"/>
          <w:color w:val="auto"/>
          <w:kern w:val="0"/>
          <w:sz w:val="32"/>
          <w:szCs w:val="32"/>
          <w:highlight w:val="none"/>
        </w:rPr>
      </w:pPr>
      <w:r>
        <w:rPr>
          <w:rFonts w:ascii="仿宋" w:hAnsi="仿宋" w:eastAsia="仿宋" w:cs="宋体"/>
          <w:color w:val="auto"/>
          <w:kern w:val="0"/>
          <w:sz w:val="32"/>
          <w:szCs w:val="32"/>
          <w:highlight w:val="none"/>
        </w:rPr>
        <w:t>2021</w:t>
      </w:r>
      <w:r>
        <w:rPr>
          <w:rFonts w:hint="eastAsia" w:ascii="仿宋" w:hAnsi="仿宋" w:eastAsia="仿宋" w:cs="宋体"/>
          <w:color w:val="auto"/>
          <w:kern w:val="0"/>
          <w:sz w:val="32"/>
          <w:szCs w:val="32"/>
          <w:highlight w:val="none"/>
        </w:rPr>
        <w:t>年度收、支总计均为</w:t>
      </w:r>
      <w:r>
        <w:rPr>
          <w:rFonts w:ascii="仿宋" w:hAnsi="仿宋" w:eastAsia="仿宋" w:cs="宋体"/>
          <w:color w:val="auto"/>
          <w:kern w:val="0"/>
          <w:sz w:val="32"/>
          <w:szCs w:val="32"/>
          <w:highlight w:val="none"/>
        </w:rPr>
        <w:t>550.27</w:t>
      </w:r>
      <w:r>
        <w:rPr>
          <w:rFonts w:hint="eastAsia" w:ascii="仿宋" w:hAnsi="仿宋" w:eastAsia="仿宋" w:cs="宋体"/>
          <w:color w:val="auto"/>
          <w:kern w:val="0"/>
          <w:sz w:val="32"/>
          <w:szCs w:val="32"/>
          <w:highlight w:val="none"/>
        </w:rPr>
        <w:t>万元。与上年度相比，收、支总计各减少</w:t>
      </w:r>
      <w:r>
        <w:rPr>
          <w:rFonts w:ascii="仿宋" w:hAnsi="仿宋" w:eastAsia="仿宋" w:cs="宋体"/>
          <w:color w:val="auto"/>
          <w:kern w:val="0"/>
          <w:sz w:val="32"/>
          <w:szCs w:val="32"/>
          <w:highlight w:val="none"/>
        </w:rPr>
        <w:t>150.44</w:t>
      </w:r>
      <w:r>
        <w:rPr>
          <w:rFonts w:hint="eastAsia" w:ascii="仿宋" w:hAnsi="仿宋" w:eastAsia="仿宋" w:cs="宋体"/>
          <w:color w:val="auto"/>
          <w:kern w:val="0"/>
          <w:sz w:val="32"/>
          <w:szCs w:val="32"/>
          <w:highlight w:val="none"/>
        </w:rPr>
        <w:t>万元，下降</w:t>
      </w:r>
      <w:r>
        <w:rPr>
          <w:rFonts w:ascii="仿宋" w:hAnsi="仿宋" w:eastAsia="仿宋" w:cs="宋体"/>
          <w:color w:val="auto"/>
          <w:kern w:val="0"/>
          <w:sz w:val="32"/>
          <w:szCs w:val="32"/>
          <w:highlight w:val="none"/>
        </w:rPr>
        <w:t>21.47%</w:t>
      </w:r>
      <w:r>
        <w:rPr>
          <w:rFonts w:hint="eastAsia" w:ascii="仿宋" w:hAnsi="仿宋" w:eastAsia="仿宋" w:cs="宋体"/>
          <w:color w:val="auto"/>
          <w:kern w:val="0"/>
          <w:sz w:val="32"/>
          <w:szCs w:val="32"/>
          <w:highlight w:val="none"/>
        </w:rPr>
        <w:t>。主要原因是202</w:t>
      </w:r>
      <w:r>
        <w:rPr>
          <w:rFonts w:hint="eastAsia" w:ascii="仿宋" w:hAnsi="仿宋" w:eastAsia="仿宋" w:cs="宋体"/>
          <w:color w:val="auto"/>
          <w:kern w:val="0"/>
          <w:sz w:val="32"/>
          <w:szCs w:val="32"/>
          <w:highlight w:val="none"/>
          <w:lang w:val="en-US" w:eastAsia="zh-CN"/>
        </w:rPr>
        <w:t>1</w:t>
      </w:r>
      <w:r>
        <w:rPr>
          <w:rFonts w:hint="eastAsia" w:ascii="仿宋" w:hAnsi="仿宋" w:eastAsia="仿宋" w:cs="宋体"/>
          <w:color w:val="auto"/>
          <w:kern w:val="0"/>
          <w:sz w:val="32"/>
          <w:szCs w:val="32"/>
          <w:highlight w:val="none"/>
        </w:rPr>
        <w:t>年未申请财政项目经费，本年年初结转自上年的财政经费减少。</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ind w:firstLine="640" w:firstLineChars="200"/>
        <w:rPr>
          <w:rFonts w:ascii="仿宋" w:hAnsi="仿宋" w:eastAsia="仿宋" w:cs="宋体"/>
          <w:color w:val="auto"/>
          <w:kern w:val="0"/>
          <w:sz w:val="32"/>
          <w:szCs w:val="32"/>
          <w:highlight w:val="none"/>
        </w:rPr>
      </w:pPr>
      <w:r>
        <w:rPr>
          <w:rFonts w:ascii="仿宋" w:hAnsi="仿宋" w:eastAsia="仿宋" w:cs="宋体"/>
          <w:color w:val="auto"/>
          <w:kern w:val="0"/>
          <w:sz w:val="32"/>
          <w:szCs w:val="32"/>
          <w:highlight w:val="none"/>
        </w:rPr>
        <w:t>2021</w:t>
      </w:r>
      <w:r>
        <w:rPr>
          <w:rFonts w:hint="eastAsia" w:ascii="仿宋" w:hAnsi="仿宋" w:eastAsia="仿宋" w:cs="宋体"/>
          <w:color w:val="auto"/>
          <w:kern w:val="0"/>
          <w:sz w:val="32"/>
          <w:szCs w:val="32"/>
          <w:highlight w:val="none"/>
        </w:rPr>
        <w:t>年度收入合计</w:t>
      </w:r>
      <w:r>
        <w:rPr>
          <w:rFonts w:ascii="仿宋" w:hAnsi="仿宋" w:eastAsia="仿宋" w:cs="宋体"/>
          <w:color w:val="auto"/>
          <w:kern w:val="0"/>
          <w:sz w:val="32"/>
          <w:szCs w:val="32"/>
          <w:highlight w:val="none"/>
        </w:rPr>
        <w:t>525.85</w:t>
      </w:r>
      <w:r>
        <w:rPr>
          <w:rFonts w:hint="eastAsia" w:ascii="仿宋" w:hAnsi="仿宋" w:eastAsia="仿宋" w:cs="宋体"/>
          <w:color w:val="auto"/>
          <w:kern w:val="0"/>
          <w:sz w:val="32"/>
          <w:szCs w:val="32"/>
          <w:highlight w:val="none"/>
        </w:rPr>
        <w:t>万元，其中：财政拨款收入</w:t>
      </w:r>
      <w:r>
        <w:rPr>
          <w:rFonts w:ascii="仿宋" w:hAnsi="仿宋" w:eastAsia="仿宋" w:cs="宋体"/>
          <w:color w:val="auto"/>
          <w:kern w:val="0"/>
          <w:sz w:val="32"/>
          <w:szCs w:val="32"/>
          <w:highlight w:val="none"/>
        </w:rPr>
        <w:t>523.76</w:t>
      </w:r>
      <w:r>
        <w:rPr>
          <w:rFonts w:hint="eastAsia" w:ascii="仿宋" w:hAnsi="仿宋" w:eastAsia="仿宋" w:cs="宋体"/>
          <w:color w:val="auto"/>
          <w:kern w:val="0"/>
          <w:sz w:val="32"/>
          <w:szCs w:val="32"/>
          <w:highlight w:val="none"/>
        </w:rPr>
        <w:t>万元，占</w:t>
      </w:r>
      <w:r>
        <w:rPr>
          <w:rFonts w:ascii="仿宋" w:hAnsi="仿宋" w:eastAsia="仿宋" w:cs="宋体"/>
          <w:color w:val="auto"/>
          <w:kern w:val="0"/>
          <w:sz w:val="32"/>
          <w:szCs w:val="32"/>
          <w:highlight w:val="none"/>
        </w:rPr>
        <w:t>99.6%</w:t>
      </w:r>
      <w:r>
        <w:rPr>
          <w:rFonts w:hint="eastAsia" w:ascii="仿宋" w:hAnsi="仿宋" w:eastAsia="仿宋" w:cs="宋体"/>
          <w:color w:val="auto"/>
          <w:kern w:val="0"/>
          <w:sz w:val="32"/>
          <w:szCs w:val="32"/>
          <w:highlight w:val="none"/>
        </w:rPr>
        <w:t>；上级补助收入</w:t>
      </w:r>
      <w:r>
        <w:rPr>
          <w:rFonts w:ascii="仿宋" w:hAnsi="仿宋" w:eastAsia="仿宋" w:cs="宋体"/>
          <w:color w:val="auto"/>
          <w:kern w:val="0"/>
          <w:sz w:val="32"/>
          <w:szCs w:val="32"/>
          <w:highlight w:val="none"/>
        </w:rPr>
        <w:t>0</w:t>
      </w:r>
      <w:r>
        <w:rPr>
          <w:rFonts w:hint="eastAsia" w:ascii="仿宋" w:hAnsi="仿宋" w:eastAsia="仿宋" w:cs="宋体"/>
          <w:color w:val="auto"/>
          <w:kern w:val="0"/>
          <w:sz w:val="32"/>
          <w:szCs w:val="32"/>
          <w:highlight w:val="none"/>
          <w:lang w:val="en-US" w:eastAsia="zh-CN"/>
        </w:rPr>
        <w:t>.00</w:t>
      </w:r>
      <w:r>
        <w:rPr>
          <w:rFonts w:hint="eastAsia" w:ascii="仿宋" w:hAnsi="仿宋" w:eastAsia="仿宋" w:cs="宋体"/>
          <w:color w:val="auto"/>
          <w:kern w:val="0"/>
          <w:sz w:val="32"/>
          <w:szCs w:val="32"/>
          <w:highlight w:val="none"/>
        </w:rPr>
        <w:t>万元，占</w:t>
      </w:r>
      <w:r>
        <w:rPr>
          <w:rFonts w:ascii="仿宋" w:hAnsi="仿宋" w:eastAsia="仿宋" w:cs="宋体"/>
          <w:color w:val="auto"/>
          <w:kern w:val="0"/>
          <w:sz w:val="32"/>
          <w:szCs w:val="32"/>
          <w:highlight w:val="none"/>
        </w:rPr>
        <w:t>0</w:t>
      </w:r>
      <w:r>
        <w:rPr>
          <w:rFonts w:hint="eastAsia" w:ascii="仿宋" w:hAnsi="仿宋" w:eastAsia="仿宋" w:cs="宋体"/>
          <w:color w:val="auto"/>
          <w:kern w:val="0"/>
          <w:sz w:val="32"/>
          <w:szCs w:val="32"/>
          <w:highlight w:val="none"/>
          <w:lang w:val="en-US" w:eastAsia="zh-CN"/>
        </w:rPr>
        <w:t>.00</w:t>
      </w:r>
      <w:r>
        <w:rPr>
          <w:rFonts w:ascii="仿宋" w:hAnsi="仿宋" w:eastAsia="仿宋" w:cs="宋体"/>
          <w:color w:val="auto"/>
          <w:kern w:val="0"/>
          <w:sz w:val="32"/>
          <w:szCs w:val="32"/>
          <w:highlight w:val="none"/>
        </w:rPr>
        <w:t>%</w:t>
      </w:r>
      <w:r>
        <w:rPr>
          <w:rFonts w:hint="eastAsia" w:ascii="仿宋" w:hAnsi="仿宋" w:eastAsia="仿宋" w:cs="宋体"/>
          <w:color w:val="auto"/>
          <w:kern w:val="0"/>
          <w:sz w:val="32"/>
          <w:szCs w:val="32"/>
          <w:highlight w:val="none"/>
        </w:rPr>
        <w:t>；事业收入</w:t>
      </w:r>
      <w:r>
        <w:rPr>
          <w:rFonts w:ascii="仿宋" w:hAnsi="仿宋" w:eastAsia="仿宋" w:cs="宋体"/>
          <w:color w:val="auto"/>
          <w:kern w:val="0"/>
          <w:sz w:val="32"/>
          <w:szCs w:val="32"/>
          <w:highlight w:val="none"/>
        </w:rPr>
        <w:t>0</w:t>
      </w:r>
      <w:r>
        <w:rPr>
          <w:rFonts w:hint="eastAsia" w:ascii="仿宋" w:hAnsi="仿宋" w:eastAsia="仿宋" w:cs="宋体"/>
          <w:color w:val="auto"/>
          <w:kern w:val="0"/>
          <w:sz w:val="32"/>
          <w:szCs w:val="32"/>
          <w:highlight w:val="none"/>
          <w:lang w:val="en-US" w:eastAsia="zh-CN"/>
        </w:rPr>
        <w:t>.00</w:t>
      </w:r>
      <w:r>
        <w:rPr>
          <w:rFonts w:hint="eastAsia" w:ascii="仿宋" w:hAnsi="仿宋" w:eastAsia="仿宋" w:cs="宋体"/>
          <w:color w:val="auto"/>
          <w:kern w:val="0"/>
          <w:sz w:val="32"/>
          <w:szCs w:val="32"/>
          <w:highlight w:val="none"/>
        </w:rPr>
        <w:t>万元，占</w:t>
      </w:r>
      <w:r>
        <w:rPr>
          <w:rFonts w:ascii="仿宋" w:hAnsi="仿宋" w:eastAsia="仿宋" w:cs="宋体"/>
          <w:color w:val="auto"/>
          <w:kern w:val="0"/>
          <w:sz w:val="32"/>
          <w:szCs w:val="32"/>
          <w:highlight w:val="none"/>
        </w:rPr>
        <w:t>0</w:t>
      </w:r>
      <w:r>
        <w:rPr>
          <w:rFonts w:hint="eastAsia" w:ascii="仿宋" w:hAnsi="仿宋" w:eastAsia="仿宋" w:cs="宋体"/>
          <w:color w:val="auto"/>
          <w:kern w:val="0"/>
          <w:sz w:val="32"/>
          <w:szCs w:val="32"/>
          <w:highlight w:val="none"/>
          <w:lang w:val="en-US" w:eastAsia="zh-CN"/>
        </w:rPr>
        <w:t>.00</w:t>
      </w:r>
      <w:r>
        <w:rPr>
          <w:rFonts w:ascii="仿宋" w:hAnsi="仿宋" w:eastAsia="仿宋" w:cs="宋体"/>
          <w:color w:val="auto"/>
          <w:kern w:val="0"/>
          <w:sz w:val="32"/>
          <w:szCs w:val="32"/>
          <w:highlight w:val="none"/>
        </w:rPr>
        <w:t>%</w:t>
      </w:r>
      <w:r>
        <w:rPr>
          <w:rFonts w:hint="eastAsia" w:ascii="仿宋" w:hAnsi="仿宋" w:eastAsia="仿宋" w:cs="宋体"/>
          <w:color w:val="auto"/>
          <w:kern w:val="0"/>
          <w:sz w:val="32"/>
          <w:szCs w:val="32"/>
          <w:highlight w:val="none"/>
        </w:rPr>
        <w:t>；经营收入</w:t>
      </w:r>
      <w:r>
        <w:rPr>
          <w:rFonts w:ascii="仿宋" w:hAnsi="仿宋" w:eastAsia="仿宋" w:cs="宋体"/>
          <w:color w:val="auto"/>
          <w:kern w:val="0"/>
          <w:sz w:val="32"/>
          <w:szCs w:val="32"/>
          <w:highlight w:val="none"/>
        </w:rPr>
        <w:t>0</w:t>
      </w:r>
      <w:r>
        <w:rPr>
          <w:rFonts w:hint="eastAsia" w:ascii="仿宋" w:hAnsi="仿宋" w:eastAsia="仿宋" w:cs="宋体"/>
          <w:color w:val="auto"/>
          <w:kern w:val="0"/>
          <w:sz w:val="32"/>
          <w:szCs w:val="32"/>
          <w:highlight w:val="none"/>
          <w:lang w:val="en-US" w:eastAsia="zh-CN"/>
        </w:rPr>
        <w:t>.00</w:t>
      </w:r>
      <w:r>
        <w:rPr>
          <w:rFonts w:hint="eastAsia" w:ascii="仿宋" w:hAnsi="仿宋" w:eastAsia="仿宋" w:cs="宋体"/>
          <w:color w:val="auto"/>
          <w:kern w:val="0"/>
          <w:sz w:val="32"/>
          <w:szCs w:val="32"/>
          <w:highlight w:val="none"/>
        </w:rPr>
        <w:t>万元，占</w:t>
      </w:r>
      <w:r>
        <w:rPr>
          <w:rFonts w:ascii="仿宋" w:hAnsi="仿宋" w:eastAsia="仿宋" w:cs="宋体"/>
          <w:color w:val="auto"/>
          <w:kern w:val="0"/>
          <w:sz w:val="32"/>
          <w:szCs w:val="32"/>
          <w:highlight w:val="none"/>
        </w:rPr>
        <w:t>0</w:t>
      </w:r>
      <w:r>
        <w:rPr>
          <w:rFonts w:hint="eastAsia" w:ascii="仿宋" w:hAnsi="仿宋" w:eastAsia="仿宋" w:cs="宋体"/>
          <w:color w:val="auto"/>
          <w:kern w:val="0"/>
          <w:sz w:val="32"/>
          <w:szCs w:val="32"/>
          <w:highlight w:val="none"/>
          <w:lang w:val="en-US" w:eastAsia="zh-CN"/>
        </w:rPr>
        <w:t>.00</w:t>
      </w:r>
      <w:r>
        <w:rPr>
          <w:rFonts w:ascii="仿宋" w:hAnsi="仿宋" w:eastAsia="仿宋" w:cs="宋体"/>
          <w:color w:val="auto"/>
          <w:kern w:val="0"/>
          <w:sz w:val="32"/>
          <w:szCs w:val="32"/>
          <w:highlight w:val="none"/>
        </w:rPr>
        <w:t>%</w:t>
      </w:r>
      <w:r>
        <w:rPr>
          <w:rFonts w:hint="eastAsia" w:ascii="仿宋" w:hAnsi="仿宋" w:eastAsia="仿宋" w:cs="宋体"/>
          <w:color w:val="auto"/>
          <w:kern w:val="0"/>
          <w:sz w:val="32"/>
          <w:szCs w:val="32"/>
          <w:highlight w:val="none"/>
        </w:rPr>
        <w:t>；附属单位上缴收入</w:t>
      </w:r>
      <w:r>
        <w:rPr>
          <w:rFonts w:ascii="仿宋" w:hAnsi="仿宋" w:eastAsia="仿宋" w:cs="宋体"/>
          <w:color w:val="auto"/>
          <w:kern w:val="0"/>
          <w:sz w:val="32"/>
          <w:szCs w:val="32"/>
          <w:highlight w:val="none"/>
        </w:rPr>
        <w:t>0</w:t>
      </w:r>
      <w:r>
        <w:rPr>
          <w:rFonts w:hint="eastAsia" w:ascii="仿宋" w:hAnsi="仿宋" w:eastAsia="仿宋" w:cs="宋体"/>
          <w:color w:val="auto"/>
          <w:kern w:val="0"/>
          <w:sz w:val="32"/>
          <w:szCs w:val="32"/>
          <w:highlight w:val="none"/>
          <w:lang w:val="en-US" w:eastAsia="zh-CN"/>
        </w:rPr>
        <w:t>.00</w:t>
      </w:r>
      <w:r>
        <w:rPr>
          <w:rFonts w:hint="eastAsia" w:ascii="仿宋" w:hAnsi="仿宋" w:eastAsia="仿宋" w:cs="宋体"/>
          <w:color w:val="auto"/>
          <w:kern w:val="0"/>
          <w:sz w:val="32"/>
          <w:szCs w:val="32"/>
          <w:highlight w:val="none"/>
        </w:rPr>
        <w:t>万元，占</w:t>
      </w:r>
      <w:r>
        <w:rPr>
          <w:rFonts w:ascii="仿宋" w:hAnsi="仿宋" w:eastAsia="仿宋" w:cs="宋体"/>
          <w:color w:val="auto"/>
          <w:kern w:val="0"/>
          <w:sz w:val="32"/>
          <w:szCs w:val="32"/>
          <w:highlight w:val="none"/>
        </w:rPr>
        <w:t>0</w:t>
      </w:r>
      <w:r>
        <w:rPr>
          <w:rFonts w:hint="eastAsia" w:ascii="仿宋" w:hAnsi="仿宋" w:eastAsia="仿宋" w:cs="宋体"/>
          <w:color w:val="auto"/>
          <w:kern w:val="0"/>
          <w:sz w:val="32"/>
          <w:szCs w:val="32"/>
          <w:highlight w:val="none"/>
          <w:lang w:val="en-US" w:eastAsia="zh-CN"/>
        </w:rPr>
        <w:t>.00</w:t>
      </w:r>
      <w:r>
        <w:rPr>
          <w:rFonts w:ascii="仿宋" w:hAnsi="仿宋" w:eastAsia="仿宋" w:cs="宋体"/>
          <w:color w:val="auto"/>
          <w:kern w:val="0"/>
          <w:sz w:val="32"/>
          <w:szCs w:val="32"/>
          <w:highlight w:val="none"/>
        </w:rPr>
        <w:t>%</w:t>
      </w:r>
      <w:r>
        <w:rPr>
          <w:rFonts w:hint="eastAsia" w:ascii="仿宋" w:hAnsi="仿宋" w:eastAsia="仿宋" w:cs="宋体"/>
          <w:color w:val="auto"/>
          <w:kern w:val="0"/>
          <w:sz w:val="32"/>
          <w:szCs w:val="32"/>
          <w:highlight w:val="none"/>
        </w:rPr>
        <w:t>；其他收入</w:t>
      </w:r>
      <w:r>
        <w:rPr>
          <w:rFonts w:ascii="仿宋" w:hAnsi="仿宋" w:eastAsia="仿宋" w:cs="宋体"/>
          <w:color w:val="auto"/>
          <w:kern w:val="0"/>
          <w:sz w:val="32"/>
          <w:szCs w:val="32"/>
          <w:highlight w:val="none"/>
        </w:rPr>
        <w:t>2.09</w:t>
      </w:r>
      <w:r>
        <w:rPr>
          <w:rFonts w:hint="eastAsia" w:ascii="仿宋" w:hAnsi="仿宋" w:eastAsia="仿宋" w:cs="宋体"/>
          <w:color w:val="auto"/>
          <w:kern w:val="0"/>
          <w:sz w:val="32"/>
          <w:szCs w:val="32"/>
          <w:highlight w:val="none"/>
        </w:rPr>
        <w:t>万元，占</w:t>
      </w:r>
      <w:r>
        <w:rPr>
          <w:rFonts w:ascii="仿宋" w:hAnsi="仿宋" w:eastAsia="仿宋" w:cs="宋体"/>
          <w:color w:val="auto"/>
          <w:kern w:val="0"/>
          <w:sz w:val="32"/>
          <w:szCs w:val="32"/>
          <w:highlight w:val="none"/>
        </w:rPr>
        <w:t>0.4</w:t>
      </w:r>
      <w:r>
        <w:rPr>
          <w:rFonts w:hint="eastAsia" w:ascii="仿宋" w:hAnsi="仿宋" w:eastAsia="仿宋" w:cs="宋体"/>
          <w:color w:val="auto"/>
          <w:kern w:val="0"/>
          <w:sz w:val="32"/>
          <w:szCs w:val="32"/>
          <w:highlight w:val="none"/>
          <w:lang w:val="en-US" w:eastAsia="zh-CN"/>
        </w:rPr>
        <w:t>0</w:t>
      </w:r>
      <w:r>
        <w:rPr>
          <w:rFonts w:ascii="仿宋" w:hAnsi="仿宋" w:eastAsia="仿宋" w:cs="宋体"/>
          <w:color w:val="auto"/>
          <w:kern w:val="0"/>
          <w:sz w:val="32"/>
          <w:szCs w:val="32"/>
          <w:highlight w:val="none"/>
        </w:rPr>
        <w:t>%</w:t>
      </w:r>
      <w:r>
        <w:rPr>
          <w:rFonts w:hint="eastAsia" w:ascii="仿宋" w:hAnsi="仿宋" w:eastAsia="仿宋" w:cs="宋体"/>
          <w:color w:val="auto"/>
          <w:kern w:val="0"/>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ind w:firstLine="640" w:firstLineChars="200"/>
        <w:rPr>
          <w:rFonts w:ascii="仿宋" w:hAnsi="仿宋" w:eastAsia="仿宋" w:cs="宋体"/>
          <w:color w:val="auto"/>
          <w:kern w:val="0"/>
          <w:sz w:val="32"/>
          <w:szCs w:val="32"/>
          <w:highlight w:val="none"/>
        </w:rPr>
      </w:pPr>
      <w:r>
        <w:rPr>
          <w:rFonts w:ascii="仿宋" w:hAnsi="仿宋" w:eastAsia="仿宋" w:cs="宋体"/>
          <w:color w:val="auto"/>
          <w:kern w:val="0"/>
          <w:sz w:val="32"/>
          <w:szCs w:val="32"/>
          <w:highlight w:val="none"/>
        </w:rPr>
        <w:t>2021</w:t>
      </w:r>
      <w:r>
        <w:rPr>
          <w:rFonts w:hint="eastAsia" w:ascii="仿宋" w:hAnsi="仿宋" w:eastAsia="仿宋" w:cs="宋体"/>
          <w:color w:val="auto"/>
          <w:kern w:val="0"/>
          <w:sz w:val="32"/>
          <w:szCs w:val="32"/>
          <w:highlight w:val="none"/>
        </w:rPr>
        <w:t>年度支出合计</w:t>
      </w:r>
      <w:r>
        <w:rPr>
          <w:rFonts w:ascii="仿宋" w:hAnsi="仿宋" w:eastAsia="仿宋" w:cs="宋体"/>
          <w:color w:val="auto"/>
          <w:kern w:val="0"/>
          <w:sz w:val="32"/>
          <w:szCs w:val="32"/>
          <w:highlight w:val="none"/>
        </w:rPr>
        <w:t>547.95</w:t>
      </w:r>
      <w:r>
        <w:rPr>
          <w:rFonts w:hint="eastAsia" w:ascii="仿宋" w:hAnsi="仿宋" w:eastAsia="仿宋" w:cs="宋体"/>
          <w:color w:val="auto"/>
          <w:kern w:val="0"/>
          <w:sz w:val="32"/>
          <w:szCs w:val="32"/>
          <w:highlight w:val="none"/>
        </w:rPr>
        <w:t>万元，其中：基本支出</w:t>
      </w:r>
      <w:r>
        <w:rPr>
          <w:rFonts w:ascii="仿宋" w:hAnsi="仿宋" w:eastAsia="仿宋" w:cs="宋体"/>
          <w:color w:val="auto"/>
          <w:kern w:val="0"/>
          <w:sz w:val="32"/>
          <w:szCs w:val="32"/>
          <w:highlight w:val="none"/>
        </w:rPr>
        <w:t>543.2</w:t>
      </w:r>
      <w:r>
        <w:rPr>
          <w:rFonts w:hint="eastAsia" w:ascii="仿宋" w:hAnsi="仿宋" w:eastAsia="仿宋" w:cs="宋体"/>
          <w:color w:val="auto"/>
          <w:kern w:val="0"/>
          <w:sz w:val="32"/>
          <w:szCs w:val="32"/>
          <w:highlight w:val="none"/>
        </w:rPr>
        <w:t>万元，占</w:t>
      </w:r>
      <w:r>
        <w:rPr>
          <w:rFonts w:ascii="仿宋" w:hAnsi="仿宋" w:eastAsia="仿宋" w:cs="宋体"/>
          <w:color w:val="auto"/>
          <w:kern w:val="0"/>
          <w:sz w:val="32"/>
          <w:szCs w:val="32"/>
          <w:highlight w:val="none"/>
        </w:rPr>
        <w:t>99.13%</w:t>
      </w:r>
      <w:r>
        <w:rPr>
          <w:rFonts w:hint="eastAsia" w:ascii="仿宋" w:hAnsi="仿宋" w:eastAsia="仿宋" w:cs="宋体"/>
          <w:color w:val="auto"/>
          <w:kern w:val="0"/>
          <w:sz w:val="32"/>
          <w:szCs w:val="32"/>
          <w:highlight w:val="none"/>
        </w:rPr>
        <w:t>；项目支出</w:t>
      </w:r>
      <w:r>
        <w:rPr>
          <w:rFonts w:ascii="仿宋" w:hAnsi="仿宋" w:eastAsia="仿宋" w:cs="宋体"/>
          <w:color w:val="auto"/>
          <w:kern w:val="0"/>
          <w:sz w:val="32"/>
          <w:szCs w:val="32"/>
          <w:highlight w:val="none"/>
        </w:rPr>
        <w:t>4.75</w:t>
      </w:r>
      <w:r>
        <w:rPr>
          <w:rFonts w:hint="eastAsia" w:ascii="仿宋" w:hAnsi="仿宋" w:eastAsia="仿宋" w:cs="宋体"/>
          <w:color w:val="auto"/>
          <w:kern w:val="0"/>
          <w:sz w:val="32"/>
          <w:szCs w:val="32"/>
          <w:highlight w:val="none"/>
        </w:rPr>
        <w:t>万元，占</w:t>
      </w:r>
      <w:r>
        <w:rPr>
          <w:rFonts w:ascii="仿宋" w:hAnsi="仿宋" w:eastAsia="仿宋" w:cs="宋体"/>
          <w:color w:val="auto"/>
          <w:kern w:val="0"/>
          <w:sz w:val="32"/>
          <w:szCs w:val="32"/>
          <w:highlight w:val="none"/>
        </w:rPr>
        <w:t>0.87%</w:t>
      </w:r>
      <w:r>
        <w:rPr>
          <w:rFonts w:hint="eastAsia" w:ascii="仿宋" w:hAnsi="仿宋" w:eastAsia="仿宋" w:cs="宋体"/>
          <w:color w:val="auto"/>
          <w:kern w:val="0"/>
          <w:sz w:val="32"/>
          <w:szCs w:val="32"/>
          <w:highlight w:val="none"/>
        </w:rPr>
        <w:t>；上缴上级支出</w:t>
      </w:r>
      <w:r>
        <w:rPr>
          <w:rFonts w:ascii="仿宋" w:hAnsi="仿宋" w:eastAsia="仿宋" w:cs="宋体"/>
          <w:color w:val="auto"/>
          <w:kern w:val="0"/>
          <w:sz w:val="32"/>
          <w:szCs w:val="32"/>
          <w:highlight w:val="none"/>
        </w:rPr>
        <w:t>0</w:t>
      </w:r>
      <w:r>
        <w:rPr>
          <w:rFonts w:hint="eastAsia" w:ascii="仿宋" w:hAnsi="仿宋" w:eastAsia="仿宋" w:cs="宋体"/>
          <w:color w:val="auto"/>
          <w:kern w:val="0"/>
          <w:sz w:val="32"/>
          <w:szCs w:val="32"/>
          <w:highlight w:val="none"/>
          <w:lang w:val="en-US" w:eastAsia="zh-CN"/>
        </w:rPr>
        <w:t>.00</w:t>
      </w:r>
      <w:r>
        <w:rPr>
          <w:rFonts w:hint="eastAsia" w:ascii="仿宋" w:hAnsi="仿宋" w:eastAsia="仿宋" w:cs="宋体"/>
          <w:color w:val="auto"/>
          <w:kern w:val="0"/>
          <w:sz w:val="32"/>
          <w:szCs w:val="32"/>
          <w:highlight w:val="none"/>
        </w:rPr>
        <w:t>万元，占</w:t>
      </w:r>
      <w:r>
        <w:rPr>
          <w:rFonts w:ascii="仿宋" w:hAnsi="仿宋" w:eastAsia="仿宋" w:cs="宋体"/>
          <w:color w:val="auto"/>
          <w:kern w:val="0"/>
          <w:sz w:val="32"/>
          <w:szCs w:val="32"/>
          <w:highlight w:val="none"/>
        </w:rPr>
        <w:t>0</w:t>
      </w:r>
      <w:r>
        <w:rPr>
          <w:rFonts w:hint="eastAsia" w:ascii="仿宋" w:hAnsi="仿宋" w:eastAsia="仿宋" w:cs="宋体"/>
          <w:color w:val="auto"/>
          <w:kern w:val="0"/>
          <w:sz w:val="32"/>
          <w:szCs w:val="32"/>
          <w:highlight w:val="none"/>
          <w:lang w:val="en-US" w:eastAsia="zh-CN"/>
        </w:rPr>
        <w:t>.00</w:t>
      </w:r>
      <w:r>
        <w:rPr>
          <w:rFonts w:ascii="仿宋" w:hAnsi="仿宋" w:eastAsia="仿宋" w:cs="宋体"/>
          <w:color w:val="auto"/>
          <w:kern w:val="0"/>
          <w:sz w:val="32"/>
          <w:szCs w:val="32"/>
          <w:highlight w:val="none"/>
        </w:rPr>
        <w:t>%</w:t>
      </w:r>
      <w:r>
        <w:rPr>
          <w:rFonts w:hint="eastAsia" w:ascii="仿宋" w:hAnsi="仿宋" w:eastAsia="仿宋" w:cs="宋体"/>
          <w:color w:val="auto"/>
          <w:kern w:val="0"/>
          <w:sz w:val="32"/>
          <w:szCs w:val="32"/>
          <w:highlight w:val="none"/>
        </w:rPr>
        <w:t>；经营支出</w:t>
      </w:r>
      <w:r>
        <w:rPr>
          <w:rFonts w:ascii="仿宋" w:hAnsi="仿宋" w:eastAsia="仿宋" w:cs="宋体"/>
          <w:color w:val="auto"/>
          <w:kern w:val="0"/>
          <w:sz w:val="32"/>
          <w:szCs w:val="32"/>
          <w:highlight w:val="none"/>
        </w:rPr>
        <w:t>0</w:t>
      </w:r>
      <w:r>
        <w:rPr>
          <w:rFonts w:hint="eastAsia" w:ascii="仿宋" w:hAnsi="仿宋" w:eastAsia="仿宋" w:cs="宋体"/>
          <w:color w:val="auto"/>
          <w:kern w:val="0"/>
          <w:sz w:val="32"/>
          <w:szCs w:val="32"/>
          <w:highlight w:val="none"/>
          <w:lang w:val="en-US" w:eastAsia="zh-CN"/>
        </w:rPr>
        <w:t>.00</w:t>
      </w:r>
      <w:r>
        <w:rPr>
          <w:rFonts w:hint="eastAsia" w:ascii="仿宋" w:hAnsi="仿宋" w:eastAsia="仿宋" w:cs="宋体"/>
          <w:color w:val="auto"/>
          <w:kern w:val="0"/>
          <w:sz w:val="32"/>
          <w:szCs w:val="32"/>
          <w:highlight w:val="none"/>
        </w:rPr>
        <w:t>万元，占</w:t>
      </w:r>
      <w:r>
        <w:rPr>
          <w:rFonts w:ascii="仿宋" w:hAnsi="仿宋" w:eastAsia="仿宋" w:cs="宋体"/>
          <w:color w:val="auto"/>
          <w:kern w:val="0"/>
          <w:sz w:val="32"/>
          <w:szCs w:val="32"/>
          <w:highlight w:val="none"/>
        </w:rPr>
        <w:t>0</w:t>
      </w:r>
      <w:r>
        <w:rPr>
          <w:rFonts w:hint="eastAsia" w:ascii="仿宋" w:hAnsi="仿宋" w:eastAsia="仿宋" w:cs="宋体"/>
          <w:color w:val="auto"/>
          <w:kern w:val="0"/>
          <w:sz w:val="32"/>
          <w:szCs w:val="32"/>
          <w:highlight w:val="none"/>
          <w:lang w:val="en-US" w:eastAsia="zh-CN"/>
        </w:rPr>
        <w:t>.00</w:t>
      </w:r>
      <w:r>
        <w:rPr>
          <w:rFonts w:ascii="仿宋" w:hAnsi="仿宋" w:eastAsia="仿宋" w:cs="宋体"/>
          <w:color w:val="auto"/>
          <w:kern w:val="0"/>
          <w:sz w:val="32"/>
          <w:szCs w:val="32"/>
          <w:highlight w:val="none"/>
        </w:rPr>
        <w:t>%</w:t>
      </w:r>
      <w:r>
        <w:rPr>
          <w:rFonts w:hint="eastAsia" w:ascii="仿宋" w:hAnsi="仿宋" w:eastAsia="仿宋" w:cs="宋体"/>
          <w:color w:val="auto"/>
          <w:kern w:val="0"/>
          <w:sz w:val="32"/>
          <w:szCs w:val="32"/>
          <w:highlight w:val="none"/>
        </w:rPr>
        <w:t>；对附属单位补助支出</w:t>
      </w:r>
      <w:r>
        <w:rPr>
          <w:rFonts w:ascii="仿宋" w:hAnsi="仿宋" w:eastAsia="仿宋" w:cs="宋体"/>
          <w:color w:val="auto"/>
          <w:kern w:val="0"/>
          <w:sz w:val="32"/>
          <w:szCs w:val="32"/>
          <w:highlight w:val="none"/>
        </w:rPr>
        <w:t>0</w:t>
      </w:r>
      <w:r>
        <w:rPr>
          <w:rFonts w:hint="eastAsia" w:ascii="仿宋" w:hAnsi="仿宋" w:eastAsia="仿宋" w:cs="宋体"/>
          <w:color w:val="auto"/>
          <w:kern w:val="0"/>
          <w:sz w:val="32"/>
          <w:szCs w:val="32"/>
          <w:highlight w:val="none"/>
          <w:lang w:val="en-US" w:eastAsia="zh-CN"/>
        </w:rPr>
        <w:t>.00</w:t>
      </w:r>
      <w:r>
        <w:rPr>
          <w:rFonts w:hint="eastAsia" w:ascii="仿宋" w:hAnsi="仿宋" w:eastAsia="仿宋" w:cs="宋体"/>
          <w:color w:val="auto"/>
          <w:kern w:val="0"/>
          <w:sz w:val="32"/>
          <w:szCs w:val="32"/>
          <w:highlight w:val="none"/>
        </w:rPr>
        <w:t>万元，占</w:t>
      </w:r>
      <w:r>
        <w:rPr>
          <w:rFonts w:ascii="仿宋" w:hAnsi="仿宋" w:eastAsia="仿宋" w:cs="宋体"/>
          <w:color w:val="auto"/>
          <w:kern w:val="0"/>
          <w:sz w:val="32"/>
          <w:szCs w:val="32"/>
          <w:highlight w:val="none"/>
        </w:rPr>
        <w:t>0</w:t>
      </w:r>
      <w:r>
        <w:rPr>
          <w:rFonts w:hint="eastAsia" w:ascii="仿宋" w:hAnsi="仿宋" w:eastAsia="仿宋" w:cs="宋体"/>
          <w:color w:val="auto"/>
          <w:kern w:val="0"/>
          <w:sz w:val="32"/>
          <w:szCs w:val="32"/>
          <w:highlight w:val="none"/>
          <w:lang w:val="en-US" w:eastAsia="zh-CN"/>
        </w:rPr>
        <w:t>.00</w:t>
      </w:r>
      <w:r>
        <w:rPr>
          <w:rFonts w:ascii="仿宋" w:hAnsi="仿宋" w:eastAsia="仿宋" w:cs="宋体"/>
          <w:color w:val="auto"/>
          <w:kern w:val="0"/>
          <w:sz w:val="32"/>
          <w:szCs w:val="32"/>
          <w:highlight w:val="none"/>
        </w:rPr>
        <w:t>%</w:t>
      </w:r>
      <w:r>
        <w:rPr>
          <w:rFonts w:hint="eastAsia" w:ascii="仿宋" w:hAnsi="仿宋" w:eastAsia="仿宋" w:cs="宋体"/>
          <w:color w:val="auto"/>
          <w:kern w:val="0"/>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ind w:firstLine="640" w:firstLineChars="200"/>
        <w:rPr>
          <w:rFonts w:ascii="仿宋" w:hAnsi="仿宋" w:eastAsia="仿宋" w:cs="宋体"/>
          <w:color w:val="auto"/>
          <w:kern w:val="0"/>
          <w:sz w:val="32"/>
          <w:szCs w:val="32"/>
          <w:highlight w:val="none"/>
        </w:rPr>
      </w:pPr>
      <w:r>
        <w:rPr>
          <w:rFonts w:ascii="仿宋" w:hAnsi="仿宋" w:eastAsia="仿宋" w:cs="宋体"/>
          <w:color w:val="auto"/>
          <w:kern w:val="0"/>
          <w:sz w:val="32"/>
          <w:szCs w:val="32"/>
          <w:highlight w:val="none"/>
        </w:rPr>
        <w:t>2021</w:t>
      </w:r>
      <w:r>
        <w:rPr>
          <w:rFonts w:hint="eastAsia" w:ascii="仿宋" w:hAnsi="仿宋" w:eastAsia="仿宋" w:cs="宋体"/>
          <w:color w:val="auto"/>
          <w:kern w:val="0"/>
          <w:sz w:val="32"/>
          <w:szCs w:val="32"/>
          <w:highlight w:val="none"/>
        </w:rPr>
        <w:t>年度财政拨款收、支总计均为</w:t>
      </w:r>
      <w:r>
        <w:rPr>
          <w:rFonts w:ascii="仿宋" w:hAnsi="仿宋" w:eastAsia="仿宋" w:cs="宋体"/>
          <w:color w:val="auto"/>
          <w:kern w:val="0"/>
          <w:sz w:val="32"/>
          <w:szCs w:val="32"/>
          <w:highlight w:val="none"/>
        </w:rPr>
        <w:t>547.87</w:t>
      </w:r>
      <w:r>
        <w:rPr>
          <w:rFonts w:hint="eastAsia" w:ascii="仿宋" w:hAnsi="仿宋" w:eastAsia="仿宋" w:cs="宋体"/>
          <w:color w:val="auto"/>
          <w:kern w:val="0"/>
          <w:sz w:val="32"/>
          <w:szCs w:val="32"/>
          <w:highlight w:val="none"/>
        </w:rPr>
        <w:t>万元。与上年度相比，财政拨款收、支总计各减少</w:t>
      </w:r>
      <w:r>
        <w:rPr>
          <w:rFonts w:ascii="仿宋" w:hAnsi="仿宋" w:eastAsia="仿宋" w:cs="宋体"/>
          <w:color w:val="auto"/>
          <w:kern w:val="0"/>
          <w:sz w:val="32"/>
          <w:szCs w:val="32"/>
          <w:highlight w:val="none"/>
        </w:rPr>
        <w:t>147.5</w:t>
      </w:r>
      <w:r>
        <w:rPr>
          <w:rFonts w:hint="eastAsia" w:ascii="仿宋" w:hAnsi="仿宋" w:eastAsia="仿宋" w:cs="宋体"/>
          <w:color w:val="auto"/>
          <w:kern w:val="0"/>
          <w:sz w:val="32"/>
          <w:szCs w:val="32"/>
          <w:highlight w:val="none"/>
        </w:rPr>
        <w:t>万元，下降</w:t>
      </w:r>
      <w:r>
        <w:rPr>
          <w:rFonts w:ascii="仿宋" w:hAnsi="仿宋" w:eastAsia="仿宋" w:cs="宋体"/>
          <w:color w:val="auto"/>
          <w:kern w:val="0"/>
          <w:sz w:val="32"/>
          <w:szCs w:val="32"/>
          <w:highlight w:val="none"/>
        </w:rPr>
        <w:t>21.21%</w:t>
      </w:r>
      <w:r>
        <w:rPr>
          <w:rFonts w:hint="eastAsia" w:ascii="仿宋" w:hAnsi="仿宋" w:eastAsia="仿宋" w:cs="宋体"/>
          <w:color w:val="auto"/>
          <w:kern w:val="0"/>
          <w:sz w:val="32"/>
          <w:szCs w:val="32"/>
          <w:highlight w:val="none"/>
        </w:rPr>
        <w:t>。主要原因是202</w:t>
      </w:r>
      <w:r>
        <w:rPr>
          <w:rFonts w:hint="eastAsia" w:ascii="仿宋" w:hAnsi="仿宋" w:eastAsia="仿宋" w:cs="宋体"/>
          <w:color w:val="auto"/>
          <w:kern w:val="0"/>
          <w:sz w:val="32"/>
          <w:szCs w:val="32"/>
          <w:highlight w:val="none"/>
          <w:lang w:val="en-US" w:eastAsia="zh-CN"/>
        </w:rPr>
        <w:t>1</w:t>
      </w:r>
      <w:r>
        <w:rPr>
          <w:rFonts w:hint="eastAsia" w:ascii="仿宋" w:hAnsi="仿宋" w:eastAsia="仿宋" w:cs="宋体"/>
          <w:color w:val="auto"/>
          <w:kern w:val="0"/>
          <w:sz w:val="32"/>
          <w:szCs w:val="32"/>
          <w:highlight w:val="none"/>
        </w:rPr>
        <w:t>年未申请财政项目经费，本年年初结转自上年的财政经费减少。</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ind w:firstLine="640" w:firstLineChars="200"/>
        <w:rPr>
          <w:rFonts w:hint="eastAsia" w:ascii="仿宋" w:hAnsi="仿宋" w:eastAsia="仿宋" w:cs="宋体"/>
          <w:color w:val="auto"/>
          <w:kern w:val="0"/>
          <w:sz w:val="32"/>
          <w:szCs w:val="32"/>
          <w:highlight w:val="none"/>
        </w:rPr>
      </w:pPr>
      <w:r>
        <w:rPr>
          <w:rFonts w:ascii="仿宋" w:hAnsi="仿宋" w:eastAsia="仿宋" w:cs="宋体"/>
          <w:color w:val="auto"/>
          <w:kern w:val="0"/>
          <w:sz w:val="32"/>
          <w:szCs w:val="32"/>
          <w:highlight w:val="none"/>
        </w:rPr>
        <w:t>2021</w:t>
      </w:r>
      <w:r>
        <w:rPr>
          <w:rFonts w:hint="eastAsia" w:ascii="仿宋" w:hAnsi="仿宋" w:eastAsia="仿宋" w:cs="宋体"/>
          <w:color w:val="auto"/>
          <w:kern w:val="0"/>
          <w:sz w:val="32"/>
          <w:szCs w:val="32"/>
          <w:highlight w:val="none"/>
        </w:rPr>
        <w:t>年度一般公共预算财政拨款支出</w:t>
      </w:r>
      <w:r>
        <w:rPr>
          <w:rFonts w:ascii="仿宋" w:hAnsi="仿宋" w:eastAsia="仿宋" w:cs="宋体"/>
          <w:color w:val="auto"/>
          <w:kern w:val="0"/>
          <w:sz w:val="32"/>
          <w:szCs w:val="32"/>
          <w:highlight w:val="none"/>
        </w:rPr>
        <w:t>547.87</w:t>
      </w:r>
      <w:r>
        <w:rPr>
          <w:rFonts w:hint="eastAsia" w:ascii="仿宋" w:hAnsi="仿宋" w:eastAsia="仿宋" w:cs="宋体"/>
          <w:color w:val="auto"/>
          <w:kern w:val="0"/>
          <w:sz w:val="32"/>
          <w:szCs w:val="32"/>
          <w:highlight w:val="none"/>
        </w:rPr>
        <w:t>万元，占支出合计的</w:t>
      </w:r>
      <w:r>
        <w:rPr>
          <w:rFonts w:ascii="仿宋" w:hAnsi="仿宋" w:eastAsia="仿宋" w:cs="宋体"/>
          <w:color w:val="auto"/>
          <w:kern w:val="0"/>
          <w:sz w:val="32"/>
          <w:szCs w:val="32"/>
          <w:highlight w:val="none"/>
        </w:rPr>
        <w:t>99.99%</w:t>
      </w:r>
      <w:r>
        <w:rPr>
          <w:rFonts w:hint="eastAsia" w:ascii="仿宋" w:hAnsi="仿宋" w:eastAsia="仿宋" w:cs="宋体"/>
          <w:color w:val="auto"/>
          <w:kern w:val="0"/>
          <w:sz w:val="32"/>
          <w:szCs w:val="32"/>
          <w:highlight w:val="none"/>
        </w:rPr>
        <w:t>。与上年度相比，一般公共预算财政拨款支出减少</w:t>
      </w:r>
      <w:r>
        <w:rPr>
          <w:rFonts w:ascii="仿宋" w:hAnsi="仿宋" w:eastAsia="仿宋" w:cs="宋体"/>
          <w:color w:val="auto"/>
          <w:kern w:val="0"/>
          <w:sz w:val="32"/>
          <w:szCs w:val="32"/>
          <w:highlight w:val="none"/>
        </w:rPr>
        <w:t>126.94</w:t>
      </w:r>
      <w:r>
        <w:rPr>
          <w:rFonts w:hint="eastAsia" w:ascii="仿宋" w:hAnsi="仿宋" w:eastAsia="仿宋" w:cs="宋体"/>
          <w:color w:val="auto"/>
          <w:kern w:val="0"/>
          <w:sz w:val="32"/>
          <w:szCs w:val="32"/>
          <w:highlight w:val="none"/>
        </w:rPr>
        <w:t>万元，下降</w:t>
      </w:r>
      <w:r>
        <w:rPr>
          <w:rFonts w:ascii="仿宋" w:hAnsi="仿宋" w:eastAsia="仿宋" w:cs="宋体"/>
          <w:color w:val="auto"/>
          <w:kern w:val="0"/>
          <w:sz w:val="32"/>
          <w:szCs w:val="32"/>
          <w:highlight w:val="none"/>
        </w:rPr>
        <w:t>18.81%</w:t>
      </w:r>
      <w:r>
        <w:rPr>
          <w:rFonts w:hint="eastAsia" w:ascii="仿宋" w:hAnsi="仿宋" w:eastAsia="仿宋" w:cs="宋体"/>
          <w:color w:val="auto"/>
          <w:kern w:val="0"/>
          <w:sz w:val="32"/>
          <w:szCs w:val="32"/>
          <w:highlight w:val="none"/>
        </w:rPr>
        <w:t>。主要原因是202</w:t>
      </w:r>
      <w:r>
        <w:rPr>
          <w:rFonts w:hint="eastAsia" w:ascii="仿宋" w:hAnsi="仿宋" w:eastAsia="仿宋" w:cs="宋体"/>
          <w:color w:val="auto"/>
          <w:kern w:val="0"/>
          <w:sz w:val="32"/>
          <w:szCs w:val="32"/>
          <w:highlight w:val="none"/>
          <w:lang w:val="en-US" w:eastAsia="zh-CN"/>
        </w:rPr>
        <w:t>1</w:t>
      </w:r>
      <w:r>
        <w:rPr>
          <w:rFonts w:hint="eastAsia" w:ascii="仿宋" w:hAnsi="仿宋" w:eastAsia="仿宋" w:cs="宋体"/>
          <w:color w:val="auto"/>
          <w:kern w:val="0"/>
          <w:sz w:val="32"/>
          <w:szCs w:val="32"/>
          <w:highlight w:val="none"/>
        </w:rPr>
        <w:t>年未申请财政项目经费，本年年初结转自上年的财政经费减少。</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ind w:firstLine="640" w:firstLineChars="200"/>
        <w:rPr>
          <w:rFonts w:hint="eastAsia" w:ascii="仿宋" w:hAnsi="仿宋" w:eastAsia="仿宋" w:cs="宋体"/>
          <w:color w:val="auto"/>
          <w:kern w:val="0"/>
          <w:sz w:val="32"/>
          <w:szCs w:val="32"/>
          <w:highlight w:val="none"/>
        </w:rPr>
      </w:pPr>
      <w:r>
        <w:rPr>
          <w:rFonts w:ascii="仿宋" w:hAnsi="仿宋" w:eastAsia="仿宋" w:cs="宋体"/>
          <w:color w:val="auto"/>
          <w:kern w:val="0"/>
          <w:sz w:val="32"/>
          <w:szCs w:val="32"/>
          <w:highlight w:val="none"/>
        </w:rPr>
        <w:t>2021</w:t>
      </w:r>
      <w:r>
        <w:rPr>
          <w:rFonts w:hint="eastAsia" w:ascii="仿宋" w:hAnsi="仿宋" w:eastAsia="仿宋" w:cs="宋体"/>
          <w:color w:val="auto"/>
          <w:kern w:val="0"/>
          <w:sz w:val="32"/>
          <w:szCs w:val="32"/>
          <w:highlight w:val="none"/>
        </w:rPr>
        <w:t>年度一般公共预算财政拨款支出547.87万元，主要用于以下方面：一般公共服务（类）支出2.78万元，占0.51%；教育（类）支出406.84万元，占74.26%；社会保障和就业（类）支出121.93万元，占22.2</w:t>
      </w:r>
      <w:r>
        <w:rPr>
          <w:rFonts w:hint="eastAsia" w:ascii="仿宋" w:hAnsi="仿宋" w:eastAsia="仿宋" w:cs="宋体"/>
          <w:color w:val="auto"/>
          <w:kern w:val="0"/>
          <w:sz w:val="32"/>
          <w:szCs w:val="32"/>
          <w:highlight w:val="none"/>
          <w:lang w:val="en-US" w:eastAsia="zh-CN"/>
        </w:rPr>
        <w:t>6</w:t>
      </w:r>
      <w:r>
        <w:rPr>
          <w:rFonts w:hint="eastAsia" w:ascii="仿宋" w:hAnsi="仿宋" w:eastAsia="仿宋" w:cs="宋体"/>
          <w:color w:val="auto"/>
          <w:kern w:val="0"/>
          <w:sz w:val="32"/>
          <w:szCs w:val="32"/>
          <w:highlight w:val="none"/>
        </w:rPr>
        <w:t>%；卫生健康（类）支出16.31万元，占2.98%。</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ind w:firstLine="640" w:firstLineChars="200"/>
        <w:rPr>
          <w:rFonts w:hint="eastAsia"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2020年度一般公共预算财政拨款支出年初预算为</w:t>
      </w:r>
      <w:r>
        <w:rPr>
          <w:rFonts w:ascii="仿宋" w:hAnsi="仿宋" w:eastAsia="仿宋" w:cs="宋体"/>
          <w:color w:val="auto"/>
          <w:kern w:val="0"/>
          <w:sz w:val="32"/>
          <w:szCs w:val="32"/>
          <w:highlight w:val="none"/>
        </w:rPr>
        <w:t>537.06</w:t>
      </w:r>
      <w:r>
        <w:rPr>
          <w:rFonts w:hint="eastAsia" w:ascii="仿宋" w:hAnsi="仿宋" w:eastAsia="仿宋" w:cs="宋体"/>
          <w:color w:val="auto"/>
          <w:kern w:val="0"/>
          <w:sz w:val="32"/>
          <w:szCs w:val="32"/>
          <w:highlight w:val="none"/>
        </w:rPr>
        <w:t>万元，支出决算为</w:t>
      </w:r>
      <w:r>
        <w:rPr>
          <w:rFonts w:ascii="仿宋" w:hAnsi="仿宋" w:eastAsia="仿宋" w:cs="宋体"/>
          <w:color w:val="auto"/>
          <w:kern w:val="0"/>
          <w:sz w:val="32"/>
          <w:szCs w:val="32"/>
          <w:highlight w:val="none"/>
        </w:rPr>
        <w:t>547.87</w:t>
      </w:r>
      <w:r>
        <w:rPr>
          <w:rFonts w:hint="eastAsia" w:ascii="仿宋" w:hAnsi="仿宋" w:eastAsia="仿宋" w:cs="宋体"/>
          <w:color w:val="auto"/>
          <w:kern w:val="0"/>
          <w:sz w:val="32"/>
          <w:szCs w:val="32"/>
          <w:highlight w:val="none"/>
        </w:rPr>
        <w:t>万元，完成年初预算的</w:t>
      </w:r>
      <w:r>
        <w:rPr>
          <w:rFonts w:ascii="仿宋" w:hAnsi="仿宋" w:eastAsia="仿宋" w:cs="宋体"/>
          <w:color w:val="auto"/>
          <w:kern w:val="0"/>
          <w:sz w:val="32"/>
          <w:szCs w:val="32"/>
          <w:highlight w:val="none"/>
        </w:rPr>
        <w:t>102.01%</w:t>
      </w:r>
      <w:r>
        <w:rPr>
          <w:rFonts w:hint="eastAsia" w:ascii="仿宋" w:hAnsi="仿宋" w:eastAsia="仿宋" w:cs="宋体"/>
          <w:color w:val="auto"/>
          <w:kern w:val="0"/>
          <w:sz w:val="32"/>
          <w:szCs w:val="32"/>
          <w:highlight w:val="none"/>
        </w:rPr>
        <w:t>。其中：</w:t>
      </w:r>
    </w:p>
    <w:p>
      <w:pPr>
        <w:widowControl/>
        <w:spacing w:line="590" w:lineRule="exact"/>
        <w:ind w:firstLine="643" w:firstLineChars="200"/>
        <w:rPr>
          <w:rFonts w:hint="eastAsia" w:ascii="仿宋" w:hAnsi="仿宋" w:eastAsia="仿宋" w:cs="宋体"/>
          <w:color w:val="auto"/>
          <w:kern w:val="0"/>
          <w:sz w:val="32"/>
          <w:szCs w:val="32"/>
          <w:highlight w:val="none"/>
        </w:rPr>
      </w:pPr>
      <w:r>
        <w:rPr>
          <w:rFonts w:hint="eastAsia" w:ascii="仿宋_GB2312" w:hAnsi="仿宋_GB2312" w:eastAsia="仿宋_GB2312" w:cs="仿宋_GB2312"/>
          <w:b/>
          <w:bCs/>
          <w:color w:val="auto"/>
          <w:sz w:val="32"/>
          <w:szCs w:val="32"/>
          <w:highlight w:val="none"/>
        </w:rPr>
        <w:t>1．一般公共服务（类）群众团体事务（款）工会事物（项）。</w:t>
      </w:r>
      <w:r>
        <w:rPr>
          <w:rFonts w:hint="eastAsia" w:ascii="仿宋" w:hAnsi="仿宋" w:eastAsia="仿宋" w:cs="宋体"/>
          <w:color w:val="auto"/>
          <w:kern w:val="0"/>
          <w:sz w:val="32"/>
          <w:szCs w:val="32"/>
          <w:highlight w:val="none"/>
        </w:rPr>
        <w:t>年初预算为2.78万元，支出决算为2.78万元，完成年初预算的100.00%。决算数与年初预算数不存在差异。</w:t>
      </w:r>
    </w:p>
    <w:p>
      <w:pPr>
        <w:widowControl/>
        <w:spacing w:line="590" w:lineRule="exact"/>
        <w:ind w:firstLine="643" w:firstLineChars="200"/>
        <w:rPr>
          <w:rFonts w:hint="eastAsia" w:ascii="仿宋" w:hAnsi="仿宋" w:eastAsia="仿宋" w:cs="宋体"/>
          <w:color w:val="auto"/>
          <w:kern w:val="0"/>
          <w:sz w:val="32"/>
          <w:szCs w:val="32"/>
          <w:highlight w:val="none"/>
        </w:rPr>
      </w:pPr>
      <w:r>
        <w:rPr>
          <w:rFonts w:hint="eastAsia" w:ascii="仿宋_GB2312" w:hAnsi="仿宋_GB2312" w:eastAsia="仿宋_GB2312" w:cs="仿宋_GB2312"/>
          <w:b/>
          <w:bCs/>
          <w:color w:val="auto"/>
          <w:sz w:val="32"/>
          <w:szCs w:val="32"/>
          <w:highlight w:val="none"/>
        </w:rPr>
        <w:t>2．教育（类）教育管理事务（款）其他教育管理事务（项）。</w:t>
      </w:r>
      <w:r>
        <w:rPr>
          <w:rFonts w:hint="eastAsia" w:ascii="仿宋" w:hAnsi="仿宋" w:eastAsia="仿宋" w:cs="宋体"/>
          <w:color w:val="auto"/>
          <w:kern w:val="0"/>
          <w:sz w:val="32"/>
          <w:szCs w:val="32"/>
          <w:highlight w:val="none"/>
        </w:rPr>
        <w:t>年初预算为408.24万元，支出决算为406.84万元，完成年初预算的99.66%。决算数与年初预算数存在差异的主要原因是新增退休职工1名，工资及津贴支出减少。</w:t>
      </w:r>
    </w:p>
    <w:p>
      <w:pPr>
        <w:widowControl/>
        <w:spacing w:line="590" w:lineRule="exact"/>
        <w:ind w:firstLine="643" w:firstLineChars="200"/>
        <w:rPr>
          <w:rFonts w:hint="eastAsia" w:ascii="仿宋" w:hAnsi="仿宋" w:eastAsia="仿宋" w:cs="宋体"/>
          <w:color w:val="auto"/>
          <w:kern w:val="0"/>
          <w:sz w:val="32"/>
          <w:szCs w:val="32"/>
          <w:highlight w:val="none"/>
        </w:rPr>
      </w:pPr>
      <w:r>
        <w:rPr>
          <w:rFonts w:hint="eastAsia" w:ascii="仿宋_GB2312" w:hAnsi="仿宋_GB2312" w:eastAsia="仿宋_GB2312" w:cs="仿宋_GB2312"/>
          <w:b/>
          <w:bCs/>
          <w:color w:val="auto"/>
          <w:sz w:val="32"/>
          <w:szCs w:val="32"/>
          <w:highlight w:val="none"/>
        </w:rPr>
        <w:t>3．社会保障和就业（类）行政事业单位离退休（款）事业单位离退休（项）。</w:t>
      </w:r>
      <w:r>
        <w:rPr>
          <w:rFonts w:hint="eastAsia" w:ascii="仿宋" w:hAnsi="仿宋" w:eastAsia="仿宋" w:cs="宋体"/>
          <w:color w:val="auto"/>
          <w:kern w:val="0"/>
          <w:sz w:val="32"/>
          <w:szCs w:val="32"/>
          <w:highlight w:val="none"/>
        </w:rPr>
        <w:t>年初预算为81.78万元，支出决算为80.78万元，完成年初预算的98.7</w:t>
      </w:r>
      <w:r>
        <w:rPr>
          <w:rFonts w:hint="eastAsia" w:ascii="仿宋" w:hAnsi="仿宋" w:eastAsia="仿宋" w:cs="宋体"/>
          <w:color w:val="auto"/>
          <w:kern w:val="0"/>
          <w:sz w:val="32"/>
          <w:szCs w:val="32"/>
          <w:highlight w:val="none"/>
          <w:lang w:val="en-US" w:eastAsia="zh-CN"/>
        </w:rPr>
        <w:t>8</w:t>
      </w:r>
      <w:r>
        <w:rPr>
          <w:rFonts w:hint="eastAsia" w:ascii="仿宋" w:hAnsi="仿宋" w:eastAsia="仿宋" w:cs="宋体"/>
          <w:color w:val="auto"/>
          <w:kern w:val="0"/>
          <w:sz w:val="32"/>
          <w:szCs w:val="32"/>
          <w:highlight w:val="none"/>
        </w:rPr>
        <w:t>%。决算数与年初预算数存在差异的主要原因是我单位年内新增退休职工1名，同时退休职工去世1名。</w:t>
      </w:r>
    </w:p>
    <w:p>
      <w:pPr>
        <w:widowControl/>
        <w:spacing w:line="590" w:lineRule="exact"/>
        <w:ind w:firstLine="643" w:firstLineChars="200"/>
        <w:rPr>
          <w:rFonts w:hint="eastAsia" w:ascii="仿宋" w:hAnsi="仿宋" w:eastAsia="仿宋" w:cs="宋体"/>
          <w:color w:val="auto"/>
          <w:kern w:val="0"/>
          <w:sz w:val="32"/>
          <w:szCs w:val="32"/>
          <w:highlight w:val="none"/>
        </w:rPr>
      </w:pPr>
      <w:r>
        <w:rPr>
          <w:rFonts w:hint="eastAsia" w:ascii="仿宋_GB2312" w:hAnsi="仿宋_GB2312" w:eastAsia="仿宋_GB2312" w:cs="仿宋_GB2312"/>
          <w:b/>
          <w:bCs/>
          <w:color w:val="auto"/>
          <w:sz w:val="32"/>
          <w:szCs w:val="32"/>
          <w:highlight w:val="none"/>
        </w:rPr>
        <w:t>4．社会保障和就业（类）行政事业单位离退休（款）机关事业单位基本养老保险缴费支出（项）。</w:t>
      </w:r>
      <w:r>
        <w:rPr>
          <w:rFonts w:hint="eastAsia" w:ascii="仿宋" w:hAnsi="仿宋" w:eastAsia="仿宋" w:cs="宋体"/>
          <w:color w:val="auto"/>
          <w:kern w:val="0"/>
          <w:sz w:val="32"/>
          <w:szCs w:val="32"/>
          <w:highlight w:val="none"/>
        </w:rPr>
        <w:t>年初预算为30.25万元，支出决算为34</w:t>
      </w:r>
      <w:r>
        <w:rPr>
          <w:rFonts w:hint="eastAsia" w:ascii="仿宋" w:hAnsi="仿宋" w:eastAsia="仿宋" w:cs="宋体"/>
          <w:color w:val="auto"/>
          <w:kern w:val="0"/>
          <w:sz w:val="32"/>
          <w:szCs w:val="32"/>
          <w:highlight w:val="none"/>
          <w:lang w:val="en-US" w:eastAsia="zh-CN"/>
        </w:rPr>
        <w:t>.00</w:t>
      </w:r>
      <w:r>
        <w:rPr>
          <w:rFonts w:hint="eastAsia" w:ascii="仿宋" w:hAnsi="仿宋" w:eastAsia="仿宋" w:cs="宋体"/>
          <w:color w:val="auto"/>
          <w:kern w:val="0"/>
          <w:sz w:val="32"/>
          <w:szCs w:val="32"/>
          <w:highlight w:val="none"/>
        </w:rPr>
        <w:t>万元，完成年初预算的112.40%。决算数与年初预算数存在差异的主要原因是我单位补缴上年度欠缴保险费。</w:t>
      </w:r>
    </w:p>
    <w:p>
      <w:pPr>
        <w:widowControl/>
        <w:spacing w:line="590" w:lineRule="exact"/>
        <w:ind w:firstLine="643" w:firstLineChars="200"/>
        <w:rPr>
          <w:rFonts w:hint="eastAsia" w:ascii="仿宋" w:hAnsi="仿宋" w:eastAsia="仿宋" w:cs="宋体"/>
          <w:color w:val="auto"/>
          <w:kern w:val="0"/>
          <w:sz w:val="32"/>
          <w:szCs w:val="32"/>
          <w:highlight w:val="none"/>
        </w:rPr>
      </w:pPr>
      <w:r>
        <w:rPr>
          <w:rFonts w:hint="eastAsia" w:ascii="仿宋_GB2312" w:hAnsi="仿宋_GB2312" w:eastAsia="仿宋_GB2312" w:cs="仿宋_GB2312"/>
          <w:b/>
          <w:bCs/>
          <w:color w:val="auto"/>
          <w:sz w:val="32"/>
          <w:szCs w:val="32"/>
          <w:highlight w:val="none"/>
        </w:rPr>
        <w:t>5．社会保障和就业（类）抚恤（款）死亡抚恤（项）。</w:t>
      </w:r>
      <w:r>
        <w:rPr>
          <w:rFonts w:hint="eastAsia" w:ascii="仿宋" w:hAnsi="仿宋" w:eastAsia="仿宋" w:cs="宋体"/>
          <w:color w:val="auto"/>
          <w:kern w:val="0"/>
          <w:sz w:val="32"/>
          <w:szCs w:val="32"/>
          <w:highlight w:val="none"/>
        </w:rPr>
        <w:t>年初预算为0</w:t>
      </w:r>
      <w:r>
        <w:rPr>
          <w:rFonts w:hint="eastAsia" w:ascii="仿宋" w:hAnsi="仿宋" w:eastAsia="仿宋" w:cs="宋体"/>
          <w:color w:val="auto"/>
          <w:kern w:val="0"/>
          <w:sz w:val="32"/>
          <w:szCs w:val="32"/>
          <w:highlight w:val="none"/>
          <w:lang w:val="en-US" w:eastAsia="zh-CN"/>
        </w:rPr>
        <w:t>.00</w:t>
      </w:r>
      <w:r>
        <w:rPr>
          <w:rFonts w:hint="eastAsia" w:ascii="仿宋" w:hAnsi="仿宋" w:eastAsia="仿宋" w:cs="宋体"/>
          <w:color w:val="auto"/>
          <w:kern w:val="0"/>
          <w:sz w:val="32"/>
          <w:szCs w:val="32"/>
          <w:highlight w:val="none"/>
        </w:rPr>
        <w:t>万元，支出决算为7.15万元。决算数与年初预算数存在差异的主要原因是我单位年内退休职工去世1名</w:t>
      </w:r>
      <w:r>
        <w:rPr>
          <w:rFonts w:hint="eastAsia" w:ascii="仿宋" w:hAnsi="仿宋" w:eastAsia="仿宋" w:cs="宋体"/>
          <w:color w:val="auto"/>
          <w:kern w:val="0"/>
          <w:sz w:val="32"/>
          <w:szCs w:val="32"/>
          <w:highlight w:val="none"/>
          <w:lang w:eastAsia="zh-CN"/>
        </w:rPr>
        <w:t>，年中收到财政拨款</w:t>
      </w:r>
      <w:r>
        <w:rPr>
          <w:rFonts w:hint="eastAsia" w:ascii="仿宋" w:hAnsi="仿宋" w:eastAsia="仿宋" w:cs="宋体"/>
          <w:color w:val="auto"/>
          <w:kern w:val="0"/>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6．卫生健康（类）行政事业单位医疗（款）事业单位医疗（项）。</w:t>
      </w:r>
      <w:r>
        <w:rPr>
          <w:rFonts w:hint="eastAsia" w:ascii="仿宋" w:hAnsi="仿宋" w:eastAsia="仿宋" w:cs="宋体"/>
          <w:color w:val="auto"/>
          <w:kern w:val="0"/>
          <w:sz w:val="32"/>
          <w:szCs w:val="32"/>
          <w:highlight w:val="none"/>
        </w:rPr>
        <w:t>年初预算为14.01万元，支出决算为16.31万元，完成年初预算的116.42%。决算数与年初预算数存在差异的主要原因是我单位补缴上年度欠缴保险费。</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ind w:firstLine="640" w:firstLineChars="200"/>
        <w:rPr>
          <w:rFonts w:hint="eastAsia" w:ascii="仿宋" w:hAnsi="仿宋" w:eastAsia="仿宋" w:cs="宋体"/>
          <w:color w:val="auto"/>
          <w:kern w:val="0"/>
          <w:sz w:val="32"/>
          <w:szCs w:val="32"/>
          <w:highlight w:val="none"/>
        </w:rPr>
      </w:pPr>
      <w:r>
        <w:rPr>
          <w:rFonts w:ascii="仿宋" w:hAnsi="仿宋" w:eastAsia="仿宋" w:cs="宋体"/>
          <w:color w:val="auto"/>
          <w:kern w:val="0"/>
          <w:sz w:val="32"/>
          <w:szCs w:val="32"/>
          <w:highlight w:val="none"/>
        </w:rPr>
        <w:t>2021</w:t>
      </w:r>
      <w:r>
        <w:rPr>
          <w:rFonts w:hint="eastAsia" w:ascii="仿宋" w:hAnsi="仿宋" w:eastAsia="仿宋" w:cs="宋体"/>
          <w:color w:val="auto"/>
          <w:kern w:val="0"/>
          <w:sz w:val="32"/>
          <w:szCs w:val="32"/>
          <w:highlight w:val="none"/>
        </w:rPr>
        <w:t>年度一般公共预算财政拨款基本支出543.12万元。其中：人员经费522.25万元，主要包括：基本工资、津贴补贴、</w:t>
      </w:r>
      <w:r>
        <w:rPr>
          <w:rFonts w:hint="eastAsia" w:ascii="仿宋" w:hAnsi="仿宋" w:eastAsia="仿宋" w:cs="宋体"/>
          <w:color w:val="auto"/>
          <w:kern w:val="0"/>
          <w:sz w:val="32"/>
          <w:szCs w:val="32"/>
          <w:highlight w:val="none"/>
          <w:lang w:eastAsia="zh-CN"/>
        </w:rPr>
        <w:t>奖金、</w:t>
      </w:r>
      <w:r>
        <w:rPr>
          <w:rFonts w:hint="eastAsia" w:ascii="仿宋" w:hAnsi="仿宋" w:eastAsia="仿宋" w:cs="宋体"/>
          <w:color w:val="auto"/>
          <w:kern w:val="0"/>
          <w:sz w:val="32"/>
          <w:szCs w:val="32"/>
          <w:highlight w:val="none"/>
        </w:rPr>
        <w:t>绩效工资、机关事业单位基本养老保险缴费、</w:t>
      </w:r>
      <w:r>
        <w:rPr>
          <w:rFonts w:hint="eastAsia" w:ascii="仿宋" w:hAnsi="仿宋" w:eastAsia="仿宋" w:cs="宋体"/>
          <w:color w:val="auto"/>
          <w:kern w:val="0"/>
          <w:sz w:val="32"/>
          <w:szCs w:val="32"/>
          <w:highlight w:val="none"/>
          <w:lang w:eastAsia="zh-CN"/>
        </w:rPr>
        <w:t>基本医疗保险费、</w:t>
      </w:r>
      <w:r>
        <w:rPr>
          <w:rFonts w:hint="eastAsia" w:ascii="仿宋" w:hAnsi="仿宋" w:eastAsia="仿宋" w:cs="宋体"/>
          <w:color w:val="auto"/>
          <w:kern w:val="0"/>
          <w:sz w:val="32"/>
          <w:szCs w:val="32"/>
          <w:highlight w:val="none"/>
        </w:rPr>
        <w:t>其他社会保障缴费、其他工资福利支出、退休费、抚恤金、生活补助、住房公积金；公用经费20.87万元，主要包括：办公费、印刷费、邮电费、差旅费、维修（护）费、会议费、培训费、工会经费、福利费、其他交通费用。</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ind w:firstLine="640" w:firstLineChars="200"/>
        <w:rPr>
          <w:rFonts w:hint="eastAsia" w:ascii="仿宋" w:hAnsi="仿宋" w:eastAsia="仿宋" w:cs="宋体"/>
          <w:color w:val="auto"/>
          <w:kern w:val="0"/>
          <w:sz w:val="32"/>
          <w:szCs w:val="32"/>
          <w:highlight w:val="none"/>
        </w:rPr>
      </w:pPr>
      <w:r>
        <w:rPr>
          <w:rFonts w:ascii="仿宋" w:hAnsi="仿宋" w:eastAsia="仿宋" w:cs="宋体"/>
          <w:color w:val="auto"/>
          <w:kern w:val="0"/>
          <w:sz w:val="32"/>
          <w:szCs w:val="32"/>
          <w:highlight w:val="none"/>
        </w:rPr>
        <w:t>2021</w:t>
      </w:r>
      <w:r>
        <w:rPr>
          <w:rFonts w:hint="eastAsia" w:ascii="仿宋" w:hAnsi="仿宋" w:eastAsia="仿宋" w:cs="宋体"/>
          <w:color w:val="auto"/>
          <w:kern w:val="0"/>
          <w:sz w:val="32"/>
          <w:szCs w:val="32"/>
          <w:highlight w:val="none"/>
        </w:rPr>
        <w:t>年度“三公”经费财政拨款支出预算为0</w:t>
      </w:r>
      <w:r>
        <w:rPr>
          <w:rFonts w:hint="eastAsia" w:ascii="仿宋" w:hAnsi="仿宋" w:eastAsia="仿宋" w:cs="宋体"/>
          <w:color w:val="auto"/>
          <w:kern w:val="0"/>
          <w:sz w:val="32"/>
          <w:szCs w:val="32"/>
          <w:highlight w:val="none"/>
          <w:lang w:val="en-US" w:eastAsia="zh-CN"/>
        </w:rPr>
        <w:t>.00</w:t>
      </w:r>
      <w:r>
        <w:rPr>
          <w:rFonts w:hint="eastAsia" w:ascii="仿宋" w:hAnsi="仿宋" w:eastAsia="仿宋" w:cs="宋体"/>
          <w:color w:val="auto"/>
          <w:kern w:val="0"/>
          <w:sz w:val="32"/>
          <w:szCs w:val="32"/>
          <w:highlight w:val="none"/>
        </w:rPr>
        <w:t>万元，支出决算为0</w:t>
      </w:r>
      <w:r>
        <w:rPr>
          <w:rFonts w:hint="eastAsia" w:ascii="仿宋" w:hAnsi="仿宋" w:eastAsia="仿宋" w:cs="宋体"/>
          <w:color w:val="auto"/>
          <w:kern w:val="0"/>
          <w:sz w:val="32"/>
          <w:szCs w:val="32"/>
          <w:highlight w:val="none"/>
          <w:lang w:val="en-US" w:eastAsia="zh-CN"/>
        </w:rPr>
        <w:t>.00</w:t>
      </w:r>
      <w:r>
        <w:rPr>
          <w:rFonts w:hint="eastAsia" w:ascii="仿宋" w:hAnsi="仿宋" w:eastAsia="仿宋" w:cs="宋体"/>
          <w:color w:val="auto"/>
          <w:kern w:val="0"/>
          <w:sz w:val="32"/>
          <w:szCs w:val="32"/>
          <w:highlight w:val="none"/>
        </w:rPr>
        <w:t>万元。</w:t>
      </w:r>
      <w:r>
        <w:rPr>
          <w:rFonts w:ascii="仿宋" w:hAnsi="仿宋" w:eastAsia="仿宋" w:cs="宋体"/>
          <w:color w:val="auto"/>
          <w:kern w:val="0"/>
          <w:sz w:val="32"/>
          <w:szCs w:val="32"/>
          <w:highlight w:val="none"/>
        </w:rPr>
        <w:t>2021</w:t>
      </w:r>
      <w:r>
        <w:rPr>
          <w:rFonts w:hint="eastAsia" w:ascii="仿宋" w:hAnsi="仿宋" w:eastAsia="仿宋" w:cs="宋体"/>
          <w:color w:val="auto"/>
          <w:kern w:val="0"/>
          <w:sz w:val="32"/>
          <w:szCs w:val="32"/>
          <w:highlight w:val="none"/>
        </w:rPr>
        <w:t>年度“三公”经费支出决算数与预算数不存在差异。</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ind w:firstLine="640" w:firstLineChars="200"/>
        <w:rPr>
          <w:rFonts w:hint="eastAsia" w:ascii="仿宋" w:hAnsi="仿宋" w:eastAsia="仿宋" w:cs="宋体"/>
          <w:color w:val="auto"/>
          <w:kern w:val="0"/>
          <w:sz w:val="32"/>
          <w:szCs w:val="32"/>
          <w:highlight w:val="none"/>
        </w:rPr>
      </w:pPr>
      <w:r>
        <w:rPr>
          <w:rFonts w:ascii="仿宋" w:hAnsi="仿宋" w:eastAsia="仿宋" w:cs="宋体"/>
          <w:color w:val="auto"/>
          <w:kern w:val="0"/>
          <w:sz w:val="32"/>
          <w:szCs w:val="32"/>
          <w:highlight w:val="none"/>
        </w:rPr>
        <w:t>2021</w:t>
      </w:r>
      <w:r>
        <w:rPr>
          <w:rFonts w:hint="eastAsia" w:ascii="仿宋" w:hAnsi="仿宋" w:eastAsia="仿宋" w:cs="宋体"/>
          <w:color w:val="auto"/>
          <w:kern w:val="0"/>
          <w:sz w:val="32"/>
          <w:szCs w:val="32"/>
          <w:highlight w:val="none"/>
        </w:rPr>
        <w:t>年度“三公”经费财政拨款支出决算中，因公出国（境）费支出决算0</w:t>
      </w:r>
      <w:r>
        <w:rPr>
          <w:rFonts w:hint="eastAsia" w:ascii="仿宋" w:hAnsi="仿宋" w:eastAsia="仿宋" w:cs="宋体"/>
          <w:color w:val="auto"/>
          <w:kern w:val="0"/>
          <w:sz w:val="32"/>
          <w:szCs w:val="32"/>
          <w:highlight w:val="none"/>
          <w:lang w:val="en-US" w:eastAsia="zh-CN"/>
        </w:rPr>
        <w:t>.00</w:t>
      </w:r>
      <w:r>
        <w:rPr>
          <w:rFonts w:hint="eastAsia" w:ascii="仿宋" w:hAnsi="仿宋" w:eastAsia="仿宋" w:cs="宋体"/>
          <w:color w:val="auto"/>
          <w:kern w:val="0"/>
          <w:sz w:val="32"/>
          <w:szCs w:val="32"/>
          <w:highlight w:val="none"/>
        </w:rPr>
        <w:t>万元；公务用车购置及运行费支出决算0</w:t>
      </w:r>
      <w:r>
        <w:rPr>
          <w:rFonts w:hint="eastAsia" w:ascii="仿宋" w:hAnsi="仿宋" w:eastAsia="仿宋" w:cs="宋体"/>
          <w:color w:val="auto"/>
          <w:kern w:val="0"/>
          <w:sz w:val="32"/>
          <w:szCs w:val="32"/>
          <w:highlight w:val="none"/>
          <w:lang w:val="en-US" w:eastAsia="zh-CN"/>
        </w:rPr>
        <w:t>.00</w:t>
      </w:r>
      <w:r>
        <w:rPr>
          <w:rFonts w:hint="eastAsia" w:ascii="仿宋" w:hAnsi="仿宋" w:eastAsia="仿宋" w:cs="宋体"/>
          <w:color w:val="auto"/>
          <w:kern w:val="0"/>
          <w:sz w:val="32"/>
          <w:szCs w:val="32"/>
          <w:highlight w:val="none"/>
        </w:rPr>
        <w:t>万元；公务接待费支出决算0</w:t>
      </w:r>
      <w:r>
        <w:rPr>
          <w:rFonts w:hint="eastAsia" w:ascii="仿宋" w:hAnsi="仿宋" w:eastAsia="仿宋" w:cs="宋体"/>
          <w:color w:val="auto"/>
          <w:kern w:val="0"/>
          <w:sz w:val="32"/>
          <w:szCs w:val="32"/>
          <w:highlight w:val="none"/>
          <w:lang w:val="en-US" w:eastAsia="zh-CN"/>
        </w:rPr>
        <w:t>.00</w:t>
      </w:r>
      <w:r>
        <w:rPr>
          <w:rFonts w:hint="eastAsia" w:ascii="仿宋" w:hAnsi="仿宋" w:eastAsia="仿宋" w:cs="宋体"/>
          <w:color w:val="auto"/>
          <w:kern w:val="0"/>
          <w:sz w:val="32"/>
          <w:szCs w:val="32"/>
          <w:highlight w:val="none"/>
        </w:rPr>
        <w:t>万元。具体情况如下：</w:t>
      </w:r>
    </w:p>
    <w:p>
      <w:pPr>
        <w:widowControl/>
        <w:numPr>
          <w:ilvl w:val="0"/>
          <w:numId w:val="2"/>
        </w:numPr>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1．因公出国（境）费</w:t>
      </w:r>
      <w:r>
        <w:rPr>
          <w:rFonts w:hint="eastAsia" w:ascii="仿宋_GB2312" w:hAnsi="仿宋_GB2312" w:eastAsia="仿宋_GB2312" w:cs="仿宋_GB2312"/>
          <w:color w:val="auto"/>
          <w:sz w:val="32"/>
          <w:szCs w:val="32"/>
          <w:highlight w:val="none"/>
        </w:rPr>
        <w:t>预算</w:t>
      </w:r>
      <w:r>
        <w:rPr>
          <w:rFonts w:hint="eastAsia" w:ascii="仿宋" w:hAnsi="仿宋" w:eastAsia="仿宋" w:cs="宋体"/>
          <w:color w:val="auto"/>
          <w:kern w:val="0"/>
          <w:sz w:val="32"/>
          <w:szCs w:val="32"/>
          <w:highlight w:val="none"/>
        </w:rPr>
        <w:t>为0.00万元，支出决算为0.00万元。决算数与预算数不存在差异。因公出国（境）团组数0个，因公出国（境）人次数0人。</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w:t>
      </w:r>
      <w:r>
        <w:rPr>
          <w:rFonts w:hint="eastAsia" w:ascii="仿宋" w:hAnsi="仿宋" w:eastAsia="仿宋" w:cs="宋体"/>
          <w:color w:val="auto"/>
          <w:kern w:val="0"/>
          <w:sz w:val="32"/>
          <w:szCs w:val="32"/>
          <w:highlight w:val="none"/>
        </w:rPr>
        <w:t>为0.00万元，支出决算为0.00万元。决算数与预算数不存在差异。其中：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 w:hAnsi="仿宋" w:eastAsia="仿宋" w:cs="宋体"/>
          <w:color w:val="auto"/>
          <w:kern w:val="0"/>
          <w:sz w:val="32"/>
          <w:szCs w:val="32"/>
          <w:highlight w:val="none"/>
        </w:rPr>
        <w:t>0.00</w:t>
      </w:r>
      <w:r>
        <w:rPr>
          <w:rFonts w:hint="eastAsia" w:ascii="仿宋_GB2312" w:hAnsi="仿宋_GB2312" w:eastAsia="仿宋_GB2312" w:cs="仿宋_GB2312"/>
          <w:color w:val="auto"/>
          <w:sz w:val="32"/>
          <w:szCs w:val="32"/>
          <w:highlight w:val="none"/>
        </w:rPr>
        <w:t>万元</w:t>
      </w:r>
      <w:r>
        <w:rPr>
          <w:rFonts w:hint="eastAsia" w:ascii="仿宋" w:hAnsi="仿宋" w:eastAsia="仿宋" w:cs="宋体"/>
          <w:color w:val="auto"/>
          <w:kern w:val="0"/>
          <w:sz w:val="32"/>
          <w:szCs w:val="32"/>
          <w:highlight w:val="none"/>
        </w:rPr>
        <w:t>，购置车辆0辆。</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 w:hAnsi="仿宋" w:eastAsia="仿宋" w:cs="宋体"/>
          <w:color w:val="auto"/>
          <w:kern w:val="0"/>
          <w:sz w:val="32"/>
          <w:szCs w:val="32"/>
          <w:highlight w:val="none"/>
        </w:rPr>
        <w:t>0.00</w:t>
      </w:r>
      <w:r>
        <w:rPr>
          <w:rFonts w:hint="eastAsia" w:ascii="仿宋_GB2312" w:hAnsi="仿宋_GB2312" w:eastAsia="仿宋_GB2312" w:cs="仿宋_GB2312"/>
          <w:color w:val="auto"/>
          <w:sz w:val="32"/>
          <w:szCs w:val="32"/>
          <w:highlight w:val="none"/>
        </w:rPr>
        <w:t>万元。</w:t>
      </w:r>
      <w:r>
        <w:rPr>
          <w:rFonts w:hint="eastAsia" w:ascii="仿宋" w:hAnsi="仿宋" w:eastAsia="仿宋" w:cs="宋体"/>
          <w:color w:val="auto"/>
          <w:kern w:val="0"/>
          <w:sz w:val="32"/>
          <w:szCs w:val="32"/>
          <w:highlight w:val="none"/>
        </w:rPr>
        <w:t>2021年期末，</w:t>
      </w:r>
      <w:r>
        <w:rPr>
          <w:rFonts w:hint="eastAsia" w:ascii="仿宋" w:hAnsi="仿宋" w:eastAsia="仿宋" w:cs="宋体"/>
          <w:color w:val="auto"/>
          <w:kern w:val="0"/>
          <w:sz w:val="32"/>
          <w:szCs w:val="32"/>
          <w:highlight w:val="none"/>
          <w:lang w:eastAsia="zh-CN"/>
        </w:rPr>
        <w:t>单位</w:t>
      </w:r>
      <w:r>
        <w:rPr>
          <w:rFonts w:hint="eastAsia" w:ascii="仿宋" w:hAnsi="仿宋" w:eastAsia="仿宋" w:cs="宋体"/>
          <w:color w:val="auto"/>
          <w:kern w:val="0"/>
          <w:sz w:val="32"/>
          <w:szCs w:val="32"/>
          <w:highlight w:val="none"/>
        </w:rPr>
        <w:t>开支财政拨款的公务用车保有量为0辆。</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 w:hAnsi="仿宋" w:eastAsia="仿宋" w:cs="宋体"/>
          <w:color w:val="auto"/>
          <w:kern w:val="0"/>
          <w:sz w:val="32"/>
          <w:szCs w:val="32"/>
          <w:highlight w:val="none"/>
        </w:rPr>
        <w:t>0.00</w:t>
      </w:r>
      <w:r>
        <w:rPr>
          <w:rFonts w:hint="eastAsia" w:ascii="仿宋_GB2312" w:hAnsi="仿宋_GB2312" w:eastAsia="仿宋_GB2312" w:cs="仿宋_GB2312"/>
          <w:color w:val="auto"/>
          <w:sz w:val="32"/>
          <w:szCs w:val="32"/>
          <w:highlight w:val="none"/>
        </w:rPr>
        <w:t>万元，支出决算为</w:t>
      </w:r>
      <w:r>
        <w:rPr>
          <w:rFonts w:hint="eastAsia" w:ascii="仿宋" w:hAnsi="仿宋" w:eastAsia="仿宋" w:cs="宋体"/>
          <w:color w:val="auto"/>
          <w:kern w:val="0"/>
          <w:sz w:val="32"/>
          <w:szCs w:val="32"/>
          <w:highlight w:val="none"/>
        </w:rPr>
        <w:t>0.00</w:t>
      </w:r>
      <w:r>
        <w:rPr>
          <w:rFonts w:hint="eastAsia" w:ascii="仿宋_GB2312" w:hAnsi="仿宋_GB2312" w:eastAsia="仿宋_GB2312" w:cs="仿宋_GB2312"/>
          <w:color w:val="auto"/>
          <w:sz w:val="32"/>
          <w:szCs w:val="32"/>
          <w:highlight w:val="none"/>
        </w:rPr>
        <w:t>万元。</w:t>
      </w:r>
      <w:r>
        <w:rPr>
          <w:rFonts w:hint="eastAsia" w:ascii="仿宋" w:hAnsi="仿宋" w:eastAsia="仿宋" w:cs="宋体"/>
          <w:color w:val="auto"/>
          <w:kern w:val="0"/>
          <w:sz w:val="32"/>
          <w:szCs w:val="32"/>
          <w:highlight w:val="none"/>
        </w:rPr>
        <w:t>决算数与预算数不存在差异。其中：</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 w:hAnsi="仿宋" w:eastAsia="仿宋" w:cs="宋体"/>
          <w:color w:val="auto"/>
          <w:kern w:val="0"/>
          <w:sz w:val="32"/>
          <w:szCs w:val="32"/>
          <w:highlight w:val="none"/>
        </w:rPr>
        <w:t>0.00</w:t>
      </w:r>
      <w:r>
        <w:rPr>
          <w:rFonts w:hint="eastAsia" w:ascii="仿宋_GB2312" w:hAnsi="仿宋_GB2312" w:eastAsia="仿宋_GB2312" w:cs="仿宋_GB2312"/>
          <w:color w:val="auto"/>
          <w:sz w:val="32"/>
          <w:szCs w:val="32"/>
          <w:highlight w:val="none"/>
        </w:rPr>
        <w:t>万元。</w:t>
      </w:r>
      <w:r>
        <w:rPr>
          <w:rFonts w:hint="eastAsia" w:ascii="仿宋" w:hAnsi="仿宋" w:eastAsia="仿宋" w:cs="宋体"/>
          <w:color w:val="auto"/>
          <w:kern w:val="0"/>
          <w:sz w:val="32"/>
          <w:szCs w:val="32"/>
          <w:highlight w:val="none"/>
        </w:rPr>
        <w:t>2021年共接待国（境）外来访团组0个、来访外宾0人次（不包括陪同人员）。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 w:hAnsi="仿宋" w:eastAsia="仿宋" w:cs="宋体"/>
          <w:color w:val="auto"/>
          <w:kern w:val="0"/>
          <w:sz w:val="32"/>
          <w:szCs w:val="32"/>
          <w:highlight w:val="none"/>
        </w:rPr>
        <w:t>0.00</w:t>
      </w:r>
      <w:r>
        <w:rPr>
          <w:rFonts w:hint="eastAsia" w:ascii="仿宋_GB2312" w:hAnsi="仿宋_GB2312" w:eastAsia="仿宋_GB2312" w:cs="仿宋_GB2312"/>
          <w:color w:val="auto"/>
          <w:sz w:val="32"/>
          <w:szCs w:val="32"/>
          <w:highlight w:val="none"/>
        </w:rPr>
        <w:t>万元。</w:t>
      </w:r>
      <w:r>
        <w:rPr>
          <w:rFonts w:hint="eastAsia" w:ascii="仿宋" w:hAnsi="仿宋" w:eastAsia="仿宋" w:cs="宋体"/>
          <w:color w:val="auto"/>
          <w:kern w:val="0"/>
          <w:sz w:val="32"/>
          <w:szCs w:val="32"/>
          <w:highlight w:val="none"/>
        </w:rPr>
        <w:t>2021年共接待国内来访团组0个、来宾0人次（不包括陪同人员）。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ind w:firstLine="640" w:firstLineChars="200"/>
        <w:rPr>
          <w:rFonts w:hint="eastAsia" w:ascii="仿宋" w:hAnsi="仿宋" w:eastAsia="仿宋" w:cs="宋体"/>
          <w:color w:val="auto"/>
          <w:kern w:val="0"/>
          <w:sz w:val="32"/>
          <w:szCs w:val="32"/>
          <w:highlight w:val="none"/>
          <w:lang w:eastAsia="zh-CN"/>
        </w:rPr>
      </w:pPr>
      <w:r>
        <w:rPr>
          <w:rFonts w:hint="eastAsia" w:ascii="仿宋" w:hAnsi="仿宋" w:eastAsia="仿宋" w:cs="宋体"/>
          <w:color w:val="auto"/>
          <w:kern w:val="0"/>
          <w:sz w:val="32"/>
          <w:szCs w:val="32"/>
          <w:highlight w:val="none"/>
        </w:rPr>
        <w:t>202</w:t>
      </w:r>
      <w:r>
        <w:rPr>
          <w:rFonts w:hint="eastAsia" w:ascii="仿宋" w:hAnsi="仿宋" w:eastAsia="仿宋" w:cs="宋体"/>
          <w:color w:val="auto"/>
          <w:kern w:val="0"/>
          <w:sz w:val="32"/>
          <w:szCs w:val="32"/>
          <w:highlight w:val="none"/>
          <w:lang w:val="en-US" w:eastAsia="zh-CN"/>
        </w:rPr>
        <w:t>1</w:t>
      </w:r>
      <w:r>
        <w:rPr>
          <w:rFonts w:hint="eastAsia" w:ascii="仿宋" w:hAnsi="仿宋" w:eastAsia="仿宋" w:cs="宋体"/>
          <w:color w:val="auto"/>
          <w:kern w:val="0"/>
          <w:sz w:val="32"/>
          <w:szCs w:val="32"/>
          <w:highlight w:val="none"/>
        </w:rPr>
        <w:t>年度政府性基金预算财政拨款支出年初预算为0.00万元，支出决算为0.00万元。不存在项目年末结转和结余资金数额较大</w:t>
      </w:r>
      <w:r>
        <w:rPr>
          <w:rFonts w:hint="eastAsia" w:ascii="仿宋" w:hAnsi="仿宋" w:eastAsia="仿宋" w:cs="宋体"/>
          <w:color w:val="auto"/>
          <w:kern w:val="0"/>
          <w:sz w:val="32"/>
          <w:szCs w:val="32"/>
          <w:highlight w:val="none"/>
          <w:lang w:eastAsia="zh-CN"/>
        </w:rPr>
        <w:t>。</w:t>
      </w:r>
    </w:p>
    <w:p>
      <w:pPr>
        <w:ind w:firstLine="640" w:firstLineChars="200"/>
        <w:rPr>
          <w:rFonts w:hint="eastAsia"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我单位2021年度没有政府性基金收入，也没有使用政府性基金安排的支出。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ind w:firstLine="640" w:firstLineChars="200"/>
        <w:rPr>
          <w:rFonts w:hint="eastAsia"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ind w:firstLine="640" w:firstLineChars="200"/>
        <w:rPr>
          <w:rFonts w:hint="eastAsia" w:ascii="仿宋" w:hAnsi="仿宋" w:eastAsia="仿宋" w:cs="宋体"/>
          <w:color w:val="auto"/>
          <w:kern w:val="0"/>
          <w:sz w:val="32"/>
          <w:szCs w:val="32"/>
          <w:highlight w:val="none"/>
        </w:rPr>
      </w:pPr>
      <w:r>
        <w:rPr>
          <w:rFonts w:ascii="仿宋" w:hAnsi="仿宋" w:eastAsia="仿宋" w:cs="宋体"/>
          <w:color w:val="auto"/>
          <w:kern w:val="0"/>
          <w:sz w:val="32"/>
          <w:szCs w:val="32"/>
          <w:highlight w:val="none"/>
        </w:rPr>
        <w:t>2021</w:t>
      </w:r>
      <w:r>
        <w:rPr>
          <w:rFonts w:hint="eastAsia" w:ascii="仿宋" w:hAnsi="仿宋" w:eastAsia="仿宋" w:cs="宋体"/>
          <w:color w:val="auto"/>
          <w:kern w:val="0"/>
          <w:sz w:val="32"/>
          <w:szCs w:val="32"/>
          <w:highlight w:val="none"/>
        </w:rPr>
        <w:t>年度政府采购支出总额0.00万元，其中：政府采购货物支出0.00万元、政府采购工程支出0.00万元、政府采购服务支出0.00万元。授予中小企业合同金额0.00万元</w:t>
      </w:r>
      <w:r>
        <w:rPr>
          <w:rFonts w:hint="default" w:ascii="仿宋" w:hAnsi="仿宋" w:eastAsia="仿宋" w:cs="宋体"/>
          <w:color w:val="auto"/>
          <w:kern w:val="0"/>
          <w:sz w:val="32"/>
          <w:szCs w:val="32"/>
          <w:highlight w:val="none"/>
          <w:lang w:val="en-US"/>
        </w:rPr>
        <w:t>,</w:t>
      </w:r>
      <w:r>
        <w:rPr>
          <w:rFonts w:hint="eastAsia" w:ascii="仿宋" w:hAnsi="仿宋" w:eastAsia="仿宋" w:cs="宋体"/>
          <w:color w:val="auto"/>
          <w:kern w:val="0"/>
          <w:sz w:val="32"/>
          <w:szCs w:val="32"/>
          <w:highlight w:val="none"/>
        </w:rPr>
        <w:t>其中：授予小微企业合同金额0.00万元。</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ind w:firstLine="640" w:firstLineChars="200"/>
        <w:rPr>
          <w:rFonts w:hint="eastAsia" w:ascii="仿宋" w:hAnsi="仿宋" w:eastAsia="仿宋" w:cs="宋体"/>
          <w:color w:val="auto"/>
          <w:kern w:val="0"/>
          <w:sz w:val="32"/>
          <w:szCs w:val="32"/>
          <w:highlight w:val="none"/>
        </w:rPr>
      </w:pPr>
      <w:r>
        <w:rPr>
          <w:rFonts w:ascii="仿宋" w:hAnsi="仿宋" w:eastAsia="仿宋" w:cs="宋体"/>
          <w:color w:val="auto"/>
          <w:kern w:val="0"/>
          <w:sz w:val="32"/>
          <w:szCs w:val="32"/>
          <w:highlight w:val="none"/>
        </w:rPr>
        <w:t>2021</w:t>
      </w:r>
      <w:r>
        <w:rPr>
          <w:rFonts w:hint="eastAsia" w:ascii="仿宋" w:hAnsi="仿宋" w:eastAsia="仿宋" w:cs="宋体"/>
          <w:color w:val="auto"/>
          <w:kern w:val="0"/>
          <w:sz w:val="32"/>
          <w:szCs w:val="32"/>
          <w:highlight w:val="none"/>
        </w:rPr>
        <w:t>年期末，我单位共有车辆0辆，其中：省级领导干部用车0辆、主要领导干部用车0辆、机要通信用车0辆、应急保障车0辆、执法执勤用车0辆、特种专业技术用车0辆、离退休干部用车0辆、其他用车0辆；单位价值50万元以上通用设备0台（套），单位价值100万元以上专用设备0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widowControl/>
        <w:spacing w:line="360" w:lineRule="auto"/>
        <w:ind w:firstLine="964" w:firstLineChars="3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 w:hAnsi="仿宋" w:eastAsia="仿宋" w:cs="宋体"/>
          <w:color w:val="auto"/>
          <w:kern w:val="0"/>
          <w:sz w:val="32"/>
          <w:szCs w:val="32"/>
          <w:highlight w:val="none"/>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w:t>
      </w:r>
      <w:r>
        <w:rPr>
          <w:rFonts w:hint="eastAsia" w:ascii="仿宋" w:hAnsi="仿宋" w:eastAsia="仿宋" w:cs="宋体"/>
          <w:color w:val="auto"/>
          <w:kern w:val="0"/>
          <w:sz w:val="32"/>
          <w:szCs w:val="32"/>
          <w:highlight w:val="none"/>
        </w:rPr>
        <w:t>2020年我单位纳入预算绩效管理的支出总额为547.87万元，其中：基本支出543.12万元；支出项目1个，支出金额4.75万元。开展项目绩效自评项目1个，自评金额4.75万元；纳入重点绩效评价0个，评价金额0</w:t>
      </w:r>
      <w:r>
        <w:rPr>
          <w:rFonts w:hint="default" w:ascii="仿宋" w:hAnsi="仿宋" w:eastAsia="仿宋" w:cs="宋体"/>
          <w:color w:val="auto"/>
          <w:kern w:val="0"/>
          <w:sz w:val="32"/>
          <w:szCs w:val="32"/>
          <w:highlight w:val="none"/>
          <w:lang w:val="en-US"/>
        </w:rPr>
        <w:t>.00</w:t>
      </w:r>
      <w:r>
        <w:rPr>
          <w:rFonts w:hint="eastAsia" w:ascii="仿宋" w:hAnsi="仿宋" w:eastAsia="仿宋" w:cs="宋体"/>
          <w:color w:val="auto"/>
          <w:kern w:val="0"/>
          <w:sz w:val="32"/>
          <w:szCs w:val="32"/>
          <w:highlight w:val="none"/>
        </w:rPr>
        <w:t>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 w:hAnsi="仿宋" w:eastAsia="仿宋" w:cs="宋体"/>
          <w:color w:val="auto"/>
          <w:kern w:val="0"/>
          <w:sz w:val="32"/>
          <w:szCs w:val="32"/>
          <w:highlight w:val="none"/>
        </w:rPr>
      </w:pPr>
      <w:r>
        <w:rPr>
          <w:rFonts w:hint="eastAsia" w:ascii="仿宋_GB2312" w:hAnsi="仿宋_GB2312" w:eastAsia="仿宋_GB2312" w:cs="仿宋_GB2312"/>
          <w:color w:val="auto"/>
          <w:sz w:val="32"/>
          <w:szCs w:val="32"/>
          <w:highlight w:val="none"/>
          <w:lang w:val="en-US" w:eastAsia="zh-CN"/>
        </w:rPr>
        <w:t>我单位2021年度积极配合主管单位开展的绩效管理工作，根据上级单位要求严格管理本单位绩效申报工作，并于年末开展自评工作，全年共参与上级单位开展的绩效培训3次。</w:t>
      </w:r>
    </w:p>
    <w:p>
      <w:pPr>
        <w:widowControl/>
        <w:spacing w:line="360" w:lineRule="auto"/>
        <w:ind w:firstLine="964" w:firstLineChars="3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w:t>
      </w:r>
      <w:r>
        <w:rPr>
          <w:rFonts w:hint="eastAsia" w:ascii="楷体_GB2312" w:hAnsi="楷体_GB2312" w:eastAsia="楷体_GB2312" w:cs="楷体_GB2312"/>
          <w:b/>
          <w:bCs/>
          <w:color w:val="auto"/>
          <w:sz w:val="32"/>
          <w:szCs w:val="32"/>
          <w:highlight w:val="none"/>
          <w:lang w:eastAsia="zh-CN"/>
        </w:rPr>
        <w:t>单位</w:t>
      </w:r>
      <w:r>
        <w:rPr>
          <w:rFonts w:hint="eastAsia" w:ascii="楷体_GB2312" w:hAnsi="楷体_GB2312" w:eastAsia="楷体_GB2312" w:cs="楷体_GB2312"/>
          <w:b/>
          <w:bCs/>
          <w:color w:val="auto"/>
          <w:sz w:val="32"/>
          <w:szCs w:val="32"/>
          <w:highlight w:val="none"/>
        </w:rPr>
        <w:t>整体和项目绩效自评结果。</w:t>
      </w:r>
    </w:p>
    <w:p>
      <w:pPr>
        <w:ind w:firstLine="640" w:firstLineChars="200"/>
        <w:rPr>
          <w:rFonts w:hint="eastAsia"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按照《许昌市财政局关于开展2021年度市级预算绩效自评工作的通知》（许财效〔202</w:t>
      </w:r>
      <w:r>
        <w:rPr>
          <w:rFonts w:hint="eastAsia" w:ascii="仿宋" w:hAnsi="仿宋" w:eastAsia="仿宋" w:cs="宋体"/>
          <w:color w:val="auto"/>
          <w:kern w:val="0"/>
          <w:sz w:val="32"/>
          <w:szCs w:val="32"/>
          <w:highlight w:val="none"/>
          <w:lang w:val="en-US" w:eastAsia="zh-CN"/>
        </w:rPr>
        <w:t>2</w:t>
      </w:r>
      <w:r>
        <w:rPr>
          <w:rFonts w:hint="eastAsia" w:ascii="仿宋" w:hAnsi="仿宋" w:eastAsia="仿宋" w:cs="宋体"/>
          <w:color w:val="auto"/>
          <w:kern w:val="0"/>
          <w:sz w:val="32"/>
          <w:szCs w:val="32"/>
          <w:highlight w:val="none"/>
        </w:rPr>
        <w:t>〕1号）等文件精神，我单位对本单位整体绩效目标和项目支出绩效目标进行了自评。一是单位整体绩效自评情况：我单位整体绩效目标自评结果良好，最终得分得分86.96分。我单位严格按照预算批复开展活动，除普通话测试工作因疫情反复，没有完成全部目标外，剩余预期工作目标均圆满完成。二是项目绩效自评情况。我单位共有1个项目批复了绩效目标</w:t>
      </w:r>
      <w:r>
        <w:rPr>
          <w:rFonts w:hint="eastAsia" w:ascii="仿宋" w:hAnsi="仿宋" w:eastAsia="仿宋" w:cs="宋体"/>
          <w:color w:val="auto"/>
          <w:kern w:val="0"/>
          <w:sz w:val="32"/>
          <w:szCs w:val="32"/>
          <w:highlight w:val="none"/>
          <w:lang w:eastAsia="zh-CN"/>
        </w:rPr>
        <w:t>，项目金额</w:t>
      </w:r>
      <w:r>
        <w:rPr>
          <w:rFonts w:hint="eastAsia" w:ascii="仿宋" w:hAnsi="仿宋" w:eastAsia="仿宋" w:cs="宋体"/>
          <w:color w:val="auto"/>
          <w:kern w:val="0"/>
          <w:sz w:val="32"/>
          <w:szCs w:val="32"/>
          <w:highlight w:val="none"/>
          <w:lang w:val="en-US" w:eastAsia="zh-CN"/>
        </w:rPr>
        <w:t>40.00万元</w:t>
      </w:r>
      <w:r>
        <w:rPr>
          <w:rFonts w:hint="eastAsia" w:ascii="仿宋" w:hAnsi="仿宋" w:eastAsia="仿宋" w:cs="宋体"/>
          <w:color w:val="auto"/>
          <w:kern w:val="0"/>
          <w:sz w:val="32"/>
          <w:szCs w:val="32"/>
          <w:highlight w:val="none"/>
        </w:rPr>
        <w:t>。</w:t>
      </w:r>
    </w:p>
    <w:p>
      <w:pPr>
        <w:ind w:firstLine="640" w:firstLineChars="200"/>
        <w:rPr>
          <w:rFonts w:hint="eastAsia"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基于项目预期目标的实现程度，对2021年度项目支出绩效进行自评，绩效自评平均得分为10分。其中：0个项目评价等级为“优”、0个项目评价等级为“良”、0个项目评价等级为“中”、1个项目评价等级为“差”。</w:t>
      </w:r>
    </w:p>
    <w:p>
      <w:pPr>
        <w:widowControl/>
        <w:spacing w:line="360" w:lineRule="auto"/>
        <w:ind w:firstLine="964" w:firstLineChars="3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（三）重点绩效评价结果。</w:t>
      </w:r>
    </w:p>
    <w:p>
      <w:pPr>
        <w:ind w:firstLine="640" w:firstLineChars="200"/>
        <w:rPr>
          <w:rFonts w:hint="eastAsia"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2021年度我单位没有开展重点绩效评价的项目。</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ind w:firstLine="640" w:firstLineChars="200"/>
        <w:rPr>
          <w:rFonts w:hint="eastAsia"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一、财政拨款收入：单位从同级政府财政</w:t>
      </w:r>
      <w:r>
        <w:rPr>
          <w:rFonts w:hint="eastAsia" w:ascii="仿宋" w:hAnsi="仿宋" w:eastAsia="仿宋" w:cs="宋体"/>
          <w:color w:val="auto"/>
          <w:kern w:val="0"/>
          <w:sz w:val="32"/>
          <w:szCs w:val="32"/>
          <w:highlight w:val="none"/>
          <w:lang w:eastAsia="zh-CN"/>
        </w:rPr>
        <w:t>单位</w:t>
      </w:r>
      <w:r>
        <w:rPr>
          <w:rFonts w:hint="eastAsia" w:ascii="仿宋" w:hAnsi="仿宋" w:eastAsia="仿宋" w:cs="宋体"/>
          <w:color w:val="auto"/>
          <w:kern w:val="0"/>
          <w:sz w:val="32"/>
          <w:szCs w:val="32"/>
          <w:highlight w:val="none"/>
        </w:rPr>
        <w:t>取得的财政预算资金。</w:t>
      </w:r>
    </w:p>
    <w:p>
      <w:pPr>
        <w:ind w:firstLine="640" w:firstLineChars="200"/>
        <w:rPr>
          <w:rFonts w:hint="eastAsia"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二、事业收入：事业单位开展专业业务活动及其辅助活动取得的收入。</w:t>
      </w:r>
    </w:p>
    <w:p>
      <w:pPr>
        <w:ind w:firstLine="640" w:firstLineChars="200"/>
        <w:rPr>
          <w:rFonts w:hint="eastAsia"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三、上级补助收入：事业单位从主管</w:t>
      </w:r>
      <w:r>
        <w:rPr>
          <w:rFonts w:hint="eastAsia" w:ascii="仿宋" w:hAnsi="仿宋" w:eastAsia="仿宋" w:cs="宋体"/>
          <w:color w:val="auto"/>
          <w:kern w:val="0"/>
          <w:sz w:val="32"/>
          <w:szCs w:val="32"/>
          <w:highlight w:val="none"/>
          <w:lang w:eastAsia="zh-CN"/>
        </w:rPr>
        <w:t>单位</w:t>
      </w:r>
      <w:r>
        <w:rPr>
          <w:rFonts w:hint="eastAsia" w:ascii="仿宋" w:hAnsi="仿宋" w:eastAsia="仿宋" w:cs="宋体"/>
          <w:color w:val="auto"/>
          <w:kern w:val="0"/>
          <w:sz w:val="32"/>
          <w:szCs w:val="32"/>
          <w:highlight w:val="none"/>
        </w:rPr>
        <w:t>和上级单位取得的非财政补助收入。</w:t>
      </w:r>
    </w:p>
    <w:p>
      <w:pPr>
        <w:ind w:firstLine="640" w:firstLineChars="200"/>
        <w:rPr>
          <w:rFonts w:hint="eastAsia"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四、附属单位上缴收入：事业单位取得附属独立核算单位根据有关规定上缴的收入。</w:t>
      </w:r>
    </w:p>
    <w:p>
      <w:pPr>
        <w:ind w:firstLine="640" w:firstLineChars="200"/>
        <w:rPr>
          <w:rFonts w:hint="eastAsia"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五、经营收入：事业单位在专业业务活动及其辅助活动之外开展非独立核算经营活动取得的收入。</w:t>
      </w:r>
    </w:p>
    <w:p>
      <w:pPr>
        <w:ind w:firstLine="640" w:firstLineChars="200"/>
        <w:rPr>
          <w:rFonts w:hint="eastAsia"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六、其他收入：单位取得的除“财政拨款收入”、“事业收入”、“上级补助收入”、“附属单位上缴收入”、“经营收入”以外的各项收入。</w:t>
      </w:r>
    </w:p>
    <w:p>
      <w:pPr>
        <w:ind w:firstLine="640" w:firstLineChars="200"/>
        <w:rPr>
          <w:rFonts w:hint="eastAsia"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七、使用非财政拨款结余：指事业单位使用以前年度积累的非财政拨款结余弥补当年收支差额的金额。</w:t>
      </w:r>
    </w:p>
    <w:p>
      <w:pPr>
        <w:ind w:firstLine="640" w:firstLineChars="200"/>
        <w:rPr>
          <w:rFonts w:hint="eastAsia"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八、基本支出：为保障机构正常运转、完成日常工作任务而发生的人员支出和公用支出。</w:t>
      </w:r>
    </w:p>
    <w:p>
      <w:pPr>
        <w:ind w:firstLine="640" w:firstLineChars="200"/>
        <w:rPr>
          <w:rFonts w:hint="eastAsia"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九、项目支出：基本支出之外为完成特定行政任务和事业发展目标所发生的支出。</w:t>
      </w:r>
    </w:p>
    <w:p>
      <w:pPr>
        <w:ind w:firstLine="640" w:firstLineChars="200"/>
        <w:rPr>
          <w:rFonts w:hint="eastAsia"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ind w:firstLine="640" w:firstLineChars="200"/>
        <w:rPr>
          <w:rFonts w:hint="eastAsia"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十二、工资福利支出：单位支付给在职职工和编制外长期聘用人员的各类劳动报酬，以及为上述人员缴纳的各项社会保险费等。</w:t>
      </w:r>
    </w:p>
    <w:p>
      <w:pPr>
        <w:ind w:firstLine="640" w:firstLineChars="200"/>
        <w:rPr>
          <w:rFonts w:hint="eastAsia"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十三、商品和服务支出：单位购买商品和服务的支出。</w:t>
      </w:r>
    </w:p>
    <w:p>
      <w:pPr>
        <w:ind w:firstLine="640" w:firstLineChars="200"/>
        <w:rPr>
          <w:rFonts w:hint="eastAsia"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十四、对个人和家庭的补助支出：单位用于对个人和家庭的补助支出。</w:t>
      </w:r>
    </w:p>
    <w:p>
      <w:pPr>
        <w:ind w:firstLine="640" w:firstLineChars="200"/>
        <w:rPr>
          <w:rFonts w:hint="eastAsia"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十五、年末结转：本年度或以前年度预算安排，已执行但尚未完成或因客观条件发生变化无法按原计划实施，需延迟到以后年度按有关规定继续使用的资金。</w:t>
      </w:r>
    </w:p>
    <w:p>
      <w:pPr>
        <w:ind w:firstLine="640" w:firstLineChars="200"/>
        <w:rPr>
          <w:rFonts w:hint="eastAsia"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00"/>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- 27 -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- 27 -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- 28 -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- 28 -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8EFBF6"/>
    <w:multiLevelType w:val="singleLevel"/>
    <w:tmpl w:val="808EFBF6"/>
    <w:lvl w:ilvl="0" w:tentative="0">
      <w:start w:val="1"/>
      <w:numFmt w:val="decimal"/>
      <w:suff w:val="nothing"/>
      <w:lvlText w:val="%1．"/>
      <w:lvlJc w:val="left"/>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0270E8"/>
    <w:rsid w:val="000017CD"/>
    <w:rsid w:val="000270E8"/>
    <w:rsid w:val="000335B5"/>
    <w:rsid w:val="00040F74"/>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3970AF"/>
    <w:rsid w:val="0041489C"/>
    <w:rsid w:val="0042585F"/>
    <w:rsid w:val="00445CAC"/>
    <w:rsid w:val="00472E19"/>
    <w:rsid w:val="00487869"/>
    <w:rsid w:val="004D5275"/>
    <w:rsid w:val="004E5FCD"/>
    <w:rsid w:val="004F1AED"/>
    <w:rsid w:val="004F63DB"/>
    <w:rsid w:val="00505190"/>
    <w:rsid w:val="00506EFD"/>
    <w:rsid w:val="00507364"/>
    <w:rsid w:val="00546F7C"/>
    <w:rsid w:val="00570A77"/>
    <w:rsid w:val="005A0C2F"/>
    <w:rsid w:val="005B1AE2"/>
    <w:rsid w:val="005E3397"/>
    <w:rsid w:val="00607D67"/>
    <w:rsid w:val="006228C4"/>
    <w:rsid w:val="00636C37"/>
    <w:rsid w:val="006512DD"/>
    <w:rsid w:val="00656BEF"/>
    <w:rsid w:val="00656D75"/>
    <w:rsid w:val="00657E86"/>
    <w:rsid w:val="00673EF7"/>
    <w:rsid w:val="00684120"/>
    <w:rsid w:val="006841E9"/>
    <w:rsid w:val="0069449E"/>
    <w:rsid w:val="006C07F0"/>
    <w:rsid w:val="006C644A"/>
    <w:rsid w:val="006C7D84"/>
    <w:rsid w:val="007148E8"/>
    <w:rsid w:val="00733DAA"/>
    <w:rsid w:val="00741163"/>
    <w:rsid w:val="00742BA0"/>
    <w:rsid w:val="00753545"/>
    <w:rsid w:val="00764156"/>
    <w:rsid w:val="007706D7"/>
    <w:rsid w:val="00783EEA"/>
    <w:rsid w:val="007879ED"/>
    <w:rsid w:val="007A48A3"/>
    <w:rsid w:val="007C029F"/>
    <w:rsid w:val="007C7F49"/>
    <w:rsid w:val="007D2A21"/>
    <w:rsid w:val="008051BF"/>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E4635"/>
    <w:rsid w:val="009F0FBB"/>
    <w:rsid w:val="009F546E"/>
    <w:rsid w:val="00A02F9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DD435F"/>
    <w:rsid w:val="00E01C3E"/>
    <w:rsid w:val="00E13099"/>
    <w:rsid w:val="00E4339F"/>
    <w:rsid w:val="00E60B05"/>
    <w:rsid w:val="00E629EA"/>
    <w:rsid w:val="00E6777C"/>
    <w:rsid w:val="00EB05A3"/>
    <w:rsid w:val="00ED38B7"/>
    <w:rsid w:val="00EE051D"/>
    <w:rsid w:val="00F0131A"/>
    <w:rsid w:val="00F02A59"/>
    <w:rsid w:val="00F14C17"/>
    <w:rsid w:val="00F17041"/>
    <w:rsid w:val="00F218CF"/>
    <w:rsid w:val="00F229A9"/>
    <w:rsid w:val="00F44937"/>
    <w:rsid w:val="00F61A47"/>
    <w:rsid w:val="00F84422"/>
    <w:rsid w:val="00F95455"/>
    <w:rsid w:val="00FA574D"/>
    <w:rsid w:val="00FB2E49"/>
    <w:rsid w:val="00FC2588"/>
    <w:rsid w:val="00FE5018"/>
    <w:rsid w:val="00FE7AD9"/>
    <w:rsid w:val="01322275"/>
    <w:rsid w:val="01DC6F05"/>
    <w:rsid w:val="021E7C7C"/>
    <w:rsid w:val="02A3489A"/>
    <w:rsid w:val="02CA138D"/>
    <w:rsid w:val="033646FC"/>
    <w:rsid w:val="03C75F80"/>
    <w:rsid w:val="0478364D"/>
    <w:rsid w:val="053D4C0D"/>
    <w:rsid w:val="0557532E"/>
    <w:rsid w:val="06925767"/>
    <w:rsid w:val="0799329C"/>
    <w:rsid w:val="08397436"/>
    <w:rsid w:val="086F16A7"/>
    <w:rsid w:val="0A0F7225"/>
    <w:rsid w:val="0A2B7D82"/>
    <w:rsid w:val="0ADC40E9"/>
    <w:rsid w:val="0AE607F4"/>
    <w:rsid w:val="0B386127"/>
    <w:rsid w:val="0B451598"/>
    <w:rsid w:val="0BEC73F4"/>
    <w:rsid w:val="0C392698"/>
    <w:rsid w:val="0FFF2509"/>
    <w:rsid w:val="10BD36F6"/>
    <w:rsid w:val="11BF0649"/>
    <w:rsid w:val="123E3E08"/>
    <w:rsid w:val="133212F4"/>
    <w:rsid w:val="13D22E22"/>
    <w:rsid w:val="161C2DFF"/>
    <w:rsid w:val="16373578"/>
    <w:rsid w:val="16D3336B"/>
    <w:rsid w:val="17200028"/>
    <w:rsid w:val="17806C36"/>
    <w:rsid w:val="17A74F62"/>
    <w:rsid w:val="18A47774"/>
    <w:rsid w:val="1A3557BD"/>
    <w:rsid w:val="1A8D28EB"/>
    <w:rsid w:val="1A9F2D78"/>
    <w:rsid w:val="1B2E6FD8"/>
    <w:rsid w:val="1B877D21"/>
    <w:rsid w:val="1C4319A9"/>
    <w:rsid w:val="1E443B4B"/>
    <w:rsid w:val="1E994F4A"/>
    <w:rsid w:val="1EAF0224"/>
    <w:rsid w:val="1F2230A4"/>
    <w:rsid w:val="20210932"/>
    <w:rsid w:val="202448E0"/>
    <w:rsid w:val="20F614FE"/>
    <w:rsid w:val="21302EEA"/>
    <w:rsid w:val="22376FB5"/>
    <w:rsid w:val="23102568"/>
    <w:rsid w:val="23E152D7"/>
    <w:rsid w:val="23EE2489"/>
    <w:rsid w:val="255D43C8"/>
    <w:rsid w:val="26714EF8"/>
    <w:rsid w:val="26876BDD"/>
    <w:rsid w:val="2714632A"/>
    <w:rsid w:val="27541E73"/>
    <w:rsid w:val="27B0539E"/>
    <w:rsid w:val="29365CF8"/>
    <w:rsid w:val="299469B3"/>
    <w:rsid w:val="2A805789"/>
    <w:rsid w:val="2ADC0D75"/>
    <w:rsid w:val="2B4A0E52"/>
    <w:rsid w:val="2C975890"/>
    <w:rsid w:val="2DEF21BB"/>
    <w:rsid w:val="2E4A2F05"/>
    <w:rsid w:val="2ECC1061"/>
    <w:rsid w:val="2FA476AD"/>
    <w:rsid w:val="303F7540"/>
    <w:rsid w:val="31DD00BF"/>
    <w:rsid w:val="3293174C"/>
    <w:rsid w:val="32BB38D4"/>
    <w:rsid w:val="32C9376D"/>
    <w:rsid w:val="33780472"/>
    <w:rsid w:val="33AF0905"/>
    <w:rsid w:val="3503099C"/>
    <w:rsid w:val="355932F4"/>
    <w:rsid w:val="35611882"/>
    <w:rsid w:val="36746FC3"/>
    <w:rsid w:val="368763AE"/>
    <w:rsid w:val="39211FB8"/>
    <w:rsid w:val="395D59E7"/>
    <w:rsid w:val="39A93932"/>
    <w:rsid w:val="3A915562"/>
    <w:rsid w:val="3B8D4765"/>
    <w:rsid w:val="3C000DBA"/>
    <w:rsid w:val="3DC045D3"/>
    <w:rsid w:val="3E504FFB"/>
    <w:rsid w:val="3E615CD0"/>
    <w:rsid w:val="3E9C47F6"/>
    <w:rsid w:val="3F8B0112"/>
    <w:rsid w:val="3FAB3095"/>
    <w:rsid w:val="3FE45947"/>
    <w:rsid w:val="41242965"/>
    <w:rsid w:val="435671EA"/>
    <w:rsid w:val="440809E9"/>
    <w:rsid w:val="442407A6"/>
    <w:rsid w:val="44805EA1"/>
    <w:rsid w:val="45710696"/>
    <w:rsid w:val="46142B1B"/>
    <w:rsid w:val="47E60DD0"/>
    <w:rsid w:val="48735039"/>
    <w:rsid w:val="49086B05"/>
    <w:rsid w:val="492C684B"/>
    <w:rsid w:val="49500594"/>
    <w:rsid w:val="49E7604E"/>
    <w:rsid w:val="4BCFD4A7"/>
    <w:rsid w:val="4BF67CDD"/>
    <w:rsid w:val="4D173441"/>
    <w:rsid w:val="4D603DD6"/>
    <w:rsid w:val="4EBF010F"/>
    <w:rsid w:val="4F471EB0"/>
    <w:rsid w:val="51331326"/>
    <w:rsid w:val="51740A7F"/>
    <w:rsid w:val="51A5541E"/>
    <w:rsid w:val="51C96242"/>
    <w:rsid w:val="531E2F73"/>
    <w:rsid w:val="53906AE1"/>
    <w:rsid w:val="53AF45CB"/>
    <w:rsid w:val="54AB2877"/>
    <w:rsid w:val="54F46F60"/>
    <w:rsid w:val="55A37BEA"/>
    <w:rsid w:val="55FA3F8C"/>
    <w:rsid w:val="56362CD2"/>
    <w:rsid w:val="5784687B"/>
    <w:rsid w:val="57846959"/>
    <w:rsid w:val="578E6A87"/>
    <w:rsid w:val="5AC2203A"/>
    <w:rsid w:val="5C3F0243"/>
    <w:rsid w:val="5CBB3334"/>
    <w:rsid w:val="5D115FAF"/>
    <w:rsid w:val="5EEB2B50"/>
    <w:rsid w:val="5F4D4B50"/>
    <w:rsid w:val="61834AAE"/>
    <w:rsid w:val="62811722"/>
    <w:rsid w:val="62E75A72"/>
    <w:rsid w:val="64571880"/>
    <w:rsid w:val="649125B6"/>
    <w:rsid w:val="652F4C1A"/>
    <w:rsid w:val="666D37F1"/>
    <w:rsid w:val="67087D8F"/>
    <w:rsid w:val="671F687E"/>
    <w:rsid w:val="67F415F8"/>
    <w:rsid w:val="682640D1"/>
    <w:rsid w:val="684B73E5"/>
    <w:rsid w:val="6A047A2A"/>
    <w:rsid w:val="6CCA427A"/>
    <w:rsid w:val="6D761874"/>
    <w:rsid w:val="6EFB7548"/>
    <w:rsid w:val="6F3831C3"/>
    <w:rsid w:val="6F8B71C1"/>
    <w:rsid w:val="70753482"/>
    <w:rsid w:val="707B522A"/>
    <w:rsid w:val="73194D05"/>
    <w:rsid w:val="73A83B0E"/>
    <w:rsid w:val="74171692"/>
    <w:rsid w:val="744D3EF9"/>
    <w:rsid w:val="74794411"/>
    <w:rsid w:val="75867C40"/>
    <w:rsid w:val="75B10B26"/>
    <w:rsid w:val="76432199"/>
    <w:rsid w:val="76F44829"/>
    <w:rsid w:val="77A267C0"/>
    <w:rsid w:val="78882278"/>
    <w:rsid w:val="78B118A6"/>
    <w:rsid w:val="79135044"/>
    <w:rsid w:val="7A7D0F99"/>
    <w:rsid w:val="7E4A0E7C"/>
    <w:rsid w:val="7EFD449D"/>
    <w:rsid w:val="B7FDD6C9"/>
    <w:rsid w:val="D9BFAB1F"/>
    <w:rsid w:val="DFFF3586"/>
    <w:rsid w:val="EFF774F3"/>
    <w:rsid w:val="FFBDA08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21"/>
    <w:uiPriority w:val="0"/>
    <w:rPr>
      <w:rFonts w:hint="eastAsia" w:ascii="宋体" w:hAnsi="宋体" w:eastAsia="宋体" w:cs="宋体"/>
      <w:color w:val="000000"/>
      <w:sz w:val="22"/>
      <w:szCs w:val="22"/>
      <w:u w:val="none"/>
    </w:rPr>
  </w:style>
  <w:style w:type="character" w:customStyle="1" w:styleId="14">
    <w:name w:val="font01"/>
    <w:uiPriority w:val="0"/>
    <w:rPr>
      <w:rFonts w:hint="eastAsia" w:ascii="宋体" w:hAnsi="宋体" w:eastAsia="宋体" w:cs="宋体"/>
      <w:color w:val="000000"/>
      <w:sz w:val="22"/>
      <w:szCs w:val="22"/>
      <w:u w:val="none"/>
    </w:rPr>
  </w:style>
  <w:style w:type="character" w:customStyle="1" w:styleId="15">
    <w:name w:val="font11"/>
    <w:qFormat/>
    <w:uiPriority w:val="0"/>
    <w:rPr>
      <w:rFonts w:hint="eastAsia" w:ascii="宋体" w:hAnsi="宋体" w:eastAsia="宋体" w:cs="宋体"/>
      <w:color w:val="000000"/>
      <w:sz w:val="20"/>
      <w:szCs w:val="20"/>
      <w:u w:val="none"/>
    </w:rPr>
  </w:style>
  <w:style w:type="character" w:customStyle="1" w:styleId="16">
    <w:name w:val="font51"/>
    <w:qFormat/>
    <w:uiPriority w:val="0"/>
    <w:rPr>
      <w:rFonts w:hint="eastAsia" w:ascii="宋体" w:hAnsi="宋体" w:eastAsia="宋体" w:cs="宋体"/>
      <w:color w:val="000000"/>
      <w:sz w:val="24"/>
      <w:szCs w:val="24"/>
      <w:u w:val="none"/>
    </w:rPr>
  </w:style>
  <w:style w:type="character" w:customStyle="1" w:styleId="17">
    <w:name w:val="font41"/>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 User</Company>
  <Pages>32</Pages>
  <Words>7924</Words>
  <Characters>9693</Characters>
  <Lines>86</Lines>
  <Paragraphs>24</Paragraphs>
  <TotalTime>51</TotalTime>
  <ScaleCrop>false</ScaleCrop>
  <LinksUpToDate>false</LinksUpToDate>
  <CharactersWithSpaces>10372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2007-11-30T03:41:00Z</dcterms:created>
  <dc:creator>管理者</dc:creator>
  <cp:lastModifiedBy>悟の</cp:lastModifiedBy>
  <cp:lastPrinted>2018-07-25T10:50:00Z</cp:lastPrinted>
  <dcterms:modified xsi:type="dcterms:W3CDTF">2023-09-17T11:11:16Z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A08BAD607F9D481F9DC4689E1F57B8A1_13</vt:lpwstr>
  </property>
</Properties>
</file>