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rPr>
          <w:rFonts w:hint="eastAsia" w:ascii="黑体" w:hAnsi="黑体" w:eastAsia="黑体" w:cs="黑体"/>
          <w:color w:val="auto"/>
          <w:sz w:val="52"/>
          <w:szCs w:val="52"/>
          <w:highlight w:val="none"/>
        </w:rPr>
      </w:pPr>
      <w:r>
        <w:rPr>
          <w:rFonts w:hint="eastAsia" w:ascii="黑体" w:hAnsi="黑体" w:eastAsia="黑体" w:cs="黑体"/>
          <w:color w:val="auto"/>
          <w:sz w:val="52"/>
          <w:szCs w:val="52"/>
          <w:highlight w:val="none"/>
        </w:rPr>
        <w:t>20</w:t>
      </w:r>
      <w:r>
        <w:rPr>
          <w:rFonts w:ascii="黑体" w:hAnsi="黑体" w:eastAsia="黑体" w:cs="黑体"/>
          <w:color w:val="auto"/>
          <w:sz w:val="52"/>
          <w:szCs w:val="52"/>
          <w:highlight w:val="none"/>
        </w:rPr>
        <w:t>21</w:t>
      </w:r>
      <w:r>
        <w:rPr>
          <w:rFonts w:hint="eastAsia" w:ascii="黑体" w:hAnsi="黑体" w:eastAsia="黑体" w:cs="黑体"/>
          <w:color w:val="auto"/>
          <w:sz w:val="52"/>
          <w:szCs w:val="52"/>
          <w:highlight w:val="none"/>
        </w:rPr>
        <w:t>年度</w:t>
      </w:r>
    </w:p>
    <w:p>
      <w:pPr>
        <w:jc w:val="center"/>
        <w:rPr>
          <w:rFonts w:hint="eastAsia" w:ascii="黑体" w:hAnsi="黑体" w:eastAsia="黑体" w:cs="黑体"/>
          <w:color w:val="auto"/>
          <w:sz w:val="52"/>
          <w:szCs w:val="52"/>
          <w:highlight w:val="none"/>
          <w:lang w:eastAsia="zh-CN"/>
        </w:rPr>
      </w:pPr>
      <w:r>
        <w:rPr>
          <w:rFonts w:hint="eastAsia" w:ascii="黑体" w:hAnsi="黑体" w:eastAsia="黑体" w:cs="黑体"/>
          <w:color w:val="auto"/>
          <w:sz w:val="52"/>
          <w:szCs w:val="52"/>
          <w:highlight w:val="none"/>
          <w:lang w:val="en-US" w:eastAsia="zh-CN"/>
        </w:rPr>
        <w:t>许昌市招生考试中心</w:t>
      </w:r>
      <w:r>
        <w:rPr>
          <w:rFonts w:hint="eastAsia" w:ascii="黑体" w:hAnsi="黑体" w:eastAsia="黑体" w:cs="黑体"/>
          <w:color w:val="auto"/>
          <w:sz w:val="52"/>
          <w:szCs w:val="52"/>
          <w:highlight w:val="none"/>
          <w:lang w:eastAsia="zh-CN"/>
        </w:rPr>
        <w:t>单位决算</w:t>
      </w:r>
    </w:p>
    <w:p>
      <w:pPr>
        <w:jc w:val="center"/>
        <w:rPr>
          <w:rFonts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32"/>
          <w:szCs w:val="32"/>
          <w:highlight w:val="none"/>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color w:val="auto"/>
          <w:sz w:val="32"/>
          <w:szCs w:val="32"/>
          <w:highlight w:val="none"/>
        </w:rPr>
        <w:t>二〇二二年</w:t>
      </w:r>
      <w:r>
        <w:rPr>
          <w:rFonts w:hint="eastAsia" w:ascii="黑体" w:hAnsi="黑体" w:eastAsia="黑体" w:cs="黑体"/>
          <w:color w:val="auto"/>
          <w:sz w:val="32"/>
          <w:szCs w:val="32"/>
          <w:highlight w:val="none"/>
          <w:lang w:eastAsia="zh-CN"/>
        </w:rPr>
        <w:t>九</w:t>
      </w:r>
      <w:r>
        <w:rPr>
          <w:rFonts w:hint="eastAsia" w:ascii="黑体" w:hAnsi="黑体" w:eastAsia="黑体" w:cs="黑体"/>
          <w:color w:val="auto"/>
          <w:sz w:val="32"/>
          <w:szCs w:val="32"/>
          <w:highlight w:val="none"/>
        </w:rPr>
        <w:t>月</w:t>
      </w:r>
    </w:p>
    <w:p>
      <w:pPr>
        <w:jc w:val="center"/>
        <w:rPr>
          <w:rFonts w:ascii="黑体" w:hAnsi="黑体" w:eastAsia="黑体" w:cs="黑体"/>
          <w:color w:val="auto"/>
          <w:sz w:val="36"/>
          <w:szCs w:val="36"/>
          <w:highlight w:val="none"/>
        </w:rPr>
      </w:pPr>
      <w:r>
        <w:rPr>
          <w:rFonts w:hint="eastAsia" w:ascii="黑体" w:hAnsi="黑体" w:eastAsia="黑体" w:cs="黑体"/>
          <w:color w:val="auto"/>
          <w:sz w:val="36"/>
          <w:szCs w:val="36"/>
          <w:highlight w:val="none"/>
        </w:rPr>
        <w:t>目　　录</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第一部分</w:t>
      </w:r>
      <w:r>
        <w:rPr>
          <w:rFonts w:hint="eastAsia" w:ascii="黑体" w:hAnsi="黑体" w:eastAsia="黑体" w:cs="黑体"/>
          <w:color w:val="auto"/>
          <w:sz w:val="32"/>
          <w:szCs w:val="32"/>
          <w:highlight w:val="none"/>
          <w:lang w:val="en-US" w:eastAsia="zh-CN"/>
        </w:rPr>
        <w:t xml:space="preserve">  许昌市招生考试中心</w:t>
      </w:r>
      <w:r>
        <w:rPr>
          <w:rFonts w:hint="eastAsia" w:ascii="黑体" w:hAnsi="黑体" w:eastAsia="黑体" w:cs="黑体"/>
          <w:color w:val="auto"/>
          <w:sz w:val="32"/>
          <w:szCs w:val="32"/>
          <w:highlight w:val="none"/>
        </w:rPr>
        <w:t>概况</w:t>
      </w:r>
    </w:p>
    <w:p>
      <w:pPr>
        <w:numPr>
          <w:ilvl w:val="0"/>
          <w:numId w:val="1"/>
        </w:num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lang w:eastAsia="zh-CN"/>
        </w:rPr>
        <w:t>单位</w:t>
      </w:r>
      <w:r>
        <w:rPr>
          <w:rFonts w:hint="eastAsia" w:ascii="宋体" w:hAnsi="宋体" w:cs="宋体"/>
          <w:color w:val="auto"/>
          <w:sz w:val="32"/>
          <w:szCs w:val="32"/>
          <w:highlight w:val="none"/>
        </w:rPr>
        <w:t>职责</w:t>
      </w:r>
    </w:p>
    <w:p>
      <w:pPr>
        <w:numPr>
          <w:ilvl w:val="0"/>
          <w:numId w:val="1"/>
        </w:num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机构设置</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第二部</w:t>
      </w:r>
      <w:r>
        <w:rPr>
          <w:rFonts w:hint="eastAsia" w:ascii="黑体" w:hAnsi="黑体" w:eastAsia="黑体" w:cs="黑体"/>
          <w:color w:val="auto"/>
          <w:sz w:val="32"/>
          <w:szCs w:val="32"/>
          <w:highlight w:val="none"/>
          <w:lang w:val="en-US" w:eastAsia="zh-CN"/>
        </w:rPr>
        <w:t xml:space="preserve">分  </w:t>
      </w:r>
      <w:r>
        <w:rPr>
          <w:rFonts w:hint="eastAsia" w:ascii="黑体" w:hAnsi="黑体" w:eastAsia="黑体" w:cs="黑体"/>
          <w:color w:val="auto"/>
          <w:sz w:val="32"/>
          <w:szCs w:val="32"/>
          <w:highlight w:val="none"/>
        </w:rPr>
        <w:t>2021年度</w:t>
      </w:r>
      <w:r>
        <w:rPr>
          <w:rFonts w:hint="eastAsia" w:ascii="黑体" w:hAnsi="黑体" w:eastAsia="黑体" w:cs="黑体"/>
          <w:color w:val="auto"/>
          <w:sz w:val="32"/>
          <w:szCs w:val="32"/>
          <w:highlight w:val="none"/>
          <w:lang w:eastAsia="zh-CN"/>
        </w:rPr>
        <w:t>单位决算</w:t>
      </w:r>
      <w:r>
        <w:rPr>
          <w:rFonts w:hint="eastAsia" w:ascii="黑体" w:hAnsi="黑体" w:eastAsia="黑体" w:cs="黑体"/>
          <w:color w:val="auto"/>
          <w:sz w:val="32"/>
          <w:szCs w:val="32"/>
          <w:highlight w:val="none"/>
        </w:rPr>
        <w:t>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一、收入支出决算总表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二、收入决算表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三、支出决算表</w:t>
      </w:r>
    </w:p>
    <w:p>
      <w:pPr>
        <w:ind w:firstLine="640" w:firstLineChars="200"/>
        <w:jc w:val="left"/>
        <w:rPr>
          <w:rFonts w:ascii="宋体" w:hAnsi="宋体" w:cs="黑体"/>
          <w:color w:val="auto"/>
          <w:sz w:val="32"/>
          <w:szCs w:val="32"/>
          <w:highlight w:val="none"/>
        </w:rPr>
      </w:pPr>
      <w:r>
        <w:rPr>
          <w:rFonts w:hint="eastAsia" w:ascii="宋体" w:hAnsi="宋体" w:cs="黑体"/>
          <w:color w:val="auto"/>
          <w:sz w:val="32"/>
          <w:szCs w:val="32"/>
          <w:highlight w:val="none"/>
        </w:rPr>
        <w:t>四、财政拨款收入支出决算总表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五、一般公共预算财政拨款支出决算表</w:t>
      </w:r>
    </w:p>
    <w:p>
      <w:pPr>
        <w:ind w:firstLine="640" w:firstLineChars="200"/>
        <w:jc w:val="left"/>
        <w:rPr>
          <w:rFonts w:ascii="宋体" w:hAnsi="宋体" w:cs="黑体"/>
          <w:color w:val="auto"/>
          <w:sz w:val="32"/>
          <w:szCs w:val="32"/>
          <w:highlight w:val="none"/>
        </w:rPr>
      </w:pPr>
      <w:r>
        <w:rPr>
          <w:rFonts w:hint="eastAsia" w:ascii="宋体" w:hAnsi="宋体" w:cs="黑体"/>
          <w:color w:val="auto"/>
          <w:sz w:val="32"/>
          <w:szCs w:val="32"/>
          <w:highlight w:val="none"/>
        </w:rPr>
        <w:t>六、一般公共预算财政拨款基本支出决算明细表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七、一般公共预算财政拨款“三公”经费支出决算表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八、政府性基金预算财政拨款收入支出决算表</w:t>
      </w:r>
    </w:p>
    <w:p>
      <w:pPr>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第三部分</w:t>
      </w:r>
      <w:r>
        <w:rPr>
          <w:rFonts w:hint="eastAsia" w:ascii="黑体" w:hAnsi="黑体" w:eastAsia="黑体" w:cs="黑体"/>
          <w:color w:val="auto"/>
          <w:sz w:val="32"/>
          <w:szCs w:val="32"/>
          <w:highlight w:val="none"/>
          <w:lang w:val="en-US" w:eastAsia="zh-CN"/>
        </w:rPr>
        <w:t xml:space="preserve">  </w:t>
      </w:r>
      <w:r>
        <w:rPr>
          <w:rFonts w:ascii="黑体" w:hAnsi="黑体" w:eastAsia="黑体" w:cs="黑体"/>
          <w:color w:val="auto"/>
          <w:sz w:val="32"/>
          <w:szCs w:val="32"/>
          <w:highlight w:val="none"/>
        </w:rPr>
        <w:t>2021</w:t>
      </w:r>
      <w:r>
        <w:rPr>
          <w:rFonts w:hint="eastAsia" w:ascii="黑体" w:hAnsi="黑体" w:eastAsia="黑体" w:cs="黑体"/>
          <w:color w:val="auto"/>
          <w:sz w:val="32"/>
          <w:szCs w:val="32"/>
          <w:highlight w:val="none"/>
        </w:rPr>
        <w:t>年度</w:t>
      </w:r>
      <w:r>
        <w:rPr>
          <w:rFonts w:hint="eastAsia" w:ascii="黑体" w:hAnsi="黑体" w:eastAsia="黑体" w:cs="黑体"/>
          <w:color w:val="auto"/>
          <w:sz w:val="32"/>
          <w:szCs w:val="32"/>
          <w:highlight w:val="none"/>
          <w:lang w:eastAsia="zh-CN"/>
        </w:rPr>
        <w:t>单位决算</w:t>
      </w:r>
      <w:r>
        <w:rPr>
          <w:rFonts w:hint="eastAsia" w:ascii="黑体" w:hAnsi="黑体" w:eastAsia="黑体" w:cs="黑体"/>
          <w:color w:val="auto"/>
          <w:sz w:val="32"/>
          <w:szCs w:val="32"/>
          <w:highlight w:val="none"/>
        </w:rPr>
        <w:t>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一、收入支出决算总体情况说明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二、收入决算情况说明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三、支出决算情况说明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四、财政拨款收入支出决算总体情况说明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五、一般公共预算财政拨款支出决算情况说明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六、一般公共预算财政拨款基本支出决算情况说明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七、一般公共预算财政拨款“三公”经费支出决算情况说明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八、政府性基金预算财政拨款支出决算情况说明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九、机关运行经费支出情况说明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十、政府采购支出情况说明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十一、国有资产占用情况说明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十二、预算绩效情况说明</w:t>
      </w:r>
    </w:p>
    <w:p>
      <w:pPr>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第四部分　　名词解释</w:t>
      </w: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both"/>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宋体" w:eastAsia="黑体" w:cs="宋体"/>
          <w:color w:val="auto"/>
          <w:kern w:val="0"/>
          <w:sz w:val="28"/>
          <w:szCs w:val="28"/>
          <w:highlight w:val="none"/>
        </w:rPr>
      </w:pPr>
      <w:r>
        <w:rPr>
          <w:rFonts w:hint="eastAsia" w:ascii="黑体" w:hAnsi="黑体" w:eastAsia="黑体" w:cs="黑体"/>
          <w:color w:val="auto"/>
          <w:sz w:val="48"/>
          <w:szCs w:val="48"/>
          <w:highlight w:val="none"/>
        </w:rPr>
        <w:t xml:space="preserve">第一部分  </w:t>
      </w:r>
      <w:r>
        <w:rPr>
          <w:rFonts w:hint="eastAsia" w:ascii="黑体" w:hAnsi="黑体" w:eastAsia="黑体" w:cs="黑体"/>
          <w:color w:val="auto"/>
          <w:sz w:val="48"/>
          <w:szCs w:val="48"/>
          <w:highlight w:val="none"/>
          <w:lang w:val="en-US" w:eastAsia="zh-CN"/>
        </w:rPr>
        <w:t>许昌市招生考试中心</w:t>
      </w:r>
      <w:r>
        <w:rPr>
          <w:rFonts w:hint="eastAsia" w:ascii="黑体" w:hAnsi="黑体" w:eastAsia="黑体" w:cs="黑体"/>
          <w:color w:val="auto"/>
          <w:sz w:val="48"/>
          <w:szCs w:val="48"/>
          <w:highlight w:val="none"/>
        </w:rPr>
        <w:t>概况</w:t>
      </w: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outlineLvl w:val="1"/>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一、</w:t>
      </w:r>
      <w:r>
        <w:rPr>
          <w:rFonts w:hint="eastAsia" w:ascii="黑体" w:hAnsi="黑体" w:eastAsia="黑体" w:cs="黑体"/>
          <w:color w:val="auto"/>
          <w:kern w:val="0"/>
          <w:sz w:val="32"/>
          <w:szCs w:val="32"/>
          <w:highlight w:val="none"/>
          <w:lang w:eastAsia="zh-CN"/>
        </w:rPr>
        <w:t>单位</w:t>
      </w:r>
      <w:r>
        <w:rPr>
          <w:rFonts w:hint="eastAsia" w:ascii="黑体" w:hAnsi="黑体" w:eastAsia="黑体" w:cs="黑体"/>
          <w:bCs/>
          <w:color w:val="auto"/>
          <w:sz w:val="32"/>
          <w:szCs w:val="32"/>
          <w:highlight w:val="none"/>
        </w:rPr>
        <w:t>职责</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default" w:ascii="仿宋_GB2312" w:hAnsi="宋体" w:eastAsia="仿宋_GB2312" w:cs="宋体"/>
          <w:color w:val="auto"/>
          <w:kern w:val="0"/>
          <w:sz w:val="32"/>
          <w:szCs w:val="32"/>
          <w:highlight w:val="none"/>
          <w:lang w:val="en-US" w:eastAsia="zh-CN"/>
        </w:rPr>
      </w:pPr>
      <w:r>
        <w:rPr>
          <w:rFonts w:hint="eastAsia" w:ascii="仿宋_GB2312" w:hAnsi="宋体" w:eastAsia="仿宋_GB2312" w:cs="宋体"/>
          <w:color w:val="auto"/>
          <w:kern w:val="0"/>
          <w:sz w:val="32"/>
          <w:szCs w:val="32"/>
          <w:highlight w:val="none"/>
        </w:rPr>
        <w:t>许昌市</w:t>
      </w:r>
      <w:r>
        <w:rPr>
          <w:rFonts w:hint="eastAsia" w:ascii="仿宋_GB2312" w:hAnsi="宋体" w:eastAsia="仿宋_GB2312" w:cs="宋体"/>
          <w:color w:val="auto"/>
          <w:kern w:val="0"/>
          <w:sz w:val="32"/>
          <w:szCs w:val="32"/>
          <w:highlight w:val="none"/>
          <w:lang w:eastAsia="zh-CN"/>
        </w:rPr>
        <w:t>招生考试中心</w:t>
      </w:r>
      <w:r>
        <w:rPr>
          <w:rFonts w:hint="eastAsia" w:ascii="仿宋_GB2312" w:hAnsi="宋体" w:eastAsia="仿宋_GB2312" w:cs="宋体"/>
          <w:color w:val="auto"/>
          <w:kern w:val="0"/>
          <w:sz w:val="32"/>
          <w:szCs w:val="32"/>
          <w:highlight w:val="none"/>
        </w:rPr>
        <w:t>主要负责</w:t>
      </w:r>
      <w:r>
        <w:rPr>
          <w:rFonts w:hint="eastAsia" w:ascii="仿宋_GB2312" w:hAnsi="宋体" w:eastAsia="仿宋_GB2312" w:cs="宋体"/>
          <w:color w:val="auto"/>
          <w:kern w:val="0"/>
          <w:sz w:val="32"/>
          <w:szCs w:val="32"/>
          <w:highlight w:val="none"/>
          <w:lang w:val="en-US" w:eastAsia="zh-CN"/>
        </w:rPr>
        <w:t>组织各类招生考试录取，为各类院校输送合格人才。包括普通高校、普通中专、成人高校、成人中专的报名考试录取，高等教育自学考试、硕士研究生报名考试、海军航空兵招录考试与计算机等级考试的组织。</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全市招生考务工作。</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outlineLvl w:val="1"/>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二、机构设置</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rPr>
        <w:t>许昌市</w:t>
      </w:r>
      <w:r>
        <w:rPr>
          <w:rFonts w:hint="eastAsia" w:ascii="仿宋_GB2312" w:hAnsi="仿宋_GB2312" w:eastAsia="仿宋_GB2312" w:cs="仿宋_GB2312"/>
          <w:color w:val="auto"/>
          <w:kern w:val="0"/>
          <w:sz w:val="32"/>
          <w:szCs w:val="32"/>
          <w:highlight w:val="none"/>
          <w:lang w:eastAsia="zh-CN"/>
        </w:rPr>
        <w:t>招生考试中心</w:t>
      </w:r>
      <w:r>
        <w:rPr>
          <w:rFonts w:hint="eastAsia" w:ascii="仿宋_GB2312" w:hAnsi="仿宋_GB2312" w:eastAsia="仿宋_GB2312" w:cs="仿宋_GB2312"/>
          <w:color w:val="auto"/>
          <w:kern w:val="0"/>
          <w:sz w:val="32"/>
          <w:szCs w:val="32"/>
          <w:highlight w:val="none"/>
          <w:lang w:val="en-US" w:eastAsia="zh-CN"/>
        </w:rPr>
        <w:t>内设机构5个，包括：综合科、自考科、中成科、信息科和普招科。</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从决算单位构成看，</w:t>
      </w:r>
      <w:r>
        <w:rPr>
          <w:rFonts w:hint="eastAsia" w:ascii="仿宋_GB2312" w:hAnsi="仿宋_GB2312" w:eastAsia="仿宋_GB2312" w:cs="仿宋_GB2312"/>
          <w:color w:val="auto"/>
          <w:kern w:val="0"/>
          <w:sz w:val="32"/>
          <w:szCs w:val="32"/>
          <w:highlight w:val="none"/>
        </w:rPr>
        <w:t>许昌市招生考试</w:t>
      </w:r>
      <w:r>
        <w:rPr>
          <w:rFonts w:hint="eastAsia" w:ascii="仿宋_GB2312" w:hAnsi="仿宋_GB2312" w:eastAsia="仿宋_GB2312" w:cs="仿宋_GB2312"/>
          <w:color w:val="auto"/>
          <w:kern w:val="0"/>
          <w:sz w:val="32"/>
          <w:szCs w:val="32"/>
          <w:highlight w:val="none"/>
          <w:lang w:eastAsia="zh-CN"/>
        </w:rPr>
        <w:t>中心</w:t>
      </w:r>
      <w:r>
        <w:rPr>
          <w:rFonts w:hint="eastAsia" w:ascii="仿宋_GB2312" w:hAnsi="仿宋_GB2312" w:eastAsia="仿宋_GB2312" w:cs="仿宋_GB2312"/>
          <w:color w:val="auto"/>
          <w:kern w:val="0"/>
          <w:sz w:val="32"/>
          <w:szCs w:val="32"/>
          <w:highlight w:val="none"/>
          <w:lang w:val="en-US" w:eastAsia="zh-CN"/>
        </w:rPr>
        <w:t>单位决算包括：本级决算。</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纳入本单位2021年度单位决算编制范围的单位共1个，具体是：</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val="en-US" w:eastAsia="zh-CN"/>
        </w:rPr>
        <w:t>1.</w:t>
      </w:r>
      <w:r>
        <w:rPr>
          <w:rFonts w:hint="eastAsia" w:ascii="仿宋_GB2312" w:hAnsi="仿宋_GB2312" w:eastAsia="仿宋_GB2312" w:cs="仿宋_GB2312"/>
          <w:color w:val="auto"/>
          <w:kern w:val="0"/>
          <w:sz w:val="32"/>
          <w:szCs w:val="32"/>
          <w:highlight w:val="none"/>
        </w:rPr>
        <w:t>许昌市</w:t>
      </w:r>
      <w:r>
        <w:rPr>
          <w:rFonts w:hint="eastAsia" w:ascii="仿宋_GB2312" w:hAnsi="仿宋_GB2312" w:eastAsia="仿宋_GB2312" w:cs="仿宋_GB2312"/>
          <w:color w:val="auto"/>
          <w:kern w:val="0"/>
          <w:sz w:val="32"/>
          <w:szCs w:val="32"/>
          <w:highlight w:val="none"/>
          <w:lang w:eastAsia="zh-CN"/>
        </w:rPr>
        <w:t>招生考试中心</w:t>
      </w:r>
    </w:p>
    <w:p>
      <w:pPr>
        <w:widowControl/>
        <w:jc w:val="left"/>
        <w:rPr>
          <w:rFonts w:hint="eastAsia" w:ascii="黑体" w:hAnsi="宋体" w:eastAsia="黑体" w:cs="宋体"/>
          <w:color w:val="auto"/>
          <w:kern w:val="0"/>
          <w:sz w:val="28"/>
          <w:szCs w:val="28"/>
          <w:highlight w:val="none"/>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第二部分  2021年度</w:t>
      </w:r>
      <w:r>
        <w:rPr>
          <w:rFonts w:hint="eastAsia" w:ascii="黑体" w:hAnsi="黑体" w:eastAsia="黑体" w:cs="黑体"/>
          <w:color w:val="auto"/>
          <w:sz w:val="48"/>
          <w:szCs w:val="48"/>
          <w:highlight w:val="none"/>
          <w:lang w:eastAsia="zh-CN"/>
        </w:rPr>
        <w:t>单位决算</w:t>
      </w:r>
      <w:r>
        <w:rPr>
          <w:rFonts w:hint="eastAsia" w:ascii="黑体" w:hAnsi="黑体" w:eastAsia="黑体" w:cs="黑体"/>
          <w:color w:val="auto"/>
          <w:sz w:val="48"/>
          <w:szCs w:val="48"/>
          <w:highlight w:val="none"/>
        </w:rPr>
        <w:t>表</w:t>
      </w: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sectPr>
          <w:pgSz w:w="11906" w:h="16838"/>
          <w:pgMar w:top="1440" w:right="1800" w:bottom="1440" w:left="1800" w:header="720" w:footer="720" w:gutter="0"/>
          <w:pgNumType w:fmt="numberInDash"/>
          <w:cols w:space="720" w:num="1"/>
          <w:docGrid w:type="lines" w:linePitch="312" w:charSpace="0"/>
        </w:sectPr>
      </w:pPr>
    </w:p>
    <w:tbl>
      <w:tblPr>
        <w:tblStyle w:val="5"/>
        <w:tblW w:w="1396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21"/>
        <w:gridCol w:w="776"/>
        <w:gridCol w:w="1297"/>
        <w:gridCol w:w="4161"/>
        <w:gridCol w:w="776"/>
        <w:gridCol w:w="25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963" w:type="dxa"/>
            <w:gridSpan w:val="6"/>
            <w:tcBorders>
              <w:top w:val="nil"/>
              <w:left w:val="nil"/>
              <w:bottom w:val="nil"/>
              <w:right w:val="nil"/>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eastAsia" w:ascii="Arial" w:hAnsi="Arial" w:eastAsia="宋体" w:cs="Arial"/>
                <w:i w:val="0"/>
                <w:iCs w:val="0"/>
                <w:color w:val="auto"/>
                <w:sz w:val="20"/>
                <w:szCs w:val="20"/>
                <w:highlight w:val="none"/>
                <w:u w:val="none"/>
              </w:rPr>
            </w:pPr>
          </w:p>
        </w:tc>
        <w:tc>
          <w:tcPr>
            <w:tcW w:w="0" w:type="auto"/>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eastAsia="宋体" w:cs="Arial"/>
                <w:i w:val="0"/>
                <w:iCs w:val="0"/>
                <w:color w:val="auto"/>
                <w:sz w:val="20"/>
                <w:szCs w:val="20"/>
                <w:highlight w:val="none"/>
                <w:u w:val="none"/>
              </w:rPr>
            </w:pPr>
          </w:p>
        </w:tc>
        <w:tc>
          <w:tcPr>
            <w:tcW w:w="0" w:type="auto"/>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eastAsia="宋体" w:cs="Arial"/>
                <w:i w:val="0"/>
                <w:iCs w:val="0"/>
                <w:color w:val="auto"/>
                <w:sz w:val="20"/>
                <w:szCs w:val="20"/>
                <w:highlight w:val="none"/>
                <w:u w:val="none"/>
              </w:rPr>
            </w:pPr>
          </w:p>
        </w:tc>
        <w:tc>
          <w:tcPr>
            <w:tcW w:w="0" w:type="auto"/>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eastAsia="宋体" w:cs="Arial"/>
                <w:i w:val="0"/>
                <w:iCs w:val="0"/>
                <w:color w:val="auto"/>
                <w:sz w:val="20"/>
                <w:szCs w:val="20"/>
                <w:highlight w:val="none"/>
                <w:u w:val="none"/>
              </w:rPr>
            </w:pPr>
          </w:p>
        </w:tc>
        <w:tc>
          <w:tcPr>
            <w:tcW w:w="2943" w:type="dxa"/>
            <w:gridSpan w:val="2"/>
            <w:tcBorders>
              <w:top w:val="nil"/>
              <w:left w:val="nil"/>
              <w:bottom w:val="nil"/>
              <w:right w:val="nil"/>
            </w:tcBorders>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单位</w:t>
            </w:r>
            <w:r>
              <w:rPr>
                <w:rFonts w:hint="eastAsia" w:ascii="宋体" w:hAnsi="宋体" w:eastAsia="宋体" w:cs="宋体"/>
                <w:i w:val="0"/>
                <w:iCs w:val="0"/>
                <w:color w:val="auto"/>
                <w:kern w:val="0"/>
                <w:sz w:val="20"/>
                <w:szCs w:val="20"/>
                <w:highlight w:val="none"/>
                <w:u w:val="none"/>
                <w:lang w:val="en-US" w:eastAsia="zh-CN" w:bidi="ar"/>
              </w:rPr>
              <w:t>：许昌市招生考试中心</w:t>
            </w:r>
          </w:p>
        </w:tc>
        <w:tc>
          <w:tcPr>
            <w:tcW w:w="0" w:type="auto"/>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eastAsia="宋体" w:cs="Arial"/>
                <w:i w:val="0"/>
                <w:iCs w:val="0"/>
                <w:color w:val="auto"/>
                <w:sz w:val="20"/>
                <w:szCs w:val="20"/>
                <w:highlight w:val="none"/>
                <w:u w:val="none"/>
              </w:rPr>
            </w:pPr>
          </w:p>
        </w:tc>
        <w:tc>
          <w:tcPr>
            <w:tcW w:w="0" w:type="auto"/>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eastAsia="宋体" w:cs="Arial"/>
                <w:i w:val="0"/>
                <w:iCs w:val="0"/>
                <w:color w:val="auto"/>
                <w:sz w:val="20"/>
                <w:szCs w:val="20"/>
                <w:highlight w:val="none"/>
                <w:u w:val="none"/>
              </w:rPr>
            </w:pPr>
          </w:p>
        </w:tc>
        <w:tc>
          <w:tcPr>
            <w:tcW w:w="0" w:type="auto"/>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eastAsia="宋体" w:cs="Arial"/>
                <w:i w:val="0"/>
                <w:iCs w:val="0"/>
                <w:color w:val="auto"/>
                <w:sz w:val="20"/>
                <w:szCs w:val="20"/>
                <w:highlight w:val="none"/>
                <w:u w:val="none"/>
              </w:rPr>
            </w:pPr>
          </w:p>
        </w:tc>
        <w:tc>
          <w:tcPr>
            <w:tcW w:w="2943" w:type="dxa"/>
            <w:gridSpan w:val="2"/>
            <w:tcBorders>
              <w:top w:val="nil"/>
              <w:left w:val="nil"/>
              <w:bottom w:val="nil"/>
              <w:right w:val="nil"/>
            </w:tcBorders>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收入</w:t>
            </w:r>
          </w:p>
        </w:tc>
        <w:tc>
          <w:tcPr>
            <w:tcW w:w="7246" w:type="dxa"/>
            <w:gridSpan w:val="3"/>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金额</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行次</w:t>
            </w:r>
          </w:p>
        </w:tc>
        <w:tc>
          <w:tcPr>
            <w:tcW w:w="2140"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140"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一、一般公共预算财政拨款收入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513.95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一、一般公共服务支出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w:t>
            </w:r>
          </w:p>
        </w:tc>
        <w:tc>
          <w:tcPr>
            <w:tcW w:w="2140"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二、政府性基金预算财政拨款收入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二、外交支出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33</w:t>
            </w:r>
          </w:p>
        </w:tc>
        <w:tc>
          <w:tcPr>
            <w:tcW w:w="2140"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三、国有资本经营预算财政拨款收入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三、国防支出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w:t>
            </w:r>
          </w:p>
        </w:tc>
        <w:tc>
          <w:tcPr>
            <w:tcW w:w="2140"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四、上级补助收入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四、公共安全支出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w:t>
            </w:r>
          </w:p>
        </w:tc>
        <w:tc>
          <w:tcPr>
            <w:tcW w:w="2140"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五、事业收入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546.00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五、教育支出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36</w:t>
            </w:r>
          </w:p>
        </w:tc>
        <w:tc>
          <w:tcPr>
            <w:tcW w:w="2140"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1,261.36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六、经营收入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六、科学技术支出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w:t>
            </w:r>
          </w:p>
        </w:tc>
        <w:tc>
          <w:tcPr>
            <w:tcW w:w="2140"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七、附属单位上缴收入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七、文化旅游体育与传媒支出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38</w:t>
            </w:r>
          </w:p>
        </w:tc>
        <w:tc>
          <w:tcPr>
            <w:tcW w:w="2140"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八、其他收入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八、社会保障和就业支出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w:t>
            </w:r>
          </w:p>
        </w:tc>
        <w:tc>
          <w:tcPr>
            <w:tcW w:w="2140"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36.50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九、卫生健康支出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w:t>
            </w:r>
          </w:p>
        </w:tc>
        <w:tc>
          <w:tcPr>
            <w:tcW w:w="2140"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十、节能环保支出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41</w:t>
            </w:r>
          </w:p>
        </w:tc>
        <w:tc>
          <w:tcPr>
            <w:tcW w:w="2140"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十一、城乡社区支出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42</w:t>
            </w:r>
          </w:p>
        </w:tc>
        <w:tc>
          <w:tcPr>
            <w:tcW w:w="2140"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十二、农林水支出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43</w:t>
            </w:r>
          </w:p>
        </w:tc>
        <w:tc>
          <w:tcPr>
            <w:tcW w:w="2140"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十三、交通运输支出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44</w:t>
            </w:r>
          </w:p>
        </w:tc>
        <w:tc>
          <w:tcPr>
            <w:tcW w:w="2140"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十四、资源勘探工业信息等支出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w:t>
            </w:r>
          </w:p>
        </w:tc>
        <w:tc>
          <w:tcPr>
            <w:tcW w:w="2140"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十五、商业服务业等支出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46</w:t>
            </w:r>
          </w:p>
        </w:tc>
        <w:tc>
          <w:tcPr>
            <w:tcW w:w="2140"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十六、金融支出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47</w:t>
            </w:r>
          </w:p>
        </w:tc>
        <w:tc>
          <w:tcPr>
            <w:tcW w:w="2140"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十七、援助其他地区支出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48</w:t>
            </w:r>
          </w:p>
        </w:tc>
        <w:tc>
          <w:tcPr>
            <w:tcW w:w="2140"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十八、自然资源海洋气象等支出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49</w:t>
            </w:r>
          </w:p>
        </w:tc>
        <w:tc>
          <w:tcPr>
            <w:tcW w:w="2140"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十九、住房保障支出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w:t>
            </w:r>
          </w:p>
        </w:tc>
        <w:tc>
          <w:tcPr>
            <w:tcW w:w="2140"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二十、粮油物资储备支出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51</w:t>
            </w:r>
          </w:p>
        </w:tc>
        <w:tc>
          <w:tcPr>
            <w:tcW w:w="2140"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二十一、国有资本经营预算支出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52</w:t>
            </w:r>
          </w:p>
        </w:tc>
        <w:tc>
          <w:tcPr>
            <w:tcW w:w="2140"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二十二、灾害防治及应急管理支出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53</w:t>
            </w:r>
          </w:p>
        </w:tc>
        <w:tc>
          <w:tcPr>
            <w:tcW w:w="2140"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二十三、其他支出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54</w:t>
            </w:r>
          </w:p>
        </w:tc>
        <w:tc>
          <w:tcPr>
            <w:tcW w:w="2140"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24</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二十四、债务还本支出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55</w:t>
            </w:r>
          </w:p>
        </w:tc>
        <w:tc>
          <w:tcPr>
            <w:tcW w:w="2140"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25</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二十五、债务付息支出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56</w:t>
            </w:r>
          </w:p>
        </w:tc>
        <w:tc>
          <w:tcPr>
            <w:tcW w:w="2140"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26</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二十六、抗疫特别国债安排的支出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57</w:t>
            </w:r>
          </w:p>
        </w:tc>
        <w:tc>
          <w:tcPr>
            <w:tcW w:w="2140"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本年收入合计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1,059.95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本年支出合计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58</w:t>
            </w:r>
          </w:p>
        </w:tc>
        <w:tc>
          <w:tcPr>
            <w:tcW w:w="2140"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1,314.39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使用非财政拨款结余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结余分配</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59</w:t>
            </w:r>
          </w:p>
        </w:tc>
        <w:tc>
          <w:tcPr>
            <w:tcW w:w="2140"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年初结转和结余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278.86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年末结转和结余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w:t>
            </w:r>
          </w:p>
        </w:tc>
        <w:tc>
          <w:tcPr>
            <w:tcW w:w="2140"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61</w:t>
            </w:r>
          </w:p>
        </w:tc>
        <w:tc>
          <w:tcPr>
            <w:tcW w:w="2140"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总计</w:t>
            </w:r>
          </w:p>
        </w:tc>
        <w:tc>
          <w:tcPr>
            <w:tcW w:w="0" w:type="auto"/>
            <w:tcBorders>
              <w:top w:val="nil"/>
              <w:left w:val="nil"/>
              <w:bottom w:val="single" w:color="000000" w:sz="8"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1,338.81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总计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62</w:t>
            </w:r>
          </w:p>
        </w:tc>
        <w:tc>
          <w:tcPr>
            <w:tcW w:w="2140"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1,338.81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963" w:type="dxa"/>
            <w:gridSpan w:val="6"/>
            <w:tcBorders>
              <w:top w:val="nil"/>
              <w:left w:val="nil"/>
              <w:bottom w:val="nil"/>
              <w:right w:val="nil"/>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注：本表反映</w:t>
            </w:r>
            <w:r>
              <w:rPr>
                <w:rFonts w:hint="eastAsia" w:ascii="宋体" w:hAnsi="宋体" w:cs="宋体"/>
                <w:i w:val="0"/>
                <w:iCs w:val="0"/>
                <w:color w:val="auto"/>
                <w:kern w:val="0"/>
                <w:sz w:val="22"/>
                <w:szCs w:val="22"/>
                <w:highlight w:val="none"/>
                <w:u w:val="none"/>
                <w:lang w:val="en-US" w:eastAsia="zh-CN" w:bidi="ar"/>
              </w:rPr>
              <w:t>单位</w:t>
            </w:r>
            <w:r>
              <w:rPr>
                <w:rFonts w:hint="eastAsia" w:ascii="宋体" w:hAnsi="宋体" w:eastAsia="宋体" w:cs="宋体"/>
                <w:i w:val="0"/>
                <w:iCs w:val="0"/>
                <w:color w:val="auto"/>
                <w:kern w:val="0"/>
                <w:sz w:val="22"/>
                <w:szCs w:val="22"/>
                <w:highlight w:val="none"/>
                <w:u w:val="none"/>
                <w:lang w:val="en-US" w:eastAsia="zh-CN" w:bidi="ar"/>
              </w:rPr>
              <w:t>本年度的总收支和年末结转结余情况。本表金额转换为万元时，因四舍五入可能存在尾差。</w:t>
            </w:r>
          </w:p>
        </w:tc>
      </w:tr>
    </w:tbl>
    <w:p>
      <w:pPr>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4188"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26"/>
        <w:gridCol w:w="227"/>
        <w:gridCol w:w="771"/>
        <w:gridCol w:w="5414"/>
        <w:gridCol w:w="1325"/>
        <w:gridCol w:w="1225"/>
        <w:gridCol w:w="1175"/>
        <w:gridCol w:w="1012"/>
        <w:gridCol w:w="1000"/>
        <w:gridCol w:w="1103"/>
        <w:gridCol w:w="7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188" w:type="dxa"/>
            <w:gridSpan w:val="11"/>
            <w:tcBorders>
              <w:top w:val="nil"/>
              <w:left w:val="nil"/>
              <w:bottom w:val="nil"/>
              <w:right w:val="nil"/>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26" w:type="dxa"/>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eastAsia" w:ascii="Arial" w:hAnsi="Arial" w:eastAsia="宋体" w:cs="Arial"/>
                <w:i w:val="0"/>
                <w:iCs w:val="0"/>
                <w:color w:val="auto"/>
                <w:sz w:val="20"/>
                <w:szCs w:val="20"/>
                <w:highlight w:val="none"/>
                <w:u w:val="none"/>
              </w:rPr>
            </w:pPr>
          </w:p>
        </w:tc>
        <w:tc>
          <w:tcPr>
            <w:tcW w:w="227" w:type="dxa"/>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eastAsia="宋体" w:cs="Arial"/>
                <w:i w:val="0"/>
                <w:iCs w:val="0"/>
                <w:color w:val="auto"/>
                <w:sz w:val="20"/>
                <w:szCs w:val="20"/>
                <w:highlight w:val="none"/>
                <w:u w:val="none"/>
              </w:rPr>
            </w:pPr>
          </w:p>
        </w:tc>
        <w:tc>
          <w:tcPr>
            <w:tcW w:w="771" w:type="dxa"/>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eastAsia="宋体" w:cs="Arial"/>
                <w:i w:val="0"/>
                <w:iCs w:val="0"/>
                <w:color w:val="auto"/>
                <w:sz w:val="20"/>
                <w:szCs w:val="20"/>
                <w:highlight w:val="none"/>
                <w:u w:val="none"/>
              </w:rPr>
            </w:pPr>
          </w:p>
        </w:tc>
        <w:tc>
          <w:tcPr>
            <w:tcW w:w="5414" w:type="dxa"/>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eastAsia="宋体" w:cs="Arial"/>
                <w:i w:val="0"/>
                <w:iCs w:val="0"/>
                <w:color w:val="auto"/>
                <w:sz w:val="20"/>
                <w:szCs w:val="20"/>
                <w:highlight w:val="none"/>
                <w:u w:val="none"/>
              </w:rPr>
            </w:pPr>
          </w:p>
        </w:tc>
        <w:tc>
          <w:tcPr>
            <w:tcW w:w="1325" w:type="dxa"/>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eastAsia="宋体" w:cs="Arial"/>
                <w:i w:val="0"/>
                <w:iCs w:val="0"/>
                <w:color w:val="auto"/>
                <w:sz w:val="20"/>
                <w:szCs w:val="20"/>
                <w:highlight w:val="none"/>
                <w:u w:val="none"/>
              </w:rPr>
            </w:pPr>
          </w:p>
        </w:tc>
        <w:tc>
          <w:tcPr>
            <w:tcW w:w="1225" w:type="dxa"/>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eastAsia="宋体" w:cs="Arial"/>
                <w:i w:val="0"/>
                <w:iCs w:val="0"/>
                <w:color w:val="auto"/>
                <w:sz w:val="20"/>
                <w:szCs w:val="20"/>
                <w:highlight w:val="none"/>
                <w:u w:val="none"/>
              </w:rPr>
            </w:pPr>
          </w:p>
        </w:tc>
        <w:tc>
          <w:tcPr>
            <w:tcW w:w="1175" w:type="dxa"/>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eastAsia="宋体" w:cs="Arial"/>
                <w:i w:val="0"/>
                <w:iCs w:val="0"/>
                <w:color w:val="auto"/>
                <w:sz w:val="20"/>
                <w:szCs w:val="20"/>
                <w:highlight w:val="none"/>
                <w:u w:val="none"/>
              </w:rPr>
            </w:pPr>
          </w:p>
        </w:tc>
        <w:tc>
          <w:tcPr>
            <w:tcW w:w="1012" w:type="dxa"/>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eastAsia="宋体" w:cs="Arial"/>
                <w:i w:val="0"/>
                <w:iCs w:val="0"/>
                <w:color w:val="auto"/>
                <w:sz w:val="20"/>
                <w:szCs w:val="20"/>
                <w:highlight w:val="none"/>
                <w:u w:val="none"/>
              </w:rPr>
            </w:pPr>
          </w:p>
        </w:tc>
        <w:tc>
          <w:tcPr>
            <w:tcW w:w="2813" w:type="dxa"/>
            <w:gridSpan w:val="3"/>
            <w:tcBorders>
              <w:top w:val="nil"/>
              <w:left w:val="nil"/>
              <w:bottom w:val="nil"/>
              <w:right w:val="nil"/>
            </w:tcBorders>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963" w:type="dxa"/>
            <w:gridSpan w:val="5"/>
            <w:tcBorders>
              <w:top w:val="nil"/>
              <w:left w:val="nil"/>
              <w:bottom w:val="nil"/>
              <w:right w:val="nil"/>
            </w:tcBorders>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单位</w:t>
            </w:r>
            <w:r>
              <w:rPr>
                <w:rFonts w:hint="eastAsia" w:ascii="宋体" w:hAnsi="宋体" w:eastAsia="宋体" w:cs="宋体"/>
                <w:i w:val="0"/>
                <w:iCs w:val="0"/>
                <w:color w:val="auto"/>
                <w:kern w:val="0"/>
                <w:sz w:val="20"/>
                <w:szCs w:val="20"/>
                <w:highlight w:val="none"/>
                <w:u w:val="none"/>
                <w:lang w:val="en-US" w:eastAsia="zh-CN" w:bidi="ar"/>
              </w:rPr>
              <w:t>：许昌市招生考试中心</w:t>
            </w:r>
          </w:p>
        </w:tc>
        <w:tc>
          <w:tcPr>
            <w:tcW w:w="1225" w:type="dxa"/>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eastAsia="宋体" w:cs="Arial"/>
                <w:i w:val="0"/>
                <w:iCs w:val="0"/>
                <w:color w:val="auto"/>
                <w:sz w:val="20"/>
                <w:szCs w:val="20"/>
                <w:highlight w:val="none"/>
                <w:u w:val="none"/>
              </w:rPr>
            </w:pPr>
          </w:p>
        </w:tc>
        <w:tc>
          <w:tcPr>
            <w:tcW w:w="1175" w:type="dxa"/>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eastAsia="宋体" w:cs="Arial"/>
                <w:i w:val="0"/>
                <w:iCs w:val="0"/>
                <w:color w:val="auto"/>
                <w:sz w:val="20"/>
                <w:szCs w:val="20"/>
                <w:highlight w:val="none"/>
                <w:u w:val="none"/>
              </w:rPr>
            </w:pPr>
          </w:p>
        </w:tc>
        <w:tc>
          <w:tcPr>
            <w:tcW w:w="1012" w:type="dxa"/>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eastAsia="宋体" w:cs="Arial"/>
                <w:i w:val="0"/>
                <w:iCs w:val="0"/>
                <w:color w:val="auto"/>
                <w:sz w:val="20"/>
                <w:szCs w:val="20"/>
                <w:highlight w:val="none"/>
                <w:u w:val="none"/>
              </w:rPr>
            </w:pPr>
          </w:p>
        </w:tc>
        <w:tc>
          <w:tcPr>
            <w:tcW w:w="2813" w:type="dxa"/>
            <w:gridSpan w:val="3"/>
            <w:tcBorders>
              <w:top w:val="nil"/>
              <w:left w:val="nil"/>
              <w:bottom w:val="nil"/>
              <w:right w:val="nil"/>
            </w:tcBorders>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exact"/>
        </w:trPr>
        <w:tc>
          <w:tcPr>
            <w:tcW w:w="6638"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132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本年收入合计</w:t>
            </w:r>
          </w:p>
        </w:tc>
        <w:tc>
          <w:tcPr>
            <w:tcW w:w="122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财政拨款收入</w:t>
            </w:r>
          </w:p>
        </w:tc>
        <w:tc>
          <w:tcPr>
            <w:tcW w:w="117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上级补助收入</w:t>
            </w:r>
          </w:p>
        </w:tc>
        <w:tc>
          <w:tcPr>
            <w:tcW w:w="1012"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事业收入</w:t>
            </w:r>
          </w:p>
        </w:tc>
        <w:tc>
          <w:tcPr>
            <w:tcW w:w="100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经营收入</w:t>
            </w:r>
          </w:p>
        </w:tc>
        <w:tc>
          <w:tcPr>
            <w:tcW w:w="1103"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附属单位上缴收入</w:t>
            </w:r>
          </w:p>
        </w:tc>
        <w:tc>
          <w:tcPr>
            <w:tcW w:w="71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24"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功能分类科目编码</w:t>
            </w:r>
          </w:p>
        </w:tc>
        <w:tc>
          <w:tcPr>
            <w:tcW w:w="5414"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科目名称</w:t>
            </w:r>
          </w:p>
        </w:tc>
        <w:tc>
          <w:tcPr>
            <w:tcW w:w="1325" w:type="dxa"/>
            <w:vMerge w:val="continue"/>
            <w:tcBorders>
              <w:top w:val="single" w:color="000000" w:sz="4" w:space="0"/>
              <w:left w:val="nil"/>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225" w:type="dxa"/>
            <w:vMerge w:val="continue"/>
            <w:tcBorders>
              <w:top w:val="single" w:color="000000" w:sz="4" w:space="0"/>
              <w:left w:val="nil"/>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175" w:type="dxa"/>
            <w:vMerge w:val="continue"/>
            <w:tcBorders>
              <w:top w:val="single" w:color="000000" w:sz="4" w:space="0"/>
              <w:left w:val="nil"/>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012" w:type="dxa"/>
            <w:vMerge w:val="continue"/>
            <w:tcBorders>
              <w:top w:val="single" w:color="000000" w:sz="4" w:space="0"/>
              <w:left w:val="nil"/>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000" w:type="dxa"/>
            <w:vMerge w:val="continue"/>
            <w:tcBorders>
              <w:top w:val="single" w:color="000000" w:sz="4" w:space="0"/>
              <w:left w:val="nil"/>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103" w:type="dxa"/>
            <w:vMerge w:val="continue"/>
            <w:tcBorders>
              <w:top w:val="single" w:color="000000" w:sz="4" w:space="0"/>
              <w:left w:val="nil"/>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710" w:type="dxa"/>
            <w:vMerge w:val="continue"/>
            <w:tcBorders>
              <w:top w:val="single" w:color="000000" w:sz="4" w:space="0"/>
              <w:left w:val="nil"/>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24" w:type="dxa"/>
            <w:gridSpan w:val="3"/>
            <w:vMerge w:val="continue"/>
            <w:tcBorders>
              <w:top w:val="nil"/>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5414" w:type="dxa"/>
            <w:vMerge w:val="continue"/>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325" w:type="dxa"/>
            <w:vMerge w:val="continue"/>
            <w:tcBorders>
              <w:top w:val="single" w:color="000000" w:sz="4" w:space="0"/>
              <w:left w:val="nil"/>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225" w:type="dxa"/>
            <w:vMerge w:val="continue"/>
            <w:tcBorders>
              <w:top w:val="single" w:color="000000" w:sz="4" w:space="0"/>
              <w:left w:val="nil"/>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175" w:type="dxa"/>
            <w:vMerge w:val="continue"/>
            <w:tcBorders>
              <w:top w:val="single" w:color="000000" w:sz="4" w:space="0"/>
              <w:left w:val="nil"/>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012" w:type="dxa"/>
            <w:vMerge w:val="continue"/>
            <w:tcBorders>
              <w:top w:val="single" w:color="000000" w:sz="4" w:space="0"/>
              <w:left w:val="nil"/>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000" w:type="dxa"/>
            <w:vMerge w:val="continue"/>
            <w:tcBorders>
              <w:top w:val="single" w:color="000000" w:sz="4" w:space="0"/>
              <w:left w:val="nil"/>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103" w:type="dxa"/>
            <w:vMerge w:val="continue"/>
            <w:tcBorders>
              <w:top w:val="single" w:color="000000" w:sz="4" w:space="0"/>
              <w:left w:val="nil"/>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710" w:type="dxa"/>
            <w:vMerge w:val="continue"/>
            <w:tcBorders>
              <w:top w:val="single" w:color="000000" w:sz="4" w:space="0"/>
              <w:left w:val="nil"/>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224" w:type="dxa"/>
            <w:gridSpan w:val="3"/>
            <w:vMerge w:val="continue"/>
            <w:tcBorders>
              <w:top w:val="nil"/>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5414" w:type="dxa"/>
            <w:vMerge w:val="continue"/>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325" w:type="dxa"/>
            <w:vMerge w:val="continue"/>
            <w:tcBorders>
              <w:top w:val="single" w:color="000000" w:sz="4" w:space="0"/>
              <w:left w:val="nil"/>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225" w:type="dxa"/>
            <w:vMerge w:val="continue"/>
            <w:tcBorders>
              <w:top w:val="single" w:color="000000" w:sz="4" w:space="0"/>
              <w:left w:val="nil"/>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175" w:type="dxa"/>
            <w:vMerge w:val="continue"/>
            <w:tcBorders>
              <w:top w:val="single" w:color="000000" w:sz="4" w:space="0"/>
              <w:left w:val="nil"/>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012" w:type="dxa"/>
            <w:vMerge w:val="continue"/>
            <w:tcBorders>
              <w:top w:val="single" w:color="000000" w:sz="4" w:space="0"/>
              <w:left w:val="nil"/>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000" w:type="dxa"/>
            <w:vMerge w:val="continue"/>
            <w:tcBorders>
              <w:top w:val="single" w:color="000000" w:sz="4" w:space="0"/>
              <w:left w:val="nil"/>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103" w:type="dxa"/>
            <w:vMerge w:val="continue"/>
            <w:tcBorders>
              <w:top w:val="single" w:color="000000" w:sz="4" w:space="0"/>
              <w:left w:val="nil"/>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710" w:type="dxa"/>
            <w:vMerge w:val="continue"/>
            <w:tcBorders>
              <w:top w:val="single" w:color="000000" w:sz="4" w:space="0"/>
              <w:left w:val="nil"/>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638"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栏次</w:t>
            </w:r>
          </w:p>
        </w:tc>
        <w:tc>
          <w:tcPr>
            <w:tcW w:w="1325"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225"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175"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012"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000"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1103"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710"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638"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合计</w:t>
            </w:r>
          </w:p>
        </w:tc>
        <w:tc>
          <w:tcPr>
            <w:tcW w:w="1325"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1,059.95</w:t>
            </w:r>
          </w:p>
        </w:tc>
        <w:tc>
          <w:tcPr>
            <w:tcW w:w="1225"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513.95</w:t>
            </w:r>
          </w:p>
        </w:tc>
        <w:tc>
          <w:tcPr>
            <w:tcW w:w="1175"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auto"/>
                <w:sz w:val="22"/>
                <w:szCs w:val="22"/>
                <w:highlight w:val="none"/>
                <w:u w:val="none"/>
              </w:rPr>
            </w:pPr>
          </w:p>
        </w:tc>
        <w:tc>
          <w:tcPr>
            <w:tcW w:w="1012"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546.00</w:t>
            </w:r>
          </w:p>
        </w:tc>
        <w:tc>
          <w:tcPr>
            <w:tcW w:w="1000"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auto"/>
                <w:sz w:val="22"/>
                <w:szCs w:val="22"/>
                <w:highlight w:val="none"/>
                <w:u w:val="none"/>
              </w:rPr>
            </w:pPr>
          </w:p>
        </w:tc>
        <w:tc>
          <w:tcPr>
            <w:tcW w:w="1103"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auto"/>
                <w:sz w:val="22"/>
                <w:szCs w:val="22"/>
                <w:highlight w:val="none"/>
                <w:u w:val="none"/>
              </w:rPr>
            </w:pPr>
          </w:p>
        </w:tc>
        <w:tc>
          <w:tcPr>
            <w:tcW w:w="710"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24"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w:t>
            </w:r>
          </w:p>
        </w:tc>
        <w:tc>
          <w:tcPr>
            <w:tcW w:w="5414"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一般公共服务支出</w:t>
            </w:r>
          </w:p>
        </w:tc>
        <w:tc>
          <w:tcPr>
            <w:tcW w:w="1325"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1.36</w:t>
            </w:r>
          </w:p>
        </w:tc>
        <w:tc>
          <w:tcPr>
            <w:tcW w:w="1225"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1.36</w:t>
            </w:r>
          </w:p>
        </w:tc>
        <w:tc>
          <w:tcPr>
            <w:tcW w:w="1175"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1012"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1000"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1103"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710"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24"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20129</w:t>
            </w:r>
          </w:p>
        </w:tc>
        <w:tc>
          <w:tcPr>
            <w:tcW w:w="5414"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群众团体事务</w:t>
            </w:r>
          </w:p>
        </w:tc>
        <w:tc>
          <w:tcPr>
            <w:tcW w:w="1325"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1.36</w:t>
            </w:r>
          </w:p>
        </w:tc>
        <w:tc>
          <w:tcPr>
            <w:tcW w:w="1225"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1.36</w:t>
            </w:r>
          </w:p>
        </w:tc>
        <w:tc>
          <w:tcPr>
            <w:tcW w:w="1175"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1012"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1000"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1103"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710"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24"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2012906</w:t>
            </w:r>
          </w:p>
        </w:tc>
        <w:tc>
          <w:tcPr>
            <w:tcW w:w="5414"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工会事务</w:t>
            </w:r>
          </w:p>
        </w:tc>
        <w:tc>
          <w:tcPr>
            <w:tcW w:w="1325"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1.36</w:t>
            </w:r>
          </w:p>
        </w:tc>
        <w:tc>
          <w:tcPr>
            <w:tcW w:w="1225"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1.36</w:t>
            </w:r>
          </w:p>
        </w:tc>
        <w:tc>
          <w:tcPr>
            <w:tcW w:w="1175"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1012"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1000"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1103"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710"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24"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205</w:t>
            </w:r>
          </w:p>
        </w:tc>
        <w:tc>
          <w:tcPr>
            <w:tcW w:w="5414"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教育支出</w:t>
            </w:r>
          </w:p>
        </w:tc>
        <w:tc>
          <w:tcPr>
            <w:tcW w:w="1325"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1,013.79</w:t>
            </w:r>
          </w:p>
        </w:tc>
        <w:tc>
          <w:tcPr>
            <w:tcW w:w="1225"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467.79</w:t>
            </w:r>
          </w:p>
        </w:tc>
        <w:tc>
          <w:tcPr>
            <w:tcW w:w="1175"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1012"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546.00</w:t>
            </w:r>
          </w:p>
        </w:tc>
        <w:tc>
          <w:tcPr>
            <w:tcW w:w="1000"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1103"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710"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24"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20501</w:t>
            </w:r>
          </w:p>
        </w:tc>
        <w:tc>
          <w:tcPr>
            <w:tcW w:w="5414"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教育管理事务</w:t>
            </w:r>
          </w:p>
        </w:tc>
        <w:tc>
          <w:tcPr>
            <w:tcW w:w="1325"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1,013.79</w:t>
            </w:r>
          </w:p>
        </w:tc>
        <w:tc>
          <w:tcPr>
            <w:tcW w:w="1225"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467.79</w:t>
            </w:r>
          </w:p>
        </w:tc>
        <w:tc>
          <w:tcPr>
            <w:tcW w:w="1175"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1012"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546.00</w:t>
            </w:r>
          </w:p>
        </w:tc>
        <w:tc>
          <w:tcPr>
            <w:tcW w:w="1000"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1103"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710"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24"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2050101</w:t>
            </w:r>
          </w:p>
        </w:tc>
        <w:tc>
          <w:tcPr>
            <w:tcW w:w="5414"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行政运行</w:t>
            </w:r>
          </w:p>
        </w:tc>
        <w:tc>
          <w:tcPr>
            <w:tcW w:w="1325"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578.54</w:t>
            </w:r>
          </w:p>
        </w:tc>
        <w:tc>
          <w:tcPr>
            <w:tcW w:w="1225"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232.54</w:t>
            </w:r>
          </w:p>
        </w:tc>
        <w:tc>
          <w:tcPr>
            <w:tcW w:w="1175"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1012"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346.00</w:t>
            </w:r>
          </w:p>
        </w:tc>
        <w:tc>
          <w:tcPr>
            <w:tcW w:w="1000"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1103"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710"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24"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2050102</w:t>
            </w:r>
          </w:p>
        </w:tc>
        <w:tc>
          <w:tcPr>
            <w:tcW w:w="5414"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一般行政管理事务</w:t>
            </w:r>
          </w:p>
        </w:tc>
        <w:tc>
          <w:tcPr>
            <w:tcW w:w="1325"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435.25</w:t>
            </w:r>
          </w:p>
        </w:tc>
        <w:tc>
          <w:tcPr>
            <w:tcW w:w="1225"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235.25</w:t>
            </w:r>
          </w:p>
        </w:tc>
        <w:tc>
          <w:tcPr>
            <w:tcW w:w="1175"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1012"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200.00</w:t>
            </w:r>
          </w:p>
        </w:tc>
        <w:tc>
          <w:tcPr>
            <w:tcW w:w="1000"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1103"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710"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24"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w:t>
            </w:r>
          </w:p>
        </w:tc>
        <w:tc>
          <w:tcPr>
            <w:tcW w:w="5414"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社会保障和就业支出</w:t>
            </w:r>
          </w:p>
        </w:tc>
        <w:tc>
          <w:tcPr>
            <w:tcW w:w="1325"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32.64</w:t>
            </w:r>
          </w:p>
        </w:tc>
        <w:tc>
          <w:tcPr>
            <w:tcW w:w="1225"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32.64</w:t>
            </w:r>
          </w:p>
        </w:tc>
        <w:tc>
          <w:tcPr>
            <w:tcW w:w="1175"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1012"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1000"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1103"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710"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24"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w:t>
            </w:r>
          </w:p>
        </w:tc>
        <w:tc>
          <w:tcPr>
            <w:tcW w:w="5414"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行政事业单位养老支出</w:t>
            </w:r>
          </w:p>
        </w:tc>
        <w:tc>
          <w:tcPr>
            <w:tcW w:w="1325"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32.64</w:t>
            </w:r>
          </w:p>
        </w:tc>
        <w:tc>
          <w:tcPr>
            <w:tcW w:w="1225"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32.64</w:t>
            </w:r>
          </w:p>
        </w:tc>
        <w:tc>
          <w:tcPr>
            <w:tcW w:w="1175"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1012"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1000"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1103"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710"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24"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2080501</w:t>
            </w:r>
          </w:p>
        </w:tc>
        <w:tc>
          <w:tcPr>
            <w:tcW w:w="5414"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行政单位离退休</w:t>
            </w:r>
          </w:p>
        </w:tc>
        <w:tc>
          <w:tcPr>
            <w:tcW w:w="1325"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17.49</w:t>
            </w:r>
          </w:p>
        </w:tc>
        <w:tc>
          <w:tcPr>
            <w:tcW w:w="1225"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17.49</w:t>
            </w:r>
          </w:p>
        </w:tc>
        <w:tc>
          <w:tcPr>
            <w:tcW w:w="1175"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1012"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1000"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1103"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710"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24"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2080505</w:t>
            </w:r>
          </w:p>
        </w:tc>
        <w:tc>
          <w:tcPr>
            <w:tcW w:w="5414"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机关事业单位基本养老保险缴费支出</w:t>
            </w:r>
          </w:p>
        </w:tc>
        <w:tc>
          <w:tcPr>
            <w:tcW w:w="1325"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15.15</w:t>
            </w:r>
          </w:p>
        </w:tc>
        <w:tc>
          <w:tcPr>
            <w:tcW w:w="1225"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15.15</w:t>
            </w:r>
          </w:p>
        </w:tc>
        <w:tc>
          <w:tcPr>
            <w:tcW w:w="1175"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1012"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1000"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1103"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710"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24"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w:t>
            </w:r>
          </w:p>
        </w:tc>
        <w:tc>
          <w:tcPr>
            <w:tcW w:w="5414"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卫生健康支出</w:t>
            </w:r>
          </w:p>
        </w:tc>
        <w:tc>
          <w:tcPr>
            <w:tcW w:w="1325"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12.16</w:t>
            </w:r>
          </w:p>
        </w:tc>
        <w:tc>
          <w:tcPr>
            <w:tcW w:w="1225"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12.16</w:t>
            </w:r>
          </w:p>
        </w:tc>
        <w:tc>
          <w:tcPr>
            <w:tcW w:w="1175"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1012"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1000"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1103"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710"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24"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21011</w:t>
            </w:r>
          </w:p>
        </w:tc>
        <w:tc>
          <w:tcPr>
            <w:tcW w:w="5414"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行政事业单位医疗</w:t>
            </w:r>
          </w:p>
        </w:tc>
        <w:tc>
          <w:tcPr>
            <w:tcW w:w="1325"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12.16</w:t>
            </w:r>
          </w:p>
        </w:tc>
        <w:tc>
          <w:tcPr>
            <w:tcW w:w="1225"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12.16</w:t>
            </w:r>
          </w:p>
        </w:tc>
        <w:tc>
          <w:tcPr>
            <w:tcW w:w="1175"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1012"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1000"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1103"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710"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24"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2101101</w:t>
            </w:r>
          </w:p>
        </w:tc>
        <w:tc>
          <w:tcPr>
            <w:tcW w:w="5414"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行政单位医疗</w:t>
            </w:r>
          </w:p>
        </w:tc>
        <w:tc>
          <w:tcPr>
            <w:tcW w:w="1325"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6.51</w:t>
            </w:r>
          </w:p>
        </w:tc>
        <w:tc>
          <w:tcPr>
            <w:tcW w:w="1225"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6.51</w:t>
            </w:r>
          </w:p>
        </w:tc>
        <w:tc>
          <w:tcPr>
            <w:tcW w:w="1175"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1012"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1000"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1103"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710"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24"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2101103</w:t>
            </w:r>
          </w:p>
        </w:tc>
        <w:tc>
          <w:tcPr>
            <w:tcW w:w="5414"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公务员医疗补助</w:t>
            </w:r>
          </w:p>
        </w:tc>
        <w:tc>
          <w:tcPr>
            <w:tcW w:w="1325"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5.64</w:t>
            </w:r>
          </w:p>
        </w:tc>
        <w:tc>
          <w:tcPr>
            <w:tcW w:w="1225"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5.64</w:t>
            </w:r>
          </w:p>
        </w:tc>
        <w:tc>
          <w:tcPr>
            <w:tcW w:w="1175"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1012"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1000"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1103"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710"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188" w:type="dxa"/>
            <w:gridSpan w:val="11"/>
            <w:tcBorders>
              <w:top w:val="nil"/>
              <w:left w:val="nil"/>
              <w:bottom w:val="nil"/>
              <w:right w:val="nil"/>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注：本表反映</w:t>
            </w:r>
            <w:r>
              <w:rPr>
                <w:rFonts w:hint="eastAsia" w:ascii="宋体" w:hAnsi="宋体" w:cs="宋体"/>
                <w:i w:val="0"/>
                <w:iCs w:val="0"/>
                <w:color w:val="auto"/>
                <w:kern w:val="0"/>
                <w:sz w:val="22"/>
                <w:szCs w:val="22"/>
                <w:highlight w:val="none"/>
                <w:u w:val="none"/>
                <w:lang w:val="en-US" w:eastAsia="zh-CN" w:bidi="ar"/>
              </w:rPr>
              <w:t>单位</w:t>
            </w:r>
            <w:r>
              <w:rPr>
                <w:rFonts w:hint="eastAsia" w:ascii="宋体" w:hAnsi="宋体" w:eastAsia="宋体" w:cs="宋体"/>
                <w:i w:val="0"/>
                <w:iCs w:val="0"/>
                <w:color w:val="auto"/>
                <w:kern w:val="0"/>
                <w:sz w:val="22"/>
                <w:szCs w:val="22"/>
                <w:highlight w:val="none"/>
                <w:u w:val="none"/>
                <w:lang w:val="en-US" w:eastAsia="zh-CN" w:bidi="ar"/>
              </w:rPr>
              <w:t>本年度取得的各项收入情况。本表金额转换为万元时，因四舍五入可能存在尾差。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93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1"/>
        <w:gridCol w:w="231"/>
        <w:gridCol w:w="751"/>
        <w:gridCol w:w="5149"/>
        <w:gridCol w:w="1401"/>
        <w:gridCol w:w="1037"/>
        <w:gridCol w:w="1088"/>
        <w:gridCol w:w="1306"/>
        <w:gridCol w:w="1101"/>
        <w:gridCol w:w="16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938" w:type="dxa"/>
            <w:gridSpan w:val="10"/>
            <w:tcBorders>
              <w:top w:val="nil"/>
              <w:left w:val="nil"/>
              <w:bottom w:val="nil"/>
              <w:right w:val="nil"/>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31" w:type="dxa"/>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eastAsia" w:ascii="Arial" w:hAnsi="Arial" w:eastAsia="宋体" w:cs="Arial"/>
                <w:i w:val="0"/>
                <w:iCs w:val="0"/>
                <w:color w:val="auto"/>
                <w:sz w:val="20"/>
                <w:szCs w:val="20"/>
                <w:highlight w:val="none"/>
                <w:u w:val="none"/>
              </w:rPr>
            </w:pPr>
          </w:p>
        </w:tc>
        <w:tc>
          <w:tcPr>
            <w:tcW w:w="231" w:type="dxa"/>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eastAsia="宋体" w:cs="Arial"/>
                <w:i w:val="0"/>
                <w:iCs w:val="0"/>
                <w:color w:val="auto"/>
                <w:sz w:val="20"/>
                <w:szCs w:val="20"/>
                <w:highlight w:val="none"/>
                <w:u w:val="none"/>
              </w:rPr>
            </w:pPr>
          </w:p>
        </w:tc>
        <w:tc>
          <w:tcPr>
            <w:tcW w:w="751" w:type="dxa"/>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eastAsia="宋体" w:cs="Arial"/>
                <w:i w:val="0"/>
                <w:iCs w:val="0"/>
                <w:color w:val="auto"/>
                <w:sz w:val="20"/>
                <w:szCs w:val="20"/>
                <w:highlight w:val="none"/>
                <w:u w:val="none"/>
              </w:rPr>
            </w:pPr>
          </w:p>
        </w:tc>
        <w:tc>
          <w:tcPr>
            <w:tcW w:w="5149" w:type="dxa"/>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eastAsia="宋体" w:cs="Arial"/>
                <w:i w:val="0"/>
                <w:iCs w:val="0"/>
                <w:color w:val="auto"/>
                <w:sz w:val="20"/>
                <w:szCs w:val="20"/>
                <w:highlight w:val="none"/>
                <w:u w:val="none"/>
              </w:rPr>
            </w:pPr>
          </w:p>
        </w:tc>
        <w:tc>
          <w:tcPr>
            <w:tcW w:w="1401" w:type="dxa"/>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eastAsia="宋体" w:cs="Arial"/>
                <w:i w:val="0"/>
                <w:iCs w:val="0"/>
                <w:color w:val="auto"/>
                <w:sz w:val="20"/>
                <w:szCs w:val="20"/>
                <w:highlight w:val="none"/>
                <w:u w:val="none"/>
              </w:rPr>
            </w:pPr>
          </w:p>
        </w:tc>
        <w:tc>
          <w:tcPr>
            <w:tcW w:w="1037" w:type="dxa"/>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eastAsia="宋体" w:cs="Arial"/>
                <w:i w:val="0"/>
                <w:iCs w:val="0"/>
                <w:color w:val="auto"/>
                <w:sz w:val="20"/>
                <w:szCs w:val="20"/>
                <w:highlight w:val="none"/>
                <w:u w:val="none"/>
              </w:rPr>
            </w:pPr>
          </w:p>
        </w:tc>
        <w:tc>
          <w:tcPr>
            <w:tcW w:w="1088" w:type="dxa"/>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eastAsia="宋体" w:cs="Arial"/>
                <w:i w:val="0"/>
                <w:iCs w:val="0"/>
                <w:color w:val="auto"/>
                <w:sz w:val="20"/>
                <w:szCs w:val="20"/>
                <w:highlight w:val="none"/>
                <w:u w:val="none"/>
              </w:rPr>
            </w:pPr>
          </w:p>
        </w:tc>
        <w:tc>
          <w:tcPr>
            <w:tcW w:w="4050" w:type="dxa"/>
            <w:gridSpan w:val="3"/>
            <w:tcBorders>
              <w:top w:val="nil"/>
              <w:left w:val="nil"/>
              <w:bottom w:val="nil"/>
              <w:right w:val="nil"/>
            </w:tcBorders>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763" w:type="dxa"/>
            <w:gridSpan w:val="5"/>
            <w:tcBorders>
              <w:top w:val="nil"/>
              <w:left w:val="nil"/>
              <w:bottom w:val="nil"/>
              <w:right w:val="nil"/>
            </w:tcBorders>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单位</w:t>
            </w:r>
            <w:r>
              <w:rPr>
                <w:rFonts w:hint="eastAsia" w:ascii="宋体" w:hAnsi="宋体" w:eastAsia="宋体" w:cs="宋体"/>
                <w:i w:val="0"/>
                <w:iCs w:val="0"/>
                <w:color w:val="auto"/>
                <w:kern w:val="0"/>
                <w:sz w:val="20"/>
                <w:szCs w:val="20"/>
                <w:highlight w:val="none"/>
                <w:u w:val="none"/>
                <w:lang w:val="en-US" w:eastAsia="zh-CN" w:bidi="ar"/>
              </w:rPr>
              <w:t>：许昌市招生考试中心</w:t>
            </w:r>
          </w:p>
        </w:tc>
        <w:tc>
          <w:tcPr>
            <w:tcW w:w="1037" w:type="dxa"/>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eastAsia="宋体" w:cs="Arial"/>
                <w:i w:val="0"/>
                <w:iCs w:val="0"/>
                <w:color w:val="auto"/>
                <w:sz w:val="20"/>
                <w:szCs w:val="20"/>
                <w:highlight w:val="none"/>
                <w:u w:val="none"/>
              </w:rPr>
            </w:pPr>
          </w:p>
        </w:tc>
        <w:tc>
          <w:tcPr>
            <w:tcW w:w="1088" w:type="dxa"/>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eastAsia="宋体" w:cs="Arial"/>
                <w:i w:val="0"/>
                <w:iCs w:val="0"/>
                <w:color w:val="auto"/>
                <w:sz w:val="20"/>
                <w:szCs w:val="20"/>
                <w:highlight w:val="none"/>
                <w:u w:val="none"/>
              </w:rPr>
            </w:pPr>
          </w:p>
        </w:tc>
        <w:tc>
          <w:tcPr>
            <w:tcW w:w="4050" w:type="dxa"/>
            <w:gridSpan w:val="3"/>
            <w:tcBorders>
              <w:top w:val="nil"/>
              <w:left w:val="nil"/>
              <w:bottom w:val="nil"/>
              <w:right w:val="nil"/>
            </w:tcBorders>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362"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1401"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本年支出合计</w:t>
            </w:r>
          </w:p>
        </w:tc>
        <w:tc>
          <w:tcPr>
            <w:tcW w:w="1037"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基本支出</w:t>
            </w:r>
          </w:p>
        </w:tc>
        <w:tc>
          <w:tcPr>
            <w:tcW w:w="1088"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项目支出</w:t>
            </w:r>
          </w:p>
        </w:tc>
        <w:tc>
          <w:tcPr>
            <w:tcW w:w="1306"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上缴上级支出</w:t>
            </w:r>
          </w:p>
        </w:tc>
        <w:tc>
          <w:tcPr>
            <w:tcW w:w="1101"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经营支出</w:t>
            </w:r>
          </w:p>
        </w:tc>
        <w:tc>
          <w:tcPr>
            <w:tcW w:w="1643"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13"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功能分类科目编码</w:t>
            </w:r>
          </w:p>
        </w:tc>
        <w:tc>
          <w:tcPr>
            <w:tcW w:w="5149"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科目名称</w:t>
            </w:r>
          </w:p>
        </w:tc>
        <w:tc>
          <w:tcPr>
            <w:tcW w:w="1401" w:type="dxa"/>
            <w:vMerge w:val="continue"/>
            <w:tcBorders>
              <w:top w:val="single" w:color="000000" w:sz="4" w:space="0"/>
              <w:left w:val="nil"/>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037" w:type="dxa"/>
            <w:vMerge w:val="continue"/>
            <w:tcBorders>
              <w:top w:val="single" w:color="000000" w:sz="4" w:space="0"/>
              <w:left w:val="nil"/>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088" w:type="dxa"/>
            <w:vMerge w:val="continue"/>
            <w:tcBorders>
              <w:top w:val="single" w:color="000000" w:sz="4" w:space="0"/>
              <w:left w:val="nil"/>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306" w:type="dxa"/>
            <w:vMerge w:val="continue"/>
            <w:tcBorders>
              <w:top w:val="single" w:color="000000" w:sz="4" w:space="0"/>
              <w:left w:val="nil"/>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101" w:type="dxa"/>
            <w:vMerge w:val="continue"/>
            <w:tcBorders>
              <w:top w:val="single" w:color="000000" w:sz="4" w:space="0"/>
              <w:left w:val="nil"/>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43" w:type="dxa"/>
            <w:vMerge w:val="continue"/>
            <w:tcBorders>
              <w:top w:val="single" w:color="000000" w:sz="4" w:space="0"/>
              <w:left w:val="nil"/>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13" w:type="dxa"/>
            <w:gridSpan w:val="3"/>
            <w:vMerge w:val="continue"/>
            <w:tcBorders>
              <w:top w:val="nil"/>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5149" w:type="dxa"/>
            <w:vMerge w:val="continue"/>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401" w:type="dxa"/>
            <w:vMerge w:val="continue"/>
            <w:tcBorders>
              <w:top w:val="single" w:color="000000" w:sz="4" w:space="0"/>
              <w:left w:val="nil"/>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037" w:type="dxa"/>
            <w:vMerge w:val="continue"/>
            <w:tcBorders>
              <w:top w:val="single" w:color="000000" w:sz="4" w:space="0"/>
              <w:left w:val="nil"/>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088" w:type="dxa"/>
            <w:vMerge w:val="continue"/>
            <w:tcBorders>
              <w:top w:val="single" w:color="000000" w:sz="4" w:space="0"/>
              <w:left w:val="nil"/>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306" w:type="dxa"/>
            <w:vMerge w:val="continue"/>
            <w:tcBorders>
              <w:top w:val="single" w:color="000000" w:sz="4" w:space="0"/>
              <w:left w:val="nil"/>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101" w:type="dxa"/>
            <w:vMerge w:val="continue"/>
            <w:tcBorders>
              <w:top w:val="single" w:color="000000" w:sz="4" w:space="0"/>
              <w:left w:val="nil"/>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43" w:type="dxa"/>
            <w:vMerge w:val="continue"/>
            <w:tcBorders>
              <w:top w:val="single" w:color="000000" w:sz="4" w:space="0"/>
              <w:left w:val="nil"/>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13" w:type="dxa"/>
            <w:gridSpan w:val="3"/>
            <w:vMerge w:val="continue"/>
            <w:tcBorders>
              <w:top w:val="nil"/>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5149" w:type="dxa"/>
            <w:vMerge w:val="continue"/>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401" w:type="dxa"/>
            <w:vMerge w:val="continue"/>
            <w:tcBorders>
              <w:top w:val="single" w:color="000000" w:sz="4" w:space="0"/>
              <w:left w:val="nil"/>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037" w:type="dxa"/>
            <w:vMerge w:val="continue"/>
            <w:tcBorders>
              <w:top w:val="single" w:color="000000" w:sz="4" w:space="0"/>
              <w:left w:val="nil"/>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088" w:type="dxa"/>
            <w:vMerge w:val="continue"/>
            <w:tcBorders>
              <w:top w:val="single" w:color="000000" w:sz="4" w:space="0"/>
              <w:left w:val="nil"/>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306" w:type="dxa"/>
            <w:vMerge w:val="continue"/>
            <w:tcBorders>
              <w:top w:val="single" w:color="000000" w:sz="4" w:space="0"/>
              <w:left w:val="nil"/>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101" w:type="dxa"/>
            <w:vMerge w:val="continue"/>
            <w:tcBorders>
              <w:top w:val="single" w:color="000000" w:sz="4" w:space="0"/>
              <w:left w:val="nil"/>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43" w:type="dxa"/>
            <w:vMerge w:val="continue"/>
            <w:tcBorders>
              <w:top w:val="single" w:color="000000" w:sz="4" w:space="0"/>
              <w:left w:val="nil"/>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362"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栏次</w:t>
            </w:r>
          </w:p>
        </w:tc>
        <w:tc>
          <w:tcPr>
            <w:tcW w:w="1401"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037"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088"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306"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101"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1643"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362"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合计</w:t>
            </w:r>
          </w:p>
        </w:tc>
        <w:tc>
          <w:tcPr>
            <w:tcW w:w="1401"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1,314.39</w:t>
            </w:r>
          </w:p>
        </w:tc>
        <w:tc>
          <w:tcPr>
            <w:tcW w:w="1037"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683.94</w:t>
            </w:r>
          </w:p>
        </w:tc>
        <w:tc>
          <w:tcPr>
            <w:tcW w:w="1088"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630.46</w:t>
            </w:r>
          </w:p>
        </w:tc>
        <w:tc>
          <w:tcPr>
            <w:tcW w:w="1306"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auto"/>
                <w:sz w:val="22"/>
                <w:szCs w:val="22"/>
                <w:highlight w:val="none"/>
                <w:u w:val="none"/>
              </w:rPr>
            </w:pPr>
          </w:p>
        </w:tc>
        <w:tc>
          <w:tcPr>
            <w:tcW w:w="1101"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auto"/>
                <w:sz w:val="22"/>
                <w:szCs w:val="22"/>
                <w:highlight w:val="none"/>
                <w:u w:val="none"/>
              </w:rPr>
            </w:pPr>
          </w:p>
        </w:tc>
        <w:tc>
          <w:tcPr>
            <w:tcW w:w="1643"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13"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w:t>
            </w:r>
          </w:p>
        </w:tc>
        <w:tc>
          <w:tcPr>
            <w:tcW w:w="5149"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一般公共服务支出</w:t>
            </w:r>
          </w:p>
        </w:tc>
        <w:tc>
          <w:tcPr>
            <w:tcW w:w="1401"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1.36</w:t>
            </w:r>
          </w:p>
        </w:tc>
        <w:tc>
          <w:tcPr>
            <w:tcW w:w="1037"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1.36</w:t>
            </w:r>
          </w:p>
        </w:tc>
        <w:tc>
          <w:tcPr>
            <w:tcW w:w="1088"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1306"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1101"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1643"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13"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20129</w:t>
            </w:r>
          </w:p>
        </w:tc>
        <w:tc>
          <w:tcPr>
            <w:tcW w:w="5149"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群众团体事务</w:t>
            </w:r>
          </w:p>
        </w:tc>
        <w:tc>
          <w:tcPr>
            <w:tcW w:w="1401"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1.36</w:t>
            </w:r>
          </w:p>
        </w:tc>
        <w:tc>
          <w:tcPr>
            <w:tcW w:w="1037"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1.36</w:t>
            </w:r>
          </w:p>
        </w:tc>
        <w:tc>
          <w:tcPr>
            <w:tcW w:w="1088"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1306"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1101"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1643"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13"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2012906</w:t>
            </w:r>
          </w:p>
        </w:tc>
        <w:tc>
          <w:tcPr>
            <w:tcW w:w="5149"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工会事务</w:t>
            </w:r>
          </w:p>
        </w:tc>
        <w:tc>
          <w:tcPr>
            <w:tcW w:w="1401"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1.36</w:t>
            </w:r>
          </w:p>
        </w:tc>
        <w:tc>
          <w:tcPr>
            <w:tcW w:w="1037"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1.36</w:t>
            </w:r>
          </w:p>
        </w:tc>
        <w:tc>
          <w:tcPr>
            <w:tcW w:w="1088"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1306"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1101"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1643"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13"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205</w:t>
            </w:r>
          </w:p>
        </w:tc>
        <w:tc>
          <w:tcPr>
            <w:tcW w:w="5149"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教育支出</w:t>
            </w:r>
          </w:p>
        </w:tc>
        <w:tc>
          <w:tcPr>
            <w:tcW w:w="1401"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1,261.36</w:t>
            </w:r>
          </w:p>
        </w:tc>
        <w:tc>
          <w:tcPr>
            <w:tcW w:w="1037"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630.90</w:t>
            </w:r>
          </w:p>
        </w:tc>
        <w:tc>
          <w:tcPr>
            <w:tcW w:w="1088"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630.46</w:t>
            </w:r>
          </w:p>
        </w:tc>
        <w:tc>
          <w:tcPr>
            <w:tcW w:w="1306"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1101"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1643"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13"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20501</w:t>
            </w:r>
          </w:p>
        </w:tc>
        <w:tc>
          <w:tcPr>
            <w:tcW w:w="5149"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教育管理事务</w:t>
            </w:r>
          </w:p>
        </w:tc>
        <w:tc>
          <w:tcPr>
            <w:tcW w:w="1401"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1,259.55</w:t>
            </w:r>
          </w:p>
        </w:tc>
        <w:tc>
          <w:tcPr>
            <w:tcW w:w="1037"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629.09</w:t>
            </w:r>
          </w:p>
        </w:tc>
        <w:tc>
          <w:tcPr>
            <w:tcW w:w="1088"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630.46</w:t>
            </w:r>
          </w:p>
        </w:tc>
        <w:tc>
          <w:tcPr>
            <w:tcW w:w="1306"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1101"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1643"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13"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2050101</w:t>
            </w:r>
          </w:p>
        </w:tc>
        <w:tc>
          <w:tcPr>
            <w:tcW w:w="5149"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行政运行</w:t>
            </w:r>
          </w:p>
        </w:tc>
        <w:tc>
          <w:tcPr>
            <w:tcW w:w="1401"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629.09</w:t>
            </w:r>
          </w:p>
        </w:tc>
        <w:tc>
          <w:tcPr>
            <w:tcW w:w="1037"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629.09</w:t>
            </w:r>
          </w:p>
        </w:tc>
        <w:tc>
          <w:tcPr>
            <w:tcW w:w="1088"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1306"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1101"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1643"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13"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2050102</w:t>
            </w:r>
          </w:p>
        </w:tc>
        <w:tc>
          <w:tcPr>
            <w:tcW w:w="5149"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一般行政管理事务</w:t>
            </w:r>
          </w:p>
        </w:tc>
        <w:tc>
          <w:tcPr>
            <w:tcW w:w="1401"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630.46</w:t>
            </w:r>
          </w:p>
        </w:tc>
        <w:tc>
          <w:tcPr>
            <w:tcW w:w="1037"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1088"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630.46</w:t>
            </w:r>
          </w:p>
        </w:tc>
        <w:tc>
          <w:tcPr>
            <w:tcW w:w="1306"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1101"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1643"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13"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20502</w:t>
            </w:r>
          </w:p>
        </w:tc>
        <w:tc>
          <w:tcPr>
            <w:tcW w:w="5149"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普通教育</w:t>
            </w:r>
          </w:p>
        </w:tc>
        <w:tc>
          <w:tcPr>
            <w:tcW w:w="1401"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1.81</w:t>
            </w:r>
          </w:p>
        </w:tc>
        <w:tc>
          <w:tcPr>
            <w:tcW w:w="1037"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1.81</w:t>
            </w:r>
          </w:p>
        </w:tc>
        <w:tc>
          <w:tcPr>
            <w:tcW w:w="1088"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1306"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1101"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1643"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13"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2050299</w:t>
            </w:r>
          </w:p>
        </w:tc>
        <w:tc>
          <w:tcPr>
            <w:tcW w:w="5149"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其他普通教育支出</w:t>
            </w:r>
          </w:p>
        </w:tc>
        <w:tc>
          <w:tcPr>
            <w:tcW w:w="1401"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1.81</w:t>
            </w:r>
          </w:p>
        </w:tc>
        <w:tc>
          <w:tcPr>
            <w:tcW w:w="1037"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1.81</w:t>
            </w:r>
          </w:p>
        </w:tc>
        <w:tc>
          <w:tcPr>
            <w:tcW w:w="1088"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1306"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1101"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1643"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13"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w:t>
            </w:r>
          </w:p>
        </w:tc>
        <w:tc>
          <w:tcPr>
            <w:tcW w:w="5149"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社会保障和就业支出</w:t>
            </w:r>
          </w:p>
        </w:tc>
        <w:tc>
          <w:tcPr>
            <w:tcW w:w="1401"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36.50</w:t>
            </w:r>
          </w:p>
        </w:tc>
        <w:tc>
          <w:tcPr>
            <w:tcW w:w="1037"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36.50</w:t>
            </w:r>
          </w:p>
        </w:tc>
        <w:tc>
          <w:tcPr>
            <w:tcW w:w="1088"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1306"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1101"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1643"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13"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w:t>
            </w:r>
          </w:p>
        </w:tc>
        <w:tc>
          <w:tcPr>
            <w:tcW w:w="5149"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行政事业单位养老支出</w:t>
            </w:r>
          </w:p>
        </w:tc>
        <w:tc>
          <w:tcPr>
            <w:tcW w:w="1401"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36.50</w:t>
            </w:r>
          </w:p>
        </w:tc>
        <w:tc>
          <w:tcPr>
            <w:tcW w:w="1037"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36.50</w:t>
            </w:r>
          </w:p>
        </w:tc>
        <w:tc>
          <w:tcPr>
            <w:tcW w:w="1088"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1306"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1101"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1643"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13"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2080501</w:t>
            </w:r>
          </w:p>
        </w:tc>
        <w:tc>
          <w:tcPr>
            <w:tcW w:w="5149"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行政单位离退休</w:t>
            </w:r>
          </w:p>
        </w:tc>
        <w:tc>
          <w:tcPr>
            <w:tcW w:w="1401"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20.59</w:t>
            </w:r>
          </w:p>
        </w:tc>
        <w:tc>
          <w:tcPr>
            <w:tcW w:w="1037"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20.59</w:t>
            </w:r>
          </w:p>
        </w:tc>
        <w:tc>
          <w:tcPr>
            <w:tcW w:w="1088"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1306"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1101"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1643"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13"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2080505</w:t>
            </w:r>
          </w:p>
        </w:tc>
        <w:tc>
          <w:tcPr>
            <w:tcW w:w="5149"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机关事业单位基本养老保险缴费支出</w:t>
            </w:r>
          </w:p>
        </w:tc>
        <w:tc>
          <w:tcPr>
            <w:tcW w:w="1401"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15.91</w:t>
            </w:r>
          </w:p>
        </w:tc>
        <w:tc>
          <w:tcPr>
            <w:tcW w:w="1037"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15.91</w:t>
            </w:r>
          </w:p>
        </w:tc>
        <w:tc>
          <w:tcPr>
            <w:tcW w:w="1088"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1306"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1101"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1643"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13"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w:t>
            </w:r>
          </w:p>
        </w:tc>
        <w:tc>
          <w:tcPr>
            <w:tcW w:w="5149"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卫生健康支出</w:t>
            </w:r>
          </w:p>
        </w:tc>
        <w:tc>
          <w:tcPr>
            <w:tcW w:w="1401"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15.17</w:t>
            </w:r>
          </w:p>
        </w:tc>
        <w:tc>
          <w:tcPr>
            <w:tcW w:w="1037"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15.17</w:t>
            </w:r>
          </w:p>
        </w:tc>
        <w:tc>
          <w:tcPr>
            <w:tcW w:w="1088"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1306"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1101"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1643"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13"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21011</w:t>
            </w:r>
          </w:p>
        </w:tc>
        <w:tc>
          <w:tcPr>
            <w:tcW w:w="5149"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行政事业单位医疗</w:t>
            </w:r>
          </w:p>
        </w:tc>
        <w:tc>
          <w:tcPr>
            <w:tcW w:w="1401"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15.17</w:t>
            </w:r>
          </w:p>
        </w:tc>
        <w:tc>
          <w:tcPr>
            <w:tcW w:w="1037"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15.17</w:t>
            </w:r>
          </w:p>
        </w:tc>
        <w:tc>
          <w:tcPr>
            <w:tcW w:w="1088"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1306"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1101"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1643"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13"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2101101</w:t>
            </w:r>
          </w:p>
        </w:tc>
        <w:tc>
          <w:tcPr>
            <w:tcW w:w="5149"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行政单位医疗</w:t>
            </w:r>
          </w:p>
        </w:tc>
        <w:tc>
          <w:tcPr>
            <w:tcW w:w="1401"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7.77</w:t>
            </w:r>
          </w:p>
        </w:tc>
        <w:tc>
          <w:tcPr>
            <w:tcW w:w="1037"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7.77</w:t>
            </w:r>
          </w:p>
        </w:tc>
        <w:tc>
          <w:tcPr>
            <w:tcW w:w="1088"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1306"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1101"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1643"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13"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2101103</w:t>
            </w:r>
          </w:p>
        </w:tc>
        <w:tc>
          <w:tcPr>
            <w:tcW w:w="5149"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公务员医疗补助</w:t>
            </w:r>
          </w:p>
        </w:tc>
        <w:tc>
          <w:tcPr>
            <w:tcW w:w="1401"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7.40</w:t>
            </w:r>
          </w:p>
        </w:tc>
        <w:tc>
          <w:tcPr>
            <w:tcW w:w="1037"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7.40</w:t>
            </w:r>
          </w:p>
        </w:tc>
        <w:tc>
          <w:tcPr>
            <w:tcW w:w="1088"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1306"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1101"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1643"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938" w:type="dxa"/>
            <w:gridSpan w:val="10"/>
            <w:tcBorders>
              <w:top w:val="nil"/>
              <w:left w:val="nil"/>
              <w:bottom w:val="nil"/>
              <w:right w:val="nil"/>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注：本表反映</w:t>
            </w:r>
            <w:r>
              <w:rPr>
                <w:rFonts w:hint="eastAsia" w:ascii="宋体" w:hAnsi="宋体" w:cs="宋体"/>
                <w:i w:val="0"/>
                <w:iCs w:val="0"/>
                <w:color w:val="auto"/>
                <w:kern w:val="0"/>
                <w:sz w:val="22"/>
                <w:szCs w:val="22"/>
                <w:highlight w:val="none"/>
                <w:u w:val="none"/>
                <w:lang w:val="en-US" w:eastAsia="zh-CN" w:bidi="ar"/>
              </w:rPr>
              <w:t>单位</w:t>
            </w:r>
            <w:r>
              <w:rPr>
                <w:rFonts w:hint="eastAsia" w:ascii="宋体" w:hAnsi="宋体" w:eastAsia="宋体" w:cs="宋体"/>
                <w:i w:val="0"/>
                <w:iCs w:val="0"/>
                <w:color w:val="auto"/>
                <w:kern w:val="0"/>
                <w:sz w:val="22"/>
                <w:szCs w:val="22"/>
                <w:highlight w:val="none"/>
                <w:u w:val="none"/>
                <w:lang w:val="en-US" w:eastAsia="zh-CN" w:bidi="ar"/>
              </w:rPr>
              <w:t>本年度各项支出情况。本表金额转换为万元时，因四舍五入可能存在尾差。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411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465"/>
        <w:gridCol w:w="500"/>
        <w:gridCol w:w="995"/>
        <w:gridCol w:w="3953"/>
        <w:gridCol w:w="500"/>
        <w:gridCol w:w="920"/>
        <w:gridCol w:w="1452"/>
        <w:gridCol w:w="1210"/>
        <w:gridCol w:w="11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113" w:type="dxa"/>
            <w:gridSpan w:val="9"/>
            <w:tcBorders>
              <w:top w:val="nil"/>
              <w:left w:val="nil"/>
              <w:bottom w:val="nil"/>
              <w:right w:val="nil"/>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eastAsia" w:ascii="Arial" w:hAnsi="Arial" w:eastAsia="宋体" w:cs="Arial"/>
                <w:i w:val="0"/>
                <w:iCs w:val="0"/>
                <w:color w:val="auto"/>
                <w:sz w:val="20"/>
                <w:szCs w:val="20"/>
                <w:highlight w:val="none"/>
                <w:u w:val="none"/>
              </w:rPr>
            </w:pPr>
          </w:p>
        </w:tc>
        <w:tc>
          <w:tcPr>
            <w:tcW w:w="0" w:type="auto"/>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eastAsia="宋体" w:cs="Arial"/>
                <w:i w:val="0"/>
                <w:iCs w:val="0"/>
                <w:color w:val="auto"/>
                <w:sz w:val="20"/>
                <w:szCs w:val="20"/>
                <w:highlight w:val="none"/>
                <w:u w:val="none"/>
              </w:rPr>
            </w:pPr>
          </w:p>
        </w:tc>
        <w:tc>
          <w:tcPr>
            <w:tcW w:w="0" w:type="auto"/>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eastAsia="宋体" w:cs="Arial"/>
                <w:i w:val="0"/>
                <w:iCs w:val="0"/>
                <w:color w:val="auto"/>
                <w:sz w:val="20"/>
                <w:szCs w:val="20"/>
                <w:highlight w:val="none"/>
                <w:u w:val="none"/>
              </w:rPr>
            </w:pPr>
          </w:p>
        </w:tc>
        <w:tc>
          <w:tcPr>
            <w:tcW w:w="0" w:type="auto"/>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eastAsia="宋体" w:cs="Arial"/>
                <w:i w:val="0"/>
                <w:iCs w:val="0"/>
                <w:color w:val="auto"/>
                <w:sz w:val="20"/>
                <w:szCs w:val="20"/>
                <w:highlight w:val="none"/>
                <w:u w:val="none"/>
              </w:rPr>
            </w:pPr>
          </w:p>
        </w:tc>
        <w:tc>
          <w:tcPr>
            <w:tcW w:w="0" w:type="auto"/>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eastAsia="宋体" w:cs="Arial"/>
                <w:i w:val="0"/>
                <w:iCs w:val="0"/>
                <w:color w:val="auto"/>
                <w:sz w:val="20"/>
                <w:szCs w:val="20"/>
                <w:highlight w:val="none"/>
                <w:u w:val="none"/>
              </w:rPr>
            </w:pPr>
          </w:p>
        </w:tc>
        <w:tc>
          <w:tcPr>
            <w:tcW w:w="0" w:type="auto"/>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eastAsia="宋体" w:cs="Arial"/>
                <w:i w:val="0"/>
                <w:iCs w:val="0"/>
                <w:color w:val="auto"/>
                <w:sz w:val="20"/>
                <w:szCs w:val="20"/>
                <w:highlight w:val="none"/>
                <w:u w:val="none"/>
              </w:rPr>
            </w:pPr>
          </w:p>
        </w:tc>
        <w:tc>
          <w:tcPr>
            <w:tcW w:w="3600" w:type="dxa"/>
            <w:gridSpan w:val="3"/>
            <w:tcBorders>
              <w:top w:val="nil"/>
              <w:left w:val="nil"/>
              <w:bottom w:val="nil"/>
              <w:right w:val="nil"/>
            </w:tcBorders>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3"/>
            <w:tcBorders>
              <w:top w:val="nil"/>
              <w:left w:val="nil"/>
              <w:bottom w:val="nil"/>
              <w:right w:val="nil"/>
            </w:tcBorders>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单位</w:t>
            </w:r>
            <w:r>
              <w:rPr>
                <w:rFonts w:hint="eastAsia" w:ascii="宋体" w:hAnsi="宋体" w:eastAsia="宋体" w:cs="宋体"/>
                <w:i w:val="0"/>
                <w:iCs w:val="0"/>
                <w:color w:val="auto"/>
                <w:kern w:val="0"/>
                <w:sz w:val="20"/>
                <w:szCs w:val="20"/>
                <w:highlight w:val="none"/>
                <w:u w:val="none"/>
                <w:lang w:val="en-US" w:eastAsia="zh-CN" w:bidi="ar"/>
              </w:rPr>
              <w:t>：许昌市招生考试中心</w:t>
            </w:r>
          </w:p>
        </w:tc>
        <w:tc>
          <w:tcPr>
            <w:tcW w:w="0" w:type="auto"/>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eastAsia="宋体" w:cs="Arial"/>
                <w:i w:val="0"/>
                <w:iCs w:val="0"/>
                <w:color w:val="auto"/>
                <w:sz w:val="20"/>
                <w:szCs w:val="20"/>
                <w:highlight w:val="none"/>
                <w:u w:val="none"/>
              </w:rPr>
            </w:pPr>
          </w:p>
        </w:tc>
        <w:tc>
          <w:tcPr>
            <w:tcW w:w="0" w:type="auto"/>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eastAsia="宋体" w:cs="Arial"/>
                <w:i w:val="0"/>
                <w:iCs w:val="0"/>
                <w:color w:val="auto"/>
                <w:sz w:val="20"/>
                <w:szCs w:val="20"/>
                <w:highlight w:val="none"/>
                <w:u w:val="none"/>
              </w:rPr>
            </w:pPr>
          </w:p>
        </w:tc>
        <w:tc>
          <w:tcPr>
            <w:tcW w:w="0" w:type="auto"/>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eastAsia="宋体" w:cs="Arial"/>
                <w:i w:val="0"/>
                <w:iCs w:val="0"/>
                <w:color w:val="auto"/>
                <w:sz w:val="20"/>
                <w:szCs w:val="20"/>
                <w:highlight w:val="none"/>
                <w:u w:val="none"/>
              </w:rPr>
            </w:pPr>
          </w:p>
        </w:tc>
        <w:tc>
          <w:tcPr>
            <w:tcW w:w="3600" w:type="dxa"/>
            <w:gridSpan w:val="3"/>
            <w:tcBorders>
              <w:top w:val="nil"/>
              <w:left w:val="nil"/>
              <w:bottom w:val="nil"/>
              <w:right w:val="nil"/>
            </w:tcBorders>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收     入</w:t>
            </w:r>
          </w:p>
        </w:tc>
        <w:tc>
          <w:tcPr>
            <w:tcW w:w="9057" w:type="dxa"/>
            <w:gridSpan w:val="6"/>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3522"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51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行次</w:t>
            </w:r>
          </w:p>
        </w:tc>
        <w:tc>
          <w:tcPr>
            <w:tcW w:w="1018"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金额</w:t>
            </w:r>
          </w:p>
        </w:tc>
        <w:tc>
          <w:tcPr>
            <w:tcW w:w="4012"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51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行次</w:t>
            </w:r>
          </w:p>
        </w:tc>
        <w:tc>
          <w:tcPr>
            <w:tcW w:w="0" w:type="auto"/>
            <w:vMerge w:val="restar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合计</w:t>
            </w:r>
          </w:p>
        </w:tc>
        <w:tc>
          <w:tcPr>
            <w:tcW w:w="1383"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一般公共预算财政拨款</w:t>
            </w:r>
          </w:p>
        </w:tc>
        <w:tc>
          <w:tcPr>
            <w:tcW w:w="1152"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政府性基金预算财政拨款</w:t>
            </w:r>
          </w:p>
        </w:tc>
        <w:tc>
          <w:tcPr>
            <w:tcW w:w="106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3522" w:type="dxa"/>
            <w:vMerge w:val="continue"/>
            <w:tcBorders>
              <w:top w:val="nil"/>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516" w:type="dxa"/>
            <w:vMerge w:val="continue"/>
            <w:tcBorders>
              <w:top w:val="nil"/>
              <w:left w:val="nil"/>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018" w:type="dxa"/>
            <w:vMerge w:val="continue"/>
            <w:tcBorders>
              <w:top w:val="nil"/>
              <w:left w:val="nil"/>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4012" w:type="dxa"/>
            <w:vMerge w:val="continue"/>
            <w:tcBorders>
              <w:top w:val="nil"/>
              <w:left w:val="nil"/>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516" w:type="dxa"/>
            <w:vMerge w:val="continue"/>
            <w:tcBorders>
              <w:top w:val="nil"/>
              <w:left w:val="nil"/>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0" w:type="auto"/>
            <w:vMerge w:val="continue"/>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383" w:type="dxa"/>
            <w:vMerge w:val="continue"/>
            <w:tcBorders>
              <w:top w:val="nil"/>
              <w:left w:val="nil"/>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152" w:type="dxa"/>
            <w:vMerge w:val="continue"/>
            <w:tcBorders>
              <w:top w:val="nil"/>
              <w:left w:val="nil"/>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065" w:type="dxa"/>
            <w:vMerge w:val="continue"/>
            <w:tcBorders>
              <w:top w:val="nil"/>
              <w:left w:val="nil"/>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383"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152"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065"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一、一般公共预算财政拨款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513.95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一、一般公共服务支出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1.36</w:t>
            </w:r>
          </w:p>
        </w:tc>
        <w:tc>
          <w:tcPr>
            <w:tcW w:w="1383"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1.36</w:t>
            </w:r>
          </w:p>
        </w:tc>
        <w:tc>
          <w:tcPr>
            <w:tcW w:w="1152"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1065"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二、政府性基金预算财政拨款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二、外交支出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1383"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1152"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1065"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三、国有资本经营财政拨款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三、国防支出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1383"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1152"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1065"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四、公共安全支出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36</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1383"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1152"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1065"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五、教育支出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569.25</w:t>
            </w:r>
          </w:p>
        </w:tc>
        <w:tc>
          <w:tcPr>
            <w:tcW w:w="1383"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569.25</w:t>
            </w:r>
          </w:p>
        </w:tc>
        <w:tc>
          <w:tcPr>
            <w:tcW w:w="1152"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1065"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六、科学技术支出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38</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1383"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1152"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1065"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七、文化旅游体育与传媒支出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1383"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1152"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1065"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八、社会保障和就业支出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36.50</w:t>
            </w:r>
          </w:p>
        </w:tc>
        <w:tc>
          <w:tcPr>
            <w:tcW w:w="1383"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36.50</w:t>
            </w:r>
          </w:p>
        </w:tc>
        <w:tc>
          <w:tcPr>
            <w:tcW w:w="1152"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1065"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九、卫生健康支出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15.17</w:t>
            </w:r>
          </w:p>
        </w:tc>
        <w:tc>
          <w:tcPr>
            <w:tcW w:w="1383"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15.17</w:t>
            </w:r>
          </w:p>
        </w:tc>
        <w:tc>
          <w:tcPr>
            <w:tcW w:w="1152"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1065"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十、节能环保支出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42</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1383"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1152"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1065"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十一、城乡社区支出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43</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1383"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1152"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1065"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十二、农林水支出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44</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1383"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1152"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1065"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十三、交通运输支出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1383"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1152"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1065"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十四、资源勘探工业信息等支出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46</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1383"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1152"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1065"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十五、商业服务业等支出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47</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1383"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1152"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1065"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十六、金融支出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48</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1383"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1152"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1065"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十七、援助其他地区支出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49</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1383"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1152"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1065"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十八、自然资源海洋气象等支出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1383"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1152"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1065"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十九、住房保障支出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51</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1383"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1152"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1065"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二十、粮油物资储备支出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52</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1383"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1152"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1065"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二十一、国有资本经营预算支出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53</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1383"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1152"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1065"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二十二、灾害防治及应急管理支出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54</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1383"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1152"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1065"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二十三、其他支出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55</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1383"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1152"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1065"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二十四、债务还本支出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56</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1383"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1152"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1065"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二十五、债务付息支出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57</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1383"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1152"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1065"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二十六、抗疫特别国债安排的支出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58</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1383"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1152"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1065"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本年收入合计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513.95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本年支出合计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622.28</w:t>
            </w:r>
          </w:p>
        </w:tc>
        <w:tc>
          <w:tcPr>
            <w:tcW w:w="1383"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622.28</w:t>
            </w:r>
          </w:p>
        </w:tc>
        <w:tc>
          <w:tcPr>
            <w:tcW w:w="1152"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1065"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年初财政拨款结转和结余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108.33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年末财政拨款结转和结余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1383"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1152"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1065"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一般公共预算财政拨款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108.33</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61</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1383"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1152"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1065"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政府性基金预算财政拨款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62</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1383"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1152"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1065"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国有资本经营预算财政拨款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63</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1383"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1152"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1065"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总计</w:t>
            </w:r>
          </w:p>
        </w:tc>
        <w:tc>
          <w:tcPr>
            <w:tcW w:w="0" w:type="auto"/>
            <w:tcBorders>
              <w:top w:val="nil"/>
              <w:left w:val="nil"/>
              <w:bottom w:val="single" w:color="000000" w:sz="8"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622.28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总计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622.28</w:t>
            </w:r>
          </w:p>
        </w:tc>
        <w:tc>
          <w:tcPr>
            <w:tcW w:w="1383"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622.28</w:t>
            </w:r>
          </w:p>
        </w:tc>
        <w:tc>
          <w:tcPr>
            <w:tcW w:w="1152"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1065"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4113" w:type="dxa"/>
            <w:gridSpan w:val="9"/>
            <w:tcBorders>
              <w:top w:val="nil"/>
              <w:left w:val="nil"/>
              <w:bottom w:val="nil"/>
              <w:right w:val="nil"/>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注：本表反映</w:t>
            </w:r>
            <w:r>
              <w:rPr>
                <w:rFonts w:hint="eastAsia" w:ascii="宋体" w:hAnsi="宋体" w:cs="宋体"/>
                <w:i w:val="0"/>
                <w:iCs w:val="0"/>
                <w:color w:val="auto"/>
                <w:kern w:val="0"/>
                <w:sz w:val="22"/>
                <w:szCs w:val="22"/>
                <w:highlight w:val="none"/>
                <w:u w:val="none"/>
                <w:lang w:val="en-US" w:eastAsia="zh-CN" w:bidi="ar"/>
              </w:rPr>
              <w:t>单位</w:t>
            </w:r>
            <w:r>
              <w:rPr>
                <w:rFonts w:hint="eastAsia" w:ascii="宋体" w:hAnsi="宋体" w:eastAsia="宋体" w:cs="宋体"/>
                <w:i w:val="0"/>
                <w:iCs w:val="0"/>
                <w:color w:val="auto"/>
                <w:kern w:val="0"/>
                <w:sz w:val="22"/>
                <w:szCs w:val="22"/>
                <w:highlight w:val="none"/>
                <w:u w:val="none"/>
                <w:lang w:val="en-US" w:eastAsia="zh-CN" w:bidi="ar"/>
              </w:rPr>
              <w:t>本年度一般公共预算财政拨款、政府性基金预算财政拨款和国有资本经营预算财政拨款的总收支和年末结转结余情况。本表金额转换为万元时，因四舍五入可能存在尾差。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27"/>
        <w:gridCol w:w="327"/>
        <w:gridCol w:w="333"/>
        <w:gridCol w:w="4988"/>
        <w:gridCol w:w="2475"/>
        <w:gridCol w:w="2463"/>
        <w:gridCol w:w="31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081" w:type="dxa"/>
            <w:gridSpan w:val="7"/>
            <w:tcBorders>
              <w:top w:val="nil"/>
              <w:left w:val="nil"/>
              <w:bottom w:val="nil"/>
              <w:right w:val="nil"/>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27" w:type="dxa"/>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eastAsia" w:ascii="Arial" w:hAnsi="Arial" w:eastAsia="宋体" w:cs="Arial"/>
                <w:i w:val="0"/>
                <w:iCs w:val="0"/>
                <w:color w:val="auto"/>
                <w:sz w:val="20"/>
                <w:szCs w:val="20"/>
                <w:highlight w:val="none"/>
                <w:u w:val="none"/>
              </w:rPr>
            </w:pPr>
          </w:p>
        </w:tc>
        <w:tc>
          <w:tcPr>
            <w:tcW w:w="327" w:type="dxa"/>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eastAsia="宋体" w:cs="Arial"/>
                <w:i w:val="0"/>
                <w:iCs w:val="0"/>
                <w:color w:val="auto"/>
                <w:sz w:val="20"/>
                <w:szCs w:val="20"/>
                <w:highlight w:val="none"/>
                <w:u w:val="none"/>
              </w:rPr>
            </w:pPr>
          </w:p>
        </w:tc>
        <w:tc>
          <w:tcPr>
            <w:tcW w:w="333" w:type="dxa"/>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eastAsia="宋体" w:cs="Arial"/>
                <w:i w:val="0"/>
                <w:iCs w:val="0"/>
                <w:color w:val="auto"/>
                <w:sz w:val="20"/>
                <w:szCs w:val="20"/>
                <w:highlight w:val="none"/>
                <w:u w:val="none"/>
              </w:rPr>
            </w:pPr>
          </w:p>
        </w:tc>
        <w:tc>
          <w:tcPr>
            <w:tcW w:w="4988" w:type="dxa"/>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eastAsia="宋体" w:cs="Arial"/>
                <w:i w:val="0"/>
                <w:iCs w:val="0"/>
                <w:color w:val="auto"/>
                <w:sz w:val="20"/>
                <w:szCs w:val="20"/>
                <w:highlight w:val="none"/>
                <w:u w:val="none"/>
              </w:rPr>
            </w:pPr>
          </w:p>
        </w:tc>
        <w:tc>
          <w:tcPr>
            <w:tcW w:w="2475" w:type="dxa"/>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eastAsia="宋体" w:cs="Arial"/>
                <w:i w:val="0"/>
                <w:iCs w:val="0"/>
                <w:color w:val="auto"/>
                <w:sz w:val="20"/>
                <w:szCs w:val="20"/>
                <w:highlight w:val="none"/>
                <w:u w:val="none"/>
              </w:rPr>
            </w:pPr>
          </w:p>
        </w:tc>
        <w:tc>
          <w:tcPr>
            <w:tcW w:w="5631" w:type="dxa"/>
            <w:gridSpan w:val="2"/>
            <w:tcBorders>
              <w:top w:val="nil"/>
              <w:left w:val="nil"/>
              <w:bottom w:val="nil"/>
              <w:right w:val="nil"/>
            </w:tcBorders>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75" w:type="dxa"/>
            <w:gridSpan w:val="4"/>
            <w:tcBorders>
              <w:top w:val="nil"/>
              <w:left w:val="nil"/>
              <w:bottom w:val="nil"/>
              <w:right w:val="nil"/>
            </w:tcBorders>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单位</w:t>
            </w:r>
            <w:r>
              <w:rPr>
                <w:rFonts w:hint="eastAsia" w:ascii="宋体" w:hAnsi="宋体" w:eastAsia="宋体" w:cs="宋体"/>
                <w:i w:val="0"/>
                <w:iCs w:val="0"/>
                <w:color w:val="auto"/>
                <w:kern w:val="0"/>
                <w:sz w:val="20"/>
                <w:szCs w:val="20"/>
                <w:highlight w:val="none"/>
                <w:u w:val="none"/>
                <w:lang w:val="en-US" w:eastAsia="zh-CN" w:bidi="ar"/>
              </w:rPr>
              <w:t>：许昌市招生考试中心</w:t>
            </w:r>
          </w:p>
        </w:tc>
        <w:tc>
          <w:tcPr>
            <w:tcW w:w="2475" w:type="dxa"/>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eastAsia="宋体" w:cs="Arial"/>
                <w:i w:val="0"/>
                <w:iCs w:val="0"/>
                <w:color w:val="auto"/>
                <w:sz w:val="20"/>
                <w:szCs w:val="20"/>
                <w:highlight w:val="none"/>
                <w:u w:val="none"/>
              </w:rPr>
            </w:pPr>
          </w:p>
        </w:tc>
        <w:tc>
          <w:tcPr>
            <w:tcW w:w="5631" w:type="dxa"/>
            <w:gridSpan w:val="2"/>
            <w:tcBorders>
              <w:top w:val="nil"/>
              <w:left w:val="nil"/>
              <w:bottom w:val="nil"/>
              <w:right w:val="nil"/>
            </w:tcBorders>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975"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8106"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功能分类科目编码</w:t>
            </w:r>
          </w:p>
        </w:tc>
        <w:tc>
          <w:tcPr>
            <w:tcW w:w="4988"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科目名称</w:t>
            </w:r>
          </w:p>
        </w:tc>
        <w:tc>
          <w:tcPr>
            <w:tcW w:w="247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小计</w:t>
            </w:r>
          </w:p>
        </w:tc>
        <w:tc>
          <w:tcPr>
            <w:tcW w:w="2463"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基本支出</w:t>
            </w:r>
          </w:p>
        </w:tc>
        <w:tc>
          <w:tcPr>
            <w:tcW w:w="3168"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987" w:type="dxa"/>
            <w:gridSpan w:val="3"/>
            <w:vMerge w:val="continue"/>
            <w:tcBorders>
              <w:top w:val="nil"/>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4988" w:type="dxa"/>
            <w:vMerge w:val="continue"/>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475" w:type="dxa"/>
            <w:vMerge w:val="continue"/>
            <w:tcBorders>
              <w:top w:val="nil"/>
              <w:left w:val="nil"/>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463" w:type="dxa"/>
            <w:vMerge w:val="continue"/>
            <w:tcBorders>
              <w:top w:val="nil"/>
              <w:left w:val="nil"/>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168" w:type="dxa"/>
            <w:vMerge w:val="continue"/>
            <w:tcBorders>
              <w:top w:val="nil"/>
              <w:left w:val="nil"/>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vMerge w:val="continue"/>
            <w:tcBorders>
              <w:top w:val="nil"/>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4988" w:type="dxa"/>
            <w:vMerge w:val="continue"/>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475" w:type="dxa"/>
            <w:vMerge w:val="continue"/>
            <w:tcBorders>
              <w:top w:val="nil"/>
              <w:left w:val="nil"/>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463" w:type="dxa"/>
            <w:vMerge w:val="continue"/>
            <w:tcBorders>
              <w:top w:val="nil"/>
              <w:left w:val="nil"/>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168" w:type="dxa"/>
            <w:vMerge w:val="continue"/>
            <w:tcBorders>
              <w:top w:val="nil"/>
              <w:left w:val="nil"/>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975"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栏次</w:t>
            </w:r>
          </w:p>
        </w:tc>
        <w:tc>
          <w:tcPr>
            <w:tcW w:w="2475"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2463"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3168"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975"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合计</w:t>
            </w:r>
          </w:p>
        </w:tc>
        <w:tc>
          <w:tcPr>
            <w:tcW w:w="2475"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622.28</w:t>
            </w:r>
          </w:p>
        </w:tc>
        <w:tc>
          <w:tcPr>
            <w:tcW w:w="2463"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350.19</w:t>
            </w:r>
          </w:p>
        </w:tc>
        <w:tc>
          <w:tcPr>
            <w:tcW w:w="3168"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272.09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w:t>
            </w:r>
          </w:p>
        </w:tc>
        <w:tc>
          <w:tcPr>
            <w:tcW w:w="4988"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一般公共服务支出</w:t>
            </w:r>
          </w:p>
        </w:tc>
        <w:tc>
          <w:tcPr>
            <w:tcW w:w="2475"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1.36</w:t>
            </w:r>
          </w:p>
        </w:tc>
        <w:tc>
          <w:tcPr>
            <w:tcW w:w="2463"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1.36</w:t>
            </w:r>
          </w:p>
        </w:tc>
        <w:tc>
          <w:tcPr>
            <w:tcW w:w="3168"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20129</w:t>
            </w:r>
          </w:p>
        </w:tc>
        <w:tc>
          <w:tcPr>
            <w:tcW w:w="4988"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群众团体事务</w:t>
            </w:r>
          </w:p>
        </w:tc>
        <w:tc>
          <w:tcPr>
            <w:tcW w:w="2475"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1.36</w:t>
            </w:r>
          </w:p>
        </w:tc>
        <w:tc>
          <w:tcPr>
            <w:tcW w:w="2463"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1.36</w:t>
            </w:r>
          </w:p>
        </w:tc>
        <w:tc>
          <w:tcPr>
            <w:tcW w:w="3168"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2012906</w:t>
            </w:r>
          </w:p>
        </w:tc>
        <w:tc>
          <w:tcPr>
            <w:tcW w:w="4988"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工会事务</w:t>
            </w:r>
          </w:p>
        </w:tc>
        <w:tc>
          <w:tcPr>
            <w:tcW w:w="2475"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1.36</w:t>
            </w:r>
          </w:p>
        </w:tc>
        <w:tc>
          <w:tcPr>
            <w:tcW w:w="2463"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1.36</w:t>
            </w:r>
          </w:p>
        </w:tc>
        <w:tc>
          <w:tcPr>
            <w:tcW w:w="3168"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205</w:t>
            </w:r>
          </w:p>
        </w:tc>
        <w:tc>
          <w:tcPr>
            <w:tcW w:w="4988"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教育支出</w:t>
            </w:r>
          </w:p>
        </w:tc>
        <w:tc>
          <w:tcPr>
            <w:tcW w:w="2475"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569.25</w:t>
            </w:r>
          </w:p>
        </w:tc>
        <w:tc>
          <w:tcPr>
            <w:tcW w:w="2463"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297.16</w:t>
            </w:r>
          </w:p>
        </w:tc>
        <w:tc>
          <w:tcPr>
            <w:tcW w:w="3168"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272.09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20501</w:t>
            </w:r>
          </w:p>
        </w:tc>
        <w:tc>
          <w:tcPr>
            <w:tcW w:w="4988"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教育管理事务</w:t>
            </w:r>
          </w:p>
        </w:tc>
        <w:tc>
          <w:tcPr>
            <w:tcW w:w="2475"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567.44</w:t>
            </w:r>
          </w:p>
        </w:tc>
        <w:tc>
          <w:tcPr>
            <w:tcW w:w="2463"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295.35</w:t>
            </w:r>
          </w:p>
        </w:tc>
        <w:tc>
          <w:tcPr>
            <w:tcW w:w="3168"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272.09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2050101</w:t>
            </w:r>
          </w:p>
        </w:tc>
        <w:tc>
          <w:tcPr>
            <w:tcW w:w="4988"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行政运行</w:t>
            </w:r>
          </w:p>
        </w:tc>
        <w:tc>
          <w:tcPr>
            <w:tcW w:w="2475"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295.35</w:t>
            </w:r>
          </w:p>
        </w:tc>
        <w:tc>
          <w:tcPr>
            <w:tcW w:w="2463"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295.35</w:t>
            </w:r>
          </w:p>
        </w:tc>
        <w:tc>
          <w:tcPr>
            <w:tcW w:w="3168"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2050102</w:t>
            </w:r>
          </w:p>
        </w:tc>
        <w:tc>
          <w:tcPr>
            <w:tcW w:w="4988"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一般行政管理事务</w:t>
            </w:r>
          </w:p>
        </w:tc>
        <w:tc>
          <w:tcPr>
            <w:tcW w:w="2475"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272.09</w:t>
            </w:r>
          </w:p>
        </w:tc>
        <w:tc>
          <w:tcPr>
            <w:tcW w:w="2463"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3168"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272.09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20502</w:t>
            </w:r>
          </w:p>
        </w:tc>
        <w:tc>
          <w:tcPr>
            <w:tcW w:w="4988"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普通教育</w:t>
            </w:r>
          </w:p>
        </w:tc>
        <w:tc>
          <w:tcPr>
            <w:tcW w:w="2475"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1.81</w:t>
            </w:r>
          </w:p>
        </w:tc>
        <w:tc>
          <w:tcPr>
            <w:tcW w:w="2463"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1.81</w:t>
            </w:r>
          </w:p>
        </w:tc>
        <w:tc>
          <w:tcPr>
            <w:tcW w:w="3168"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2050299</w:t>
            </w:r>
          </w:p>
        </w:tc>
        <w:tc>
          <w:tcPr>
            <w:tcW w:w="4988"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其他普通教育支出</w:t>
            </w:r>
          </w:p>
        </w:tc>
        <w:tc>
          <w:tcPr>
            <w:tcW w:w="2475"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1.81</w:t>
            </w:r>
          </w:p>
        </w:tc>
        <w:tc>
          <w:tcPr>
            <w:tcW w:w="2463"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1.81</w:t>
            </w:r>
          </w:p>
        </w:tc>
        <w:tc>
          <w:tcPr>
            <w:tcW w:w="3168"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w:t>
            </w:r>
          </w:p>
        </w:tc>
        <w:tc>
          <w:tcPr>
            <w:tcW w:w="4988"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社会保障和就业支出</w:t>
            </w:r>
          </w:p>
        </w:tc>
        <w:tc>
          <w:tcPr>
            <w:tcW w:w="2475"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36.50</w:t>
            </w:r>
          </w:p>
        </w:tc>
        <w:tc>
          <w:tcPr>
            <w:tcW w:w="2463"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36.50</w:t>
            </w:r>
          </w:p>
        </w:tc>
        <w:tc>
          <w:tcPr>
            <w:tcW w:w="3168"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w:t>
            </w:r>
          </w:p>
        </w:tc>
        <w:tc>
          <w:tcPr>
            <w:tcW w:w="4988"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行政事业单位养老支出</w:t>
            </w:r>
          </w:p>
        </w:tc>
        <w:tc>
          <w:tcPr>
            <w:tcW w:w="2475"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36.50</w:t>
            </w:r>
          </w:p>
        </w:tc>
        <w:tc>
          <w:tcPr>
            <w:tcW w:w="2463"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36.50</w:t>
            </w:r>
          </w:p>
        </w:tc>
        <w:tc>
          <w:tcPr>
            <w:tcW w:w="3168"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2080501</w:t>
            </w:r>
          </w:p>
        </w:tc>
        <w:tc>
          <w:tcPr>
            <w:tcW w:w="4988"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行政单位离退休</w:t>
            </w:r>
          </w:p>
        </w:tc>
        <w:tc>
          <w:tcPr>
            <w:tcW w:w="2475"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20.59</w:t>
            </w:r>
          </w:p>
        </w:tc>
        <w:tc>
          <w:tcPr>
            <w:tcW w:w="2463"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20.59</w:t>
            </w:r>
          </w:p>
        </w:tc>
        <w:tc>
          <w:tcPr>
            <w:tcW w:w="3168"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2080505</w:t>
            </w:r>
          </w:p>
        </w:tc>
        <w:tc>
          <w:tcPr>
            <w:tcW w:w="4988"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机关事业单位基本养老保险缴费支出</w:t>
            </w:r>
          </w:p>
        </w:tc>
        <w:tc>
          <w:tcPr>
            <w:tcW w:w="2475"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15.91</w:t>
            </w:r>
          </w:p>
        </w:tc>
        <w:tc>
          <w:tcPr>
            <w:tcW w:w="2463"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15.91</w:t>
            </w:r>
          </w:p>
        </w:tc>
        <w:tc>
          <w:tcPr>
            <w:tcW w:w="3168"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w:t>
            </w:r>
          </w:p>
        </w:tc>
        <w:tc>
          <w:tcPr>
            <w:tcW w:w="4988"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卫生健康支出</w:t>
            </w:r>
          </w:p>
        </w:tc>
        <w:tc>
          <w:tcPr>
            <w:tcW w:w="2475"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15.17</w:t>
            </w:r>
          </w:p>
        </w:tc>
        <w:tc>
          <w:tcPr>
            <w:tcW w:w="2463"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15.17</w:t>
            </w:r>
          </w:p>
        </w:tc>
        <w:tc>
          <w:tcPr>
            <w:tcW w:w="3168"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21011</w:t>
            </w:r>
          </w:p>
        </w:tc>
        <w:tc>
          <w:tcPr>
            <w:tcW w:w="4988"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行政事业单位医疗</w:t>
            </w:r>
          </w:p>
        </w:tc>
        <w:tc>
          <w:tcPr>
            <w:tcW w:w="2475"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15.17</w:t>
            </w:r>
          </w:p>
        </w:tc>
        <w:tc>
          <w:tcPr>
            <w:tcW w:w="2463"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15.17</w:t>
            </w:r>
          </w:p>
        </w:tc>
        <w:tc>
          <w:tcPr>
            <w:tcW w:w="3168"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2101101</w:t>
            </w:r>
          </w:p>
        </w:tc>
        <w:tc>
          <w:tcPr>
            <w:tcW w:w="4988"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行政单位医疗</w:t>
            </w:r>
          </w:p>
        </w:tc>
        <w:tc>
          <w:tcPr>
            <w:tcW w:w="2475"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7.77</w:t>
            </w:r>
          </w:p>
        </w:tc>
        <w:tc>
          <w:tcPr>
            <w:tcW w:w="2463"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7.77</w:t>
            </w:r>
          </w:p>
        </w:tc>
        <w:tc>
          <w:tcPr>
            <w:tcW w:w="3168"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2101103</w:t>
            </w:r>
          </w:p>
        </w:tc>
        <w:tc>
          <w:tcPr>
            <w:tcW w:w="4988"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公务员医疗补助</w:t>
            </w:r>
          </w:p>
        </w:tc>
        <w:tc>
          <w:tcPr>
            <w:tcW w:w="2475"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7.40</w:t>
            </w:r>
          </w:p>
        </w:tc>
        <w:tc>
          <w:tcPr>
            <w:tcW w:w="2463"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7.40</w:t>
            </w:r>
          </w:p>
        </w:tc>
        <w:tc>
          <w:tcPr>
            <w:tcW w:w="3168"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081" w:type="dxa"/>
            <w:gridSpan w:val="7"/>
            <w:tcBorders>
              <w:top w:val="nil"/>
              <w:left w:val="nil"/>
              <w:bottom w:val="nil"/>
              <w:right w:val="nil"/>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注：本表反映</w:t>
            </w:r>
            <w:r>
              <w:rPr>
                <w:rFonts w:hint="eastAsia" w:ascii="宋体" w:hAnsi="宋体" w:cs="宋体"/>
                <w:i w:val="0"/>
                <w:iCs w:val="0"/>
                <w:color w:val="auto"/>
                <w:kern w:val="0"/>
                <w:sz w:val="22"/>
                <w:szCs w:val="22"/>
                <w:highlight w:val="none"/>
                <w:u w:val="none"/>
                <w:lang w:val="en-US" w:eastAsia="zh-CN" w:bidi="ar"/>
              </w:rPr>
              <w:t>单位</w:t>
            </w:r>
            <w:r>
              <w:rPr>
                <w:rFonts w:hint="eastAsia" w:ascii="宋体" w:hAnsi="宋体" w:eastAsia="宋体" w:cs="宋体"/>
                <w:i w:val="0"/>
                <w:iCs w:val="0"/>
                <w:color w:val="auto"/>
                <w:kern w:val="0"/>
                <w:sz w:val="22"/>
                <w:szCs w:val="22"/>
                <w:highlight w:val="none"/>
                <w:u w:val="none"/>
                <w:lang w:val="en-US" w:eastAsia="zh-CN" w:bidi="ar"/>
              </w:rPr>
              <w:t>本年度一般公共预算财政拨款支出情况。本套报表金额单位转换时可能存在尾数误差。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503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6"/>
        <w:gridCol w:w="3516"/>
        <w:gridCol w:w="876"/>
        <w:gridCol w:w="766"/>
        <w:gridCol w:w="2416"/>
        <w:gridCol w:w="766"/>
        <w:gridCol w:w="766"/>
        <w:gridCol w:w="4396"/>
        <w:gridCol w:w="7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5034" w:type="dxa"/>
            <w:gridSpan w:val="9"/>
            <w:tcBorders>
              <w:top w:val="nil"/>
              <w:left w:val="nil"/>
              <w:bottom w:val="nil"/>
              <w:right w:val="nil"/>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一般公共预算财政拨款基本支出决算表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eastAsia" w:ascii="Arial" w:hAnsi="Arial" w:eastAsia="宋体" w:cs="Arial"/>
                <w:i w:val="0"/>
                <w:iCs w:val="0"/>
                <w:color w:val="auto"/>
                <w:sz w:val="20"/>
                <w:szCs w:val="20"/>
                <w:highlight w:val="none"/>
                <w:u w:val="none"/>
              </w:rPr>
            </w:pPr>
          </w:p>
        </w:tc>
        <w:tc>
          <w:tcPr>
            <w:tcW w:w="0" w:type="auto"/>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eastAsia="宋体" w:cs="Arial"/>
                <w:i w:val="0"/>
                <w:iCs w:val="0"/>
                <w:color w:val="auto"/>
                <w:sz w:val="20"/>
                <w:szCs w:val="20"/>
                <w:highlight w:val="none"/>
                <w:u w:val="none"/>
              </w:rPr>
            </w:pPr>
          </w:p>
        </w:tc>
        <w:tc>
          <w:tcPr>
            <w:tcW w:w="876" w:type="dxa"/>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eastAsia="宋体" w:cs="Arial"/>
                <w:i w:val="0"/>
                <w:iCs w:val="0"/>
                <w:color w:val="auto"/>
                <w:sz w:val="20"/>
                <w:szCs w:val="20"/>
                <w:highlight w:val="none"/>
                <w:u w:val="none"/>
              </w:rPr>
            </w:pPr>
          </w:p>
        </w:tc>
        <w:tc>
          <w:tcPr>
            <w:tcW w:w="766" w:type="dxa"/>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eastAsia="宋体" w:cs="Arial"/>
                <w:i w:val="0"/>
                <w:iCs w:val="0"/>
                <w:color w:val="auto"/>
                <w:sz w:val="20"/>
                <w:szCs w:val="20"/>
                <w:highlight w:val="none"/>
                <w:u w:val="none"/>
              </w:rPr>
            </w:pPr>
          </w:p>
        </w:tc>
        <w:tc>
          <w:tcPr>
            <w:tcW w:w="0" w:type="auto"/>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eastAsia="宋体" w:cs="Arial"/>
                <w:i w:val="0"/>
                <w:iCs w:val="0"/>
                <w:color w:val="auto"/>
                <w:sz w:val="20"/>
                <w:szCs w:val="20"/>
                <w:highlight w:val="none"/>
                <w:u w:val="none"/>
              </w:rPr>
            </w:pPr>
          </w:p>
        </w:tc>
        <w:tc>
          <w:tcPr>
            <w:tcW w:w="0" w:type="auto"/>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eastAsia="宋体" w:cs="Arial"/>
                <w:i w:val="0"/>
                <w:iCs w:val="0"/>
                <w:color w:val="auto"/>
                <w:sz w:val="20"/>
                <w:szCs w:val="20"/>
                <w:highlight w:val="none"/>
                <w:u w:val="none"/>
              </w:rPr>
            </w:pPr>
          </w:p>
        </w:tc>
        <w:tc>
          <w:tcPr>
            <w:tcW w:w="0" w:type="auto"/>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eastAsia="宋体" w:cs="Arial"/>
                <w:i w:val="0"/>
                <w:iCs w:val="0"/>
                <w:color w:val="auto"/>
                <w:sz w:val="20"/>
                <w:szCs w:val="20"/>
                <w:highlight w:val="none"/>
                <w:u w:val="none"/>
              </w:rPr>
            </w:pPr>
          </w:p>
        </w:tc>
        <w:tc>
          <w:tcPr>
            <w:tcW w:w="0" w:type="auto"/>
            <w:gridSpan w:val="2"/>
            <w:tcBorders>
              <w:top w:val="nil"/>
              <w:left w:val="nil"/>
              <w:bottom w:val="nil"/>
              <w:right w:val="nil"/>
            </w:tcBorders>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158" w:type="dxa"/>
            <w:gridSpan w:val="3"/>
            <w:tcBorders>
              <w:top w:val="nil"/>
              <w:left w:val="nil"/>
              <w:bottom w:val="nil"/>
              <w:right w:val="nil"/>
            </w:tcBorders>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单位</w:t>
            </w:r>
            <w:r>
              <w:rPr>
                <w:rFonts w:hint="eastAsia" w:ascii="宋体" w:hAnsi="宋体" w:eastAsia="宋体" w:cs="宋体"/>
                <w:i w:val="0"/>
                <w:iCs w:val="0"/>
                <w:color w:val="auto"/>
                <w:kern w:val="0"/>
                <w:sz w:val="20"/>
                <w:szCs w:val="20"/>
                <w:highlight w:val="none"/>
                <w:u w:val="none"/>
                <w:lang w:val="en-US" w:eastAsia="zh-CN" w:bidi="ar"/>
              </w:rPr>
              <w:t>：许昌市招生考试中心</w:t>
            </w:r>
          </w:p>
        </w:tc>
        <w:tc>
          <w:tcPr>
            <w:tcW w:w="766" w:type="dxa"/>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eastAsia="宋体" w:cs="Arial"/>
                <w:i w:val="0"/>
                <w:iCs w:val="0"/>
                <w:color w:val="auto"/>
                <w:sz w:val="20"/>
                <w:szCs w:val="20"/>
                <w:highlight w:val="none"/>
                <w:u w:val="none"/>
              </w:rPr>
            </w:pPr>
          </w:p>
        </w:tc>
        <w:tc>
          <w:tcPr>
            <w:tcW w:w="0" w:type="auto"/>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eastAsia="宋体" w:cs="Arial"/>
                <w:i w:val="0"/>
                <w:iCs w:val="0"/>
                <w:color w:val="auto"/>
                <w:sz w:val="20"/>
                <w:szCs w:val="20"/>
                <w:highlight w:val="none"/>
                <w:u w:val="none"/>
              </w:rPr>
            </w:pPr>
          </w:p>
        </w:tc>
        <w:tc>
          <w:tcPr>
            <w:tcW w:w="0" w:type="auto"/>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eastAsia="宋体" w:cs="Arial"/>
                <w:i w:val="0"/>
                <w:iCs w:val="0"/>
                <w:color w:val="auto"/>
                <w:sz w:val="20"/>
                <w:szCs w:val="20"/>
                <w:highlight w:val="none"/>
                <w:u w:val="none"/>
              </w:rPr>
            </w:pPr>
          </w:p>
        </w:tc>
        <w:tc>
          <w:tcPr>
            <w:tcW w:w="0" w:type="auto"/>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eastAsia="宋体" w:cs="Arial"/>
                <w:i w:val="0"/>
                <w:iCs w:val="0"/>
                <w:color w:val="auto"/>
                <w:sz w:val="20"/>
                <w:szCs w:val="20"/>
                <w:highlight w:val="none"/>
                <w:u w:val="none"/>
              </w:rPr>
            </w:pPr>
          </w:p>
        </w:tc>
        <w:tc>
          <w:tcPr>
            <w:tcW w:w="0" w:type="auto"/>
            <w:gridSpan w:val="2"/>
            <w:tcBorders>
              <w:top w:val="nil"/>
              <w:left w:val="nil"/>
              <w:bottom w:val="nil"/>
              <w:right w:val="nil"/>
            </w:tcBorders>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158"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人员经费</w:t>
            </w:r>
          </w:p>
        </w:tc>
        <w:tc>
          <w:tcPr>
            <w:tcW w:w="9876" w:type="dxa"/>
            <w:gridSpan w:val="6"/>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科目编码</w:t>
            </w:r>
          </w:p>
        </w:tc>
        <w:tc>
          <w:tcPr>
            <w:tcW w:w="351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科目名称</w:t>
            </w:r>
          </w:p>
        </w:tc>
        <w:tc>
          <w:tcPr>
            <w:tcW w:w="87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决算数</w:t>
            </w:r>
          </w:p>
        </w:tc>
        <w:tc>
          <w:tcPr>
            <w:tcW w:w="76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科目编码</w:t>
            </w:r>
          </w:p>
        </w:tc>
        <w:tc>
          <w:tcPr>
            <w:tcW w:w="241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科目名称</w:t>
            </w:r>
          </w:p>
        </w:tc>
        <w:tc>
          <w:tcPr>
            <w:tcW w:w="76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决算数</w:t>
            </w:r>
          </w:p>
        </w:tc>
        <w:tc>
          <w:tcPr>
            <w:tcW w:w="76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科目编码</w:t>
            </w:r>
          </w:p>
        </w:tc>
        <w:tc>
          <w:tcPr>
            <w:tcW w:w="439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科目名称</w:t>
            </w:r>
          </w:p>
        </w:tc>
        <w:tc>
          <w:tcPr>
            <w:tcW w:w="76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vMerge w:val="continue"/>
            <w:tcBorders>
              <w:top w:val="nil"/>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3516" w:type="dxa"/>
            <w:vMerge w:val="continue"/>
            <w:tcBorders>
              <w:top w:val="nil"/>
              <w:left w:val="nil"/>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876" w:type="dxa"/>
            <w:vMerge w:val="continue"/>
            <w:tcBorders>
              <w:top w:val="nil"/>
              <w:left w:val="nil"/>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766" w:type="dxa"/>
            <w:vMerge w:val="continue"/>
            <w:tcBorders>
              <w:top w:val="nil"/>
              <w:left w:val="nil"/>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416" w:type="dxa"/>
            <w:vMerge w:val="continue"/>
            <w:tcBorders>
              <w:top w:val="nil"/>
              <w:left w:val="nil"/>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766" w:type="dxa"/>
            <w:vMerge w:val="continue"/>
            <w:tcBorders>
              <w:top w:val="nil"/>
              <w:left w:val="nil"/>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766" w:type="dxa"/>
            <w:vMerge w:val="continue"/>
            <w:tcBorders>
              <w:top w:val="nil"/>
              <w:left w:val="nil"/>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4396" w:type="dxa"/>
            <w:vMerge w:val="continue"/>
            <w:tcBorders>
              <w:top w:val="nil"/>
              <w:left w:val="nil"/>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766" w:type="dxa"/>
            <w:vMerge w:val="continue"/>
            <w:tcBorders>
              <w:top w:val="nil"/>
              <w:left w:val="nil"/>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工资福利支出</w:t>
            </w: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254.70</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商品和服务支出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71.96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债务利息及费用支出</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基本工资</w:t>
            </w: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64.91</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办公费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30701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国内债务付息</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津贴补贴</w:t>
            </w: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41.69</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印刷费</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30702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国外债务付息</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奖金</w:t>
            </w: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103.95</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咨询费</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资本性支出</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伙食补助费</w:t>
            </w:r>
          </w:p>
        </w:tc>
        <w:tc>
          <w:tcPr>
            <w:tcW w:w="876"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手续费</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房屋建筑物购建</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30107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绩效工资</w:t>
            </w:r>
          </w:p>
        </w:tc>
        <w:tc>
          <w:tcPr>
            <w:tcW w:w="876"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水费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办公设备购置</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机关事业单位基本养老保险缴费</w:t>
            </w: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15.91</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电费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专用设备购置</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30109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职业年金缴费</w:t>
            </w:r>
          </w:p>
        </w:tc>
        <w:tc>
          <w:tcPr>
            <w:tcW w:w="876"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邮电费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0.26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基础设施建设</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职工基本医疗保险缴费</w:t>
            </w: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7.77</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取暖费</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大型修缮</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30111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公务员医疗补助缴费</w:t>
            </w: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7.40</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物业管理费</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31007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信息网络及软件购置更新</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30112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其他社会保障缴费</w:t>
            </w: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0.14</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差旅费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0.80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物资储备</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30113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住房公积金</w:t>
            </w: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12.93</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因公出国（境）费用</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31009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土地补偿</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30114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医疗费</w:t>
            </w:r>
          </w:p>
        </w:tc>
        <w:tc>
          <w:tcPr>
            <w:tcW w:w="876"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维修（护）费</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安置补助</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其他工资福利支出</w:t>
            </w:r>
          </w:p>
        </w:tc>
        <w:tc>
          <w:tcPr>
            <w:tcW w:w="876"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租赁费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32.00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31011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地上附着物和青苗补偿</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对个人和家庭的补助</w:t>
            </w: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23.54</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会议费</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31012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拆迁补偿</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离休费</w:t>
            </w:r>
          </w:p>
        </w:tc>
        <w:tc>
          <w:tcPr>
            <w:tcW w:w="876"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培训费</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31013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公务用车购置</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退休费</w:t>
            </w: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23.54</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公务接待费</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31019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其他交通工具购置</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退职（役）费</w:t>
            </w:r>
          </w:p>
        </w:tc>
        <w:tc>
          <w:tcPr>
            <w:tcW w:w="876"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专用材料费</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31021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文物和陈列品购置</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抚恤金</w:t>
            </w:r>
          </w:p>
        </w:tc>
        <w:tc>
          <w:tcPr>
            <w:tcW w:w="876"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30224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被装购置费</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31022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无形资产购置</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生活补助</w:t>
            </w:r>
          </w:p>
        </w:tc>
        <w:tc>
          <w:tcPr>
            <w:tcW w:w="876"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30225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专用燃料费</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其他资本性支出</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救济费</w:t>
            </w:r>
          </w:p>
        </w:tc>
        <w:tc>
          <w:tcPr>
            <w:tcW w:w="876"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30226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劳务费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22.70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其他支出</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医疗费补助</w:t>
            </w:r>
          </w:p>
        </w:tc>
        <w:tc>
          <w:tcPr>
            <w:tcW w:w="876"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30227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委托业务费</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39906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赠与</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助学金</w:t>
            </w:r>
          </w:p>
        </w:tc>
        <w:tc>
          <w:tcPr>
            <w:tcW w:w="876"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30228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工会经费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39907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国家赔偿费用支出</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奖励金</w:t>
            </w:r>
          </w:p>
        </w:tc>
        <w:tc>
          <w:tcPr>
            <w:tcW w:w="876"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福利费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39908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对民间非营利组织和群众性自治组织补贴</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个人农业生产补贴</w:t>
            </w:r>
          </w:p>
        </w:tc>
        <w:tc>
          <w:tcPr>
            <w:tcW w:w="876"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30231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公务用车运行维护费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6.83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39999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其他支出</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30311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代缴社会保险费</w:t>
            </w:r>
          </w:p>
        </w:tc>
        <w:tc>
          <w:tcPr>
            <w:tcW w:w="876"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30239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其他交通费用</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其他对个人和家庭的补助</w:t>
            </w:r>
          </w:p>
        </w:tc>
        <w:tc>
          <w:tcPr>
            <w:tcW w:w="876"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30240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税金及附加费用</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876"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其他商品和服务支出</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人员经费合计</w:t>
            </w: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278.24</w:t>
            </w:r>
          </w:p>
        </w:tc>
        <w:tc>
          <w:tcPr>
            <w:tcW w:w="9110" w:type="dxa"/>
            <w:gridSpan w:val="5"/>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公用经费合计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71.96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9"/>
            <w:tcBorders>
              <w:top w:val="nil"/>
              <w:left w:val="nil"/>
              <w:bottom w:val="nil"/>
              <w:right w:val="nil"/>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注：本表反映</w:t>
            </w:r>
            <w:r>
              <w:rPr>
                <w:rFonts w:hint="eastAsia" w:ascii="宋体" w:hAnsi="宋体" w:cs="宋体"/>
                <w:i w:val="0"/>
                <w:iCs w:val="0"/>
                <w:color w:val="auto"/>
                <w:kern w:val="0"/>
                <w:sz w:val="22"/>
                <w:szCs w:val="22"/>
                <w:highlight w:val="none"/>
                <w:u w:val="none"/>
                <w:lang w:val="en-US" w:eastAsia="zh-CN" w:bidi="ar"/>
              </w:rPr>
              <w:t>单位</w:t>
            </w:r>
            <w:r>
              <w:rPr>
                <w:rFonts w:hint="eastAsia" w:ascii="宋体" w:hAnsi="宋体" w:eastAsia="宋体" w:cs="宋体"/>
                <w:i w:val="0"/>
                <w:iCs w:val="0"/>
                <w:color w:val="auto"/>
                <w:kern w:val="0"/>
                <w:sz w:val="22"/>
                <w:szCs w:val="22"/>
                <w:highlight w:val="none"/>
                <w:u w:val="none"/>
                <w:lang w:val="en-US" w:eastAsia="zh-CN" w:bidi="ar"/>
              </w:rPr>
              <w:t>本年度一般公共预算财政拨款基本支出明细情况。本表金额转换为万元时，因四舍五入可能存在尾差。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7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85"/>
        <w:gridCol w:w="1245"/>
        <w:gridCol w:w="780"/>
        <w:gridCol w:w="1200"/>
        <w:gridCol w:w="1275"/>
        <w:gridCol w:w="906"/>
        <w:gridCol w:w="759"/>
        <w:gridCol w:w="1185"/>
        <w:gridCol w:w="795"/>
        <w:gridCol w:w="1486"/>
        <w:gridCol w:w="1475"/>
        <w:gridCol w:w="17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3766" w:type="dxa"/>
            <w:gridSpan w:val="12"/>
            <w:tcBorders>
              <w:top w:val="nil"/>
              <w:left w:val="nil"/>
              <w:bottom w:val="nil"/>
              <w:right w:val="nil"/>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sz w:val="44"/>
                <w:szCs w:val="44"/>
                <w:highlight w:val="none"/>
                <w:u w:val="none"/>
              </w:rPr>
            </w:pPr>
            <w:r>
              <w:rPr>
                <w:rFonts w:hint="eastAsia" w:ascii="宋体" w:hAnsi="宋体" w:eastAsia="宋体" w:cs="宋体"/>
                <w:i w:val="0"/>
                <w:iCs w:val="0"/>
                <w:color w:val="auto"/>
                <w:kern w:val="0"/>
                <w:sz w:val="30"/>
                <w:szCs w:val="30"/>
                <w:highlight w:val="none"/>
                <w:u w:val="none"/>
                <w:lang w:val="en-US" w:eastAsia="zh-CN" w:bidi="ar"/>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885" w:type="dxa"/>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eastAsia" w:ascii="Arial" w:hAnsi="Arial" w:eastAsia="宋体" w:cs="Arial"/>
                <w:i w:val="0"/>
                <w:iCs w:val="0"/>
                <w:color w:val="auto"/>
                <w:sz w:val="20"/>
                <w:szCs w:val="20"/>
                <w:highlight w:val="none"/>
                <w:u w:val="none"/>
              </w:rPr>
            </w:pPr>
          </w:p>
        </w:tc>
        <w:tc>
          <w:tcPr>
            <w:tcW w:w="1245" w:type="dxa"/>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eastAsia="宋体" w:cs="Arial"/>
                <w:i w:val="0"/>
                <w:iCs w:val="0"/>
                <w:color w:val="auto"/>
                <w:sz w:val="20"/>
                <w:szCs w:val="20"/>
                <w:highlight w:val="none"/>
                <w:u w:val="none"/>
              </w:rPr>
            </w:pPr>
          </w:p>
        </w:tc>
        <w:tc>
          <w:tcPr>
            <w:tcW w:w="780" w:type="dxa"/>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eastAsia="宋体" w:cs="Arial"/>
                <w:i w:val="0"/>
                <w:iCs w:val="0"/>
                <w:color w:val="auto"/>
                <w:sz w:val="20"/>
                <w:szCs w:val="20"/>
                <w:highlight w:val="none"/>
                <w:u w:val="none"/>
              </w:rPr>
            </w:pPr>
          </w:p>
        </w:tc>
        <w:tc>
          <w:tcPr>
            <w:tcW w:w="1200" w:type="dxa"/>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eastAsia="宋体" w:cs="Arial"/>
                <w:i w:val="0"/>
                <w:iCs w:val="0"/>
                <w:color w:val="auto"/>
                <w:sz w:val="20"/>
                <w:szCs w:val="20"/>
                <w:highlight w:val="none"/>
                <w:u w:val="none"/>
              </w:rPr>
            </w:pPr>
          </w:p>
        </w:tc>
        <w:tc>
          <w:tcPr>
            <w:tcW w:w="1275" w:type="dxa"/>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eastAsia="宋体" w:cs="Arial"/>
                <w:i w:val="0"/>
                <w:iCs w:val="0"/>
                <w:color w:val="auto"/>
                <w:sz w:val="20"/>
                <w:szCs w:val="20"/>
                <w:highlight w:val="none"/>
                <w:u w:val="none"/>
              </w:rPr>
            </w:pPr>
          </w:p>
        </w:tc>
        <w:tc>
          <w:tcPr>
            <w:tcW w:w="906" w:type="dxa"/>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eastAsia="宋体" w:cs="Arial"/>
                <w:i w:val="0"/>
                <w:iCs w:val="0"/>
                <w:color w:val="auto"/>
                <w:sz w:val="20"/>
                <w:szCs w:val="20"/>
                <w:highlight w:val="none"/>
                <w:u w:val="none"/>
              </w:rPr>
            </w:pPr>
          </w:p>
        </w:tc>
        <w:tc>
          <w:tcPr>
            <w:tcW w:w="759" w:type="dxa"/>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eastAsia="宋体" w:cs="Arial"/>
                <w:i w:val="0"/>
                <w:iCs w:val="0"/>
                <w:color w:val="auto"/>
                <w:sz w:val="20"/>
                <w:szCs w:val="20"/>
                <w:highlight w:val="none"/>
                <w:u w:val="none"/>
              </w:rPr>
            </w:pPr>
          </w:p>
        </w:tc>
        <w:tc>
          <w:tcPr>
            <w:tcW w:w="1185" w:type="dxa"/>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eastAsia="宋体" w:cs="Arial"/>
                <w:i w:val="0"/>
                <w:iCs w:val="0"/>
                <w:color w:val="auto"/>
                <w:sz w:val="20"/>
                <w:szCs w:val="20"/>
                <w:highlight w:val="none"/>
                <w:u w:val="none"/>
              </w:rPr>
            </w:pPr>
          </w:p>
        </w:tc>
        <w:tc>
          <w:tcPr>
            <w:tcW w:w="795" w:type="dxa"/>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eastAsia="宋体" w:cs="Arial"/>
                <w:i w:val="0"/>
                <w:iCs w:val="0"/>
                <w:color w:val="auto"/>
                <w:sz w:val="20"/>
                <w:szCs w:val="20"/>
                <w:highlight w:val="none"/>
                <w:u w:val="none"/>
              </w:rPr>
            </w:pPr>
          </w:p>
        </w:tc>
        <w:tc>
          <w:tcPr>
            <w:tcW w:w="4736" w:type="dxa"/>
            <w:gridSpan w:val="3"/>
            <w:tcBorders>
              <w:top w:val="nil"/>
              <w:left w:val="nil"/>
              <w:bottom w:val="nil"/>
              <w:right w:val="nil"/>
            </w:tcBorders>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110" w:type="dxa"/>
            <w:gridSpan w:val="4"/>
            <w:tcBorders>
              <w:top w:val="nil"/>
              <w:left w:val="nil"/>
              <w:bottom w:val="nil"/>
              <w:right w:val="nil"/>
            </w:tcBorders>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单位</w:t>
            </w:r>
            <w:r>
              <w:rPr>
                <w:rFonts w:hint="eastAsia" w:ascii="宋体" w:hAnsi="宋体" w:eastAsia="宋体" w:cs="宋体"/>
                <w:i w:val="0"/>
                <w:iCs w:val="0"/>
                <w:color w:val="auto"/>
                <w:kern w:val="0"/>
                <w:sz w:val="20"/>
                <w:szCs w:val="20"/>
                <w:highlight w:val="none"/>
                <w:u w:val="none"/>
                <w:lang w:val="en-US" w:eastAsia="zh-CN" w:bidi="ar"/>
              </w:rPr>
              <w:t>：许昌市招生考试中心</w:t>
            </w:r>
          </w:p>
        </w:tc>
        <w:tc>
          <w:tcPr>
            <w:tcW w:w="1275" w:type="dxa"/>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eastAsia="宋体" w:cs="Arial"/>
                <w:i w:val="0"/>
                <w:iCs w:val="0"/>
                <w:color w:val="auto"/>
                <w:sz w:val="20"/>
                <w:szCs w:val="20"/>
                <w:highlight w:val="none"/>
                <w:u w:val="none"/>
              </w:rPr>
            </w:pPr>
          </w:p>
        </w:tc>
        <w:tc>
          <w:tcPr>
            <w:tcW w:w="906" w:type="dxa"/>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eastAsia="宋体" w:cs="Arial"/>
                <w:i w:val="0"/>
                <w:iCs w:val="0"/>
                <w:color w:val="auto"/>
                <w:sz w:val="20"/>
                <w:szCs w:val="20"/>
                <w:highlight w:val="none"/>
                <w:u w:val="none"/>
              </w:rPr>
            </w:pPr>
          </w:p>
        </w:tc>
        <w:tc>
          <w:tcPr>
            <w:tcW w:w="759" w:type="dxa"/>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eastAsia="宋体" w:cs="Arial"/>
                <w:i w:val="0"/>
                <w:iCs w:val="0"/>
                <w:color w:val="auto"/>
                <w:sz w:val="20"/>
                <w:szCs w:val="20"/>
                <w:highlight w:val="none"/>
                <w:u w:val="none"/>
              </w:rPr>
            </w:pPr>
          </w:p>
        </w:tc>
        <w:tc>
          <w:tcPr>
            <w:tcW w:w="1185" w:type="dxa"/>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eastAsia="宋体" w:cs="Arial"/>
                <w:i w:val="0"/>
                <w:iCs w:val="0"/>
                <w:color w:val="auto"/>
                <w:sz w:val="20"/>
                <w:szCs w:val="20"/>
                <w:highlight w:val="none"/>
                <w:u w:val="none"/>
              </w:rPr>
            </w:pPr>
          </w:p>
        </w:tc>
        <w:tc>
          <w:tcPr>
            <w:tcW w:w="795" w:type="dxa"/>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eastAsia="宋体" w:cs="Arial"/>
                <w:i w:val="0"/>
                <w:iCs w:val="0"/>
                <w:color w:val="auto"/>
                <w:sz w:val="20"/>
                <w:szCs w:val="20"/>
                <w:highlight w:val="none"/>
                <w:u w:val="none"/>
              </w:rPr>
            </w:pPr>
          </w:p>
        </w:tc>
        <w:tc>
          <w:tcPr>
            <w:tcW w:w="4736" w:type="dxa"/>
            <w:gridSpan w:val="3"/>
            <w:tcBorders>
              <w:top w:val="nil"/>
              <w:left w:val="nil"/>
              <w:bottom w:val="nil"/>
              <w:right w:val="nil"/>
            </w:tcBorders>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291"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预算数</w:t>
            </w:r>
          </w:p>
        </w:tc>
        <w:tc>
          <w:tcPr>
            <w:tcW w:w="7475" w:type="dxa"/>
            <w:gridSpan w:val="6"/>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85"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合计</w:t>
            </w:r>
          </w:p>
        </w:tc>
        <w:tc>
          <w:tcPr>
            <w:tcW w:w="124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因公出国（境）费</w:t>
            </w:r>
          </w:p>
        </w:tc>
        <w:tc>
          <w:tcPr>
            <w:tcW w:w="3255" w:type="dxa"/>
            <w:gridSpan w:val="3"/>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公务用车购置及运行费</w:t>
            </w:r>
          </w:p>
        </w:tc>
        <w:tc>
          <w:tcPr>
            <w:tcW w:w="90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公务接待费</w:t>
            </w:r>
          </w:p>
        </w:tc>
        <w:tc>
          <w:tcPr>
            <w:tcW w:w="759"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合计</w:t>
            </w:r>
          </w:p>
        </w:tc>
        <w:tc>
          <w:tcPr>
            <w:tcW w:w="118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因公出国（境）费</w:t>
            </w:r>
          </w:p>
        </w:tc>
        <w:tc>
          <w:tcPr>
            <w:tcW w:w="3756" w:type="dxa"/>
            <w:gridSpan w:val="3"/>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公务用车购置及运行费</w:t>
            </w:r>
          </w:p>
        </w:tc>
        <w:tc>
          <w:tcPr>
            <w:tcW w:w="177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885" w:type="dxa"/>
            <w:vMerge w:val="continue"/>
            <w:tcBorders>
              <w:top w:val="nil"/>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245" w:type="dxa"/>
            <w:vMerge w:val="continue"/>
            <w:tcBorders>
              <w:top w:val="nil"/>
              <w:left w:val="nil"/>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780"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小计</w:t>
            </w:r>
          </w:p>
        </w:tc>
        <w:tc>
          <w:tcPr>
            <w:tcW w:w="1200"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公务用车购置费</w:t>
            </w:r>
          </w:p>
        </w:tc>
        <w:tc>
          <w:tcPr>
            <w:tcW w:w="1275"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公务用车运行费</w:t>
            </w:r>
          </w:p>
        </w:tc>
        <w:tc>
          <w:tcPr>
            <w:tcW w:w="906" w:type="dxa"/>
            <w:vMerge w:val="continue"/>
            <w:tcBorders>
              <w:top w:val="nil"/>
              <w:left w:val="nil"/>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759" w:type="dxa"/>
            <w:vMerge w:val="continue"/>
            <w:tcBorders>
              <w:top w:val="nil"/>
              <w:left w:val="nil"/>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185" w:type="dxa"/>
            <w:vMerge w:val="continue"/>
            <w:tcBorders>
              <w:top w:val="nil"/>
              <w:left w:val="nil"/>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795"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小计</w:t>
            </w:r>
          </w:p>
        </w:tc>
        <w:tc>
          <w:tcPr>
            <w:tcW w:w="1486"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公务用车购置费</w:t>
            </w:r>
          </w:p>
        </w:tc>
        <w:tc>
          <w:tcPr>
            <w:tcW w:w="1475"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公务用车运行费</w:t>
            </w:r>
          </w:p>
        </w:tc>
        <w:tc>
          <w:tcPr>
            <w:tcW w:w="1775" w:type="dxa"/>
            <w:vMerge w:val="continue"/>
            <w:tcBorders>
              <w:top w:val="nil"/>
              <w:left w:val="nil"/>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85"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245"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780"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200"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275"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906"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759"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1185"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795"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1486"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1475"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w:t>
            </w:r>
          </w:p>
        </w:tc>
        <w:tc>
          <w:tcPr>
            <w:tcW w:w="1775"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85"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7.00</w:t>
            </w:r>
          </w:p>
        </w:tc>
        <w:tc>
          <w:tcPr>
            <w:tcW w:w="1245"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780"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7.00</w:t>
            </w:r>
          </w:p>
        </w:tc>
        <w:tc>
          <w:tcPr>
            <w:tcW w:w="1200"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1275"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7.00</w:t>
            </w:r>
          </w:p>
        </w:tc>
        <w:tc>
          <w:tcPr>
            <w:tcW w:w="906"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759"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6.83</w:t>
            </w:r>
          </w:p>
        </w:tc>
        <w:tc>
          <w:tcPr>
            <w:tcW w:w="1185"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6.83</w:t>
            </w:r>
          </w:p>
        </w:tc>
        <w:tc>
          <w:tcPr>
            <w:tcW w:w="1486"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1475"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6.83</w:t>
            </w:r>
          </w:p>
        </w:tc>
        <w:tc>
          <w:tcPr>
            <w:tcW w:w="1775"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766" w:type="dxa"/>
            <w:gridSpan w:val="12"/>
            <w:tcBorders>
              <w:top w:val="nil"/>
              <w:left w:val="nil"/>
              <w:bottom w:val="nil"/>
              <w:right w:val="nil"/>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注：本表反映</w:t>
            </w:r>
            <w:r>
              <w:rPr>
                <w:rFonts w:hint="eastAsia" w:ascii="宋体" w:hAnsi="宋体" w:cs="宋体"/>
                <w:i w:val="0"/>
                <w:iCs w:val="0"/>
                <w:color w:val="auto"/>
                <w:kern w:val="0"/>
                <w:sz w:val="22"/>
                <w:szCs w:val="22"/>
                <w:highlight w:val="none"/>
                <w:u w:val="none"/>
                <w:lang w:val="en-US" w:eastAsia="zh-CN" w:bidi="ar"/>
              </w:rPr>
              <w:t>单位</w:t>
            </w:r>
            <w:r>
              <w:rPr>
                <w:rFonts w:hint="eastAsia" w:ascii="宋体" w:hAnsi="宋体" w:eastAsia="宋体" w:cs="宋体"/>
                <w:i w:val="0"/>
                <w:iCs w:val="0"/>
                <w:color w:val="auto"/>
                <w:kern w:val="0"/>
                <w:sz w:val="22"/>
                <w:szCs w:val="22"/>
                <w:highlight w:val="none"/>
                <w:u w:val="none"/>
                <w:lang w:val="en-US" w:eastAsia="zh-CN" w:bidi="ar"/>
              </w:rPr>
              <w:t>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2098" w:right="1474" w:bottom="1984" w:left="1587" w:header="720" w:footer="720" w:gutter="0"/>
          <w:pgNumType w:fmt="numberInDash"/>
          <w:cols w:space="720" w:num="1"/>
          <w:docGrid w:type="lines" w:linePitch="312" w:charSpace="0"/>
        </w:sectPr>
      </w:pPr>
    </w:p>
    <w:tbl>
      <w:tblPr>
        <w:tblStyle w:val="5"/>
        <w:tblW w:w="1393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79"/>
        <w:gridCol w:w="279"/>
        <w:gridCol w:w="1228"/>
        <w:gridCol w:w="3023"/>
        <w:gridCol w:w="1326"/>
        <w:gridCol w:w="1181"/>
        <w:gridCol w:w="1151"/>
        <w:gridCol w:w="1218"/>
        <w:gridCol w:w="1218"/>
        <w:gridCol w:w="30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938" w:type="dxa"/>
            <w:gridSpan w:val="10"/>
            <w:tcBorders>
              <w:top w:val="nil"/>
              <w:left w:val="nil"/>
              <w:bottom w:val="nil"/>
              <w:right w:val="nil"/>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eastAsia" w:ascii="Arial" w:hAnsi="Arial" w:eastAsia="宋体" w:cs="Arial"/>
                <w:i w:val="0"/>
                <w:iCs w:val="0"/>
                <w:color w:val="auto"/>
                <w:sz w:val="20"/>
                <w:szCs w:val="20"/>
                <w:highlight w:val="none"/>
                <w:u w:val="none"/>
              </w:rPr>
            </w:pPr>
          </w:p>
        </w:tc>
        <w:tc>
          <w:tcPr>
            <w:tcW w:w="0" w:type="auto"/>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eastAsia="宋体" w:cs="Arial"/>
                <w:i w:val="0"/>
                <w:iCs w:val="0"/>
                <w:color w:val="auto"/>
                <w:sz w:val="20"/>
                <w:szCs w:val="20"/>
                <w:highlight w:val="none"/>
                <w:u w:val="none"/>
              </w:rPr>
            </w:pPr>
          </w:p>
        </w:tc>
        <w:tc>
          <w:tcPr>
            <w:tcW w:w="976" w:type="dxa"/>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eastAsia="宋体" w:cs="Arial"/>
                <w:i w:val="0"/>
                <w:iCs w:val="0"/>
                <w:color w:val="auto"/>
                <w:sz w:val="20"/>
                <w:szCs w:val="20"/>
                <w:highlight w:val="none"/>
                <w:u w:val="none"/>
              </w:rPr>
            </w:pPr>
          </w:p>
        </w:tc>
        <w:tc>
          <w:tcPr>
            <w:tcW w:w="2403" w:type="dxa"/>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eastAsia="宋体" w:cs="Arial"/>
                <w:i w:val="0"/>
                <w:iCs w:val="0"/>
                <w:color w:val="auto"/>
                <w:sz w:val="20"/>
                <w:szCs w:val="20"/>
                <w:highlight w:val="none"/>
                <w:u w:val="none"/>
              </w:rPr>
            </w:pPr>
          </w:p>
        </w:tc>
        <w:tc>
          <w:tcPr>
            <w:tcW w:w="0" w:type="auto"/>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eastAsia="宋体" w:cs="Arial"/>
                <w:i w:val="0"/>
                <w:iCs w:val="0"/>
                <w:color w:val="auto"/>
                <w:sz w:val="20"/>
                <w:szCs w:val="20"/>
                <w:highlight w:val="none"/>
                <w:u w:val="none"/>
              </w:rPr>
            </w:pPr>
          </w:p>
        </w:tc>
        <w:tc>
          <w:tcPr>
            <w:tcW w:w="0" w:type="auto"/>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eastAsia="宋体" w:cs="Arial"/>
                <w:i w:val="0"/>
                <w:iCs w:val="0"/>
                <w:color w:val="auto"/>
                <w:sz w:val="20"/>
                <w:szCs w:val="20"/>
                <w:highlight w:val="none"/>
                <w:u w:val="none"/>
              </w:rPr>
            </w:pPr>
          </w:p>
        </w:tc>
        <w:tc>
          <w:tcPr>
            <w:tcW w:w="0" w:type="auto"/>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eastAsia="宋体" w:cs="Arial"/>
                <w:i w:val="0"/>
                <w:iCs w:val="0"/>
                <w:color w:val="auto"/>
                <w:sz w:val="20"/>
                <w:szCs w:val="20"/>
                <w:highlight w:val="none"/>
                <w:u w:val="none"/>
              </w:rPr>
            </w:pPr>
          </w:p>
        </w:tc>
        <w:tc>
          <w:tcPr>
            <w:tcW w:w="5411" w:type="dxa"/>
            <w:gridSpan w:val="3"/>
            <w:tcBorders>
              <w:top w:val="nil"/>
              <w:left w:val="nil"/>
              <w:bottom w:val="nil"/>
              <w:right w:val="nil"/>
            </w:tcBorders>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5"/>
            <w:tcBorders>
              <w:top w:val="nil"/>
              <w:left w:val="nil"/>
              <w:bottom w:val="nil"/>
              <w:right w:val="nil"/>
            </w:tcBorders>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单位</w:t>
            </w:r>
            <w:r>
              <w:rPr>
                <w:rFonts w:hint="eastAsia" w:ascii="宋体" w:hAnsi="宋体" w:eastAsia="宋体" w:cs="宋体"/>
                <w:i w:val="0"/>
                <w:iCs w:val="0"/>
                <w:color w:val="auto"/>
                <w:kern w:val="0"/>
                <w:sz w:val="20"/>
                <w:szCs w:val="20"/>
                <w:highlight w:val="none"/>
                <w:u w:val="none"/>
                <w:lang w:val="en-US" w:eastAsia="zh-CN" w:bidi="ar"/>
              </w:rPr>
              <w:t>：许昌市招生考试中心</w:t>
            </w:r>
          </w:p>
        </w:tc>
        <w:tc>
          <w:tcPr>
            <w:tcW w:w="0" w:type="auto"/>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eastAsia="宋体" w:cs="Arial"/>
                <w:i w:val="0"/>
                <w:iCs w:val="0"/>
                <w:color w:val="auto"/>
                <w:sz w:val="20"/>
                <w:szCs w:val="20"/>
                <w:highlight w:val="none"/>
                <w:u w:val="none"/>
              </w:rPr>
            </w:pPr>
          </w:p>
        </w:tc>
        <w:tc>
          <w:tcPr>
            <w:tcW w:w="0" w:type="auto"/>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eastAsia="宋体" w:cs="Arial"/>
                <w:i w:val="0"/>
                <w:iCs w:val="0"/>
                <w:color w:val="auto"/>
                <w:sz w:val="20"/>
                <w:szCs w:val="20"/>
                <w:highlight w:val="none"/>
                <w:u w:val="none"/>
              </w:rPr>
            </w:pPr>
          </w:p>
        </w:tc>
        <w:tc>
          <w:tcPr>
            <w:tcW w:w="5411" w:type="dxa"/>
            <w:gridSpan w:val="3"/>
            <w:tcBorders>
              <w:top w:val="nil"/>
              <w:left w:val="nil"/>
              <w:bottom w:val="nil"/>
              <w:right w:val="nil"/>
            </w:tcBorders>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1671"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年初结转和结余</w:t>
            </w:r>
          </w:p>
        </w:tc>
        <w:tc>
          <w:tcPr>
            <w:tcW w:w="1441"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本年收入</w:t>
            </w:r>
          </w:p>
        </w:tc>
        <w:tc>
          <w:tcPr>
            <w:tcW w:w="4392"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本年支出</w:t>
            </w:r>
          </w:p>
        </w:tc>
        <w:tc>
          <w:tcPr>
            <w:tcW w:w="2413"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18"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功能分类科目编码</w:t>
            </w:r>
          </w:p>
        </w:tc>
        <w:tc>
          <w:tcPr>
            <w:tcW w:w="2403"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科目名称</w:t>
            </w:r>
          </w:p>
        </w:tc>
        <w:tc>
          <w:tcPr>
            <w:tcW w:w="1671" w:type="dxa"/>
            <w:vMerge w:val="continue"/>
            <w:tcBorders>
              <w:top w:val="single" w:color="000000" w:sz="4" w:space="0"/>
              <w:left w:val="nil"/>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441" w:type="dxa"/>
            <w:vMerge w:val="continue"/>
            <w:tcBorders>
              <w:top w:val="single" w:color="000000" w:sz="4" w:space="0"/>
              <w:left w:val="nil"/>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394"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小计</w:t>
            </w:r>
          </w:p>
        </w:tc>
        <w:tc>
          <w:tcPr>
            <w:tcW w:w="1499"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基本支出</w:t>
            </w:r>
          </w:p>
        </w:tc>
        <w:tc>
          <w:tcPr>
            <w:tcW w:w="1499"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项目支出</w:t>
            </w:r>
          </w:p>
        </w:tc>
        <w:tc>
          <w:tcPr>
            <w:tcW w:w="2413" w:type="dxa"/>
            <w:vMerge w:val="continue"/>
            <w:tcBorders>
              <w:top w:val="single" w:color="000000" w:sz="4" w:space="0"/>
              <w:left w:val="nil"/>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18" w:type="dxa"/>
            <w:gridSpan w:val="3"/>
            <w:vMerge w:val="continue"/>
            <w:tcBorders>
              <w:top w:val="nil"/>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403" w:type="dxa"/>
            <w:vMerge w:val="continue"/>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71" w:type="dxa"/>
            <w:vMerge w:val="continue"/>
            <w:tcBorders>
              <w:top w:val="single" w:color="000000" w:sz="4" w:space="0"/>
              <w:left w:val="nil"/>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441" w:type="dxa"/>
            <w:vMerge w:val="continue"/>
            <w:tcBorders>
              <w:top w:val="single" w:color="000000" w:sz="4" w:space="0"/>
              <w:left w:val="nil"/>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394" w:type="dxa"/>
            <w:vMerge w:val="continue"/>
            <w:tcBorders>
              <w:top w:val="nil"/>
              <w:left w:val="nil"/>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499" w:type="dxa"/>
            <w:vMerge w:val="continue"/>
            <w:tcBorders>
              <w:top w:val="nil"/>
              <w:left w:val="nil"/>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499" w:type="dxa"/>
            <w:vMerge w:val="continue"/>
            <w:tcBorders>
              <w:top w:val="nil"/>
              <w:left w:val="nil"/>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413" w:type="dxa"/>
            <w:vMerge w:val="continue"/>
            <w:tcBorders>
              <w:top w:val="single" w:color="000000" w:sz="4" w:space="0"/>
              <w:left w:val="nil"/>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18" w:type="dxa"/>
            <w:gridSpan w:val="3"/>
            <w:vMerge w:val="continue"/>
            <w:tcBorders>
              <w:top w:val="nil"/>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403" w:type="dxa"/>
            <w:vMerge w:val="continue"/>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671" w:type="dxa"/>
            <w:vMerge w:val="continue"/>
            <w:tcBorders>
              <w:top w:val="single" w:color="000000" w:sz="4" w:space="0"/>
              <w:left w:val="nil"/>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441" w:type="dxa"/>
            <w:vMerge w:val="continue"/>
            <w:tcBorders>
              <w:top w:val="single" w:color="000000" w:sz="4" w:space="0"/>
              <w:left w:val="nil"/>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394" w:type="dxa"/>
            <w:vMerge w:val="continue"/>
            <w:tcBorders>
              <w:top w:val="nil"/>
              <w:left w:val="nil"/>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499" w:type="dxa"/>
            <w:vMerge w:val="continue"/>
            <w:tcBorders>
              <w:top w:val="nil"/>
              <w:left w:val="nil"/>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499" w:type="dxa"/>
            <w:vMerge w:val="continue"/>
            <w:tcBorders>
              <w:top w:val="nil"/>
              <w:left w:val="nil"/>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413" w:type="dxa"/>
            <w:vMerge w:val="continue"/>
            <w:tcBorders>
              <w:top w:val="single" w:color="000000" w:sz="4" w:space="0"/>
              <w:left w:val="nil"/>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2413"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合计</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auto"/>
                <w:sz w:val="22"/>
                <w:szCs w:val="22"/>
                <w:highlight w:val="none"/>
                <w:u w:val="none"/>
              </w:rPr>
            </w:pPr>
          </w:p>
        </w:tc>
        <w:tc>
          <w:tcPr>
            <w:tcW w:w="2413"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18" w:type="dxa"/>
            <w:gridSpan w:val="3"/>
            <w:tcBorders>
              <w:top w:val="nil"/>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2403"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2413"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18" w:type="dxa"/>
            <w:gridSpan w:val="3"/>
            <w:tcBorders>
              <w:top w:val="nil"/>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2403"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2413"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18" w:type="dxa"/>
            <w:gridSpan w:val="3"/>
            <w:tcBorders>
              <w:top w:val="nil"/>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2403"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2413"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18" w:type="dxa"/>
            <w:gridSpan w:val="3"/>
            <w:tcBorders>
              <w:top w:val="nil"/>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2403"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2413"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18" w:type="dxa"/>
            <w:gridSpan w:val="3"/>
            <w:tcBorders>
              <w:top w:val="nil"/>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2403"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2413"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18" w:type="dxa"/>
            <w:gridSpan w:val="3"/>
            <w:tcBorders>
              <w:top w:val="nil"/>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2403"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c>
          <w:tcPr>
            <w:tcW w:w="2413"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938" w:type="dxa"/>
            <w:gridSpan w:val="10"/>
            <w:tcBorders>
              <w:top w:val="nil"/>
              <w:left w:val="nil"/>
              <w:bottom w:val="nil"/>
              <w:right w:val="nil"/>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注：本表反映</w:t>
            </w:r>
            <w:r>
              <w:rPr>
                <w:rFonts w:hint="eastAsia" w:ascii="宋体" w:hAnsi="宋体" w:cs="宋体"/>
                <w:i w:val="0"/>
                <w:iCs w:val="0"/>
                <w:color w:val="auto"/>
                <w:kern w:val="0"/>
                <w:sz w:val="22"/>
                <w:szCs w:val="22"/>
                <w:highlight w:val="none"/>
                <w:u w:val="none"/>
                <w:lang w:val="en-US" w:eastAsia="zh-CN" w:bidi="ar"/>
              </w:rPr>
              <w:t>单位</w:t>
            </w:r>
            <w:r>
              <w:rPr>
                <w:rFonts w:hint="eastAsia" w:ascii="宋体" w:hAnsi="宋体" w:eastAsia="宋体" w:cs="宋体"/>
                <w:i w:val="0"/>
                <w:iCs w:val="0"/>
                <w:color w:val="auto"/>
                <w:kern w:val="0"/>
                <w:sz w:val="22"/>
                <w:szCs w:val="22"/>
                <w:highlight w:val="none"/>
                <w:u w:val="none"/>
                <w:lang w:val="en-US" w:eastAsia="zh-CN" w:bidi="ar"/>
              </w:rPr>
              <w:t>本年度政府性基金预算财政拨款收入、支出及结转和结余情况。本表金额转换为万元时，因四舍五入可能存在尾差。</w:t>
            </w:r>
          </w:p>
          <w:p>
            <w:pPr>
              <w:keepNext w:val="0"/>
              <w:keepLines w:val="0"/>
              <w:widowControl/>
              <w:suppressLineNumbers w:val="0"/>
              <w:spacing w:before="0" w:beforeAutospacing="0" w:after="0" w:afterAutospacing="0"/>
              <w:ind w:left="0" w:right="0" w:firstLine="440" w:firstLineChars="20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我单位2021年无政府性基金预算财政拨款收入支出，故此表无数据。</w:t>
            </w:r>
          </w:p>
        </w:tc>
      </w:tr>
    </w:tbl>
    <w:p>
      <w:pPr>
        <w:widowControl/>
        <w:spacing w:line="590" w:lineRule="exact"/>
        <w:jc w:val="left"/>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 xml:space="preserve">第三部分 </w:t>
      </w:r>
      <w:r>
        <w:rPr>
          <w:rFonts w:hint="eastAsia" w:ascii="黑体" w:hAnsi="黑体" w:eastAsia="黑体" w:cs="黑体"/>
          <w:color w:val="auto"/>
          <w:sz w:val="48"/>
          <w:szCs w:val="48"/>
          <w:highlight w:val="none"/>
          <w:lang w:val="en-US" w:eastAsia="zh-CN"/>
        </w:rPr>
        <w:t xml:space="preserve"> </w:t>
      </w:r>
      <w:r>
        <w:rPr>
          <w:rFonts w:hint="eastAsia" w:ascii="黑体" w:hAnsi="黑体" w:eastAsia="黑体" w:cs="黑体"/>
          <w:color w:val="auto"/>
          <w:sz w:val="48"/>
          <w:szCs w:val="48"/>
          <w:highlight w:val="none"/>
        </w:rPr>
        <w:t>2021年度</w:t>
      </w:r>
      <w:r>
        <w:rPr>
          <w:rFonts w:hint="eastAsia" w:ascii="黑体" w:hAnsi="黑体" w:eastAsia="黑体" w:cs="黑体"/>
          <w:color w:val="auto"/>
          <w:sz w:val="48"/>
          <w:szCs w:val="48"/>
          <w:highlight w:val="none"/>
          <w:lang w:eastAsia="zh-CN"/>
        </w:rPr>
        <w:t>单位决算</w:t>
      </w:r>
      <w:r>
        <w:rPr>
          <w:rFonts w:hint="eastAsia" w:ascii="黑体" w:hAnsi="黑体" w:eastAsia="黑体" w:cs="黑体"/>
          <w:color w:val="auto"/>
          <w:sz w:val="48"/>
          <w:szCs w:val="48"/>
          <w:highlight w:val="none"/>
        </w:rPr>
        <w:t>情况说明</w:t>
      </w:r>
    </w:p>
    <w:p>
      <w:pPr>
        <w:widowControl/>
        <w:jc w:val="left"/>
        <w:rPr>
          <w:rFonts w:hint="eastAsia" w:ascii="黑体" w:hAnsi="黑体" w:eastAsia="黑体" w:cs="黑体"/>
          <w:color w:val="auto"/>
          <w:sz w:val="48"/>
          <w:szCs w:val="48"/>
          <w:highlight w:val="none"/>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一、收入支出决算总体情况说明</w:t>
      </w:r>
    </w:p>
    <w:p>
      <w:pPr>
        <w:widowControl/>
        <w:spacing w:line="590" w:lineRule="exact"/>
        <w:ind w:firstLine="640" w:firstLineChars="200"/>
        <w:rPr>
          <w:rFonts w:hint="default" w:ascii="黑体" w:hAnsi="黑体" w:eastAsia="仿宋_GB2312" w:cs="黑体"/>
          <w:color w:val="auto"/>
          <w:sz w:val="32"/>
          <w:szCs w:val="32"/>
          <w:highlight w:val="none"/>
          <w:lang w:val="en-US" w:eastAsia="zh-CN"/>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年度收、支总计均为</w:t>
      </w:r>
      <w:r>
        <w:rPr>
          <w:rFonts w:hint="eastAsia" w:ascii="仿宋_GB2312" w:hAnsi="仿宋_GB2312" w:eastAsia="仿宋_GB2312" w:cs="仿宋_GB2312"/>
          <w:color w:val="auto"/>
          <w:sz w:val="32"/>
          <w:szCs w:val="32"/>
          <w:highlight w:val="none"/>
          <w:lang w:val="en-US" w:eastAsia="zh-CN"/>
        </w:rPr>
        <w:t>1338.81</w:t>
      </w:r>
      <w:r>
        <w:rPr>
          <w:rFonts w:hint="eastAsia" w:ascii="仿宋_GB2312" w:hAnsi="仿宋_GB2312" w:eastAsia="仿宋_GB2312" w:cs="仿宋_GB2312"/>
          <w:color w:val="auto"/>
          <w:sz w:val="32"/>
          <w:szCs w:val="32"/>
          <w:highlight w:val="none"/>
        </w:rPr>
        <w:t>万元。与上年度相比，收、支总计各增加368.22万元，增长37.94%。主要原因是</w:t>
      </w:r>
      <w:r>
        <w:rPr>
          <w:rFonts w:hint="eastAsia" w:ascii="仿宋_GB2312" w:hAnsi="仿宋_GB2312" w:eastAsia="仿宋_GB2312" w:cs="仿宋_GB2312"/>
          <w:color w:val="auto"/>
          <w:sz w:val="32"/>
          <w:szCs w:val="32"/>
          <w:highlight w:val="none"/>
          <w:lang w:val="en-US" w:eastAsia="zh-CN"/>
        </w:rPr>
        <w:t>本年度疫情较上年度有所缓解，考试报名人数和考试次数增加。</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二、收入决算情况说明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lang w:val="en-US"/>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年度收入合计</w:t>
      </w:r>
      <w:r>
        <w:rPr>
          <w:rFonts w:hint="eastAsia" w:ascii="仿宋_GB2312" w:hAnsi="仿宋_GB2312" w:eastAsia="仿宋_GB2312" w:cs="仿宋_GB2312"/>
          <w:color w:val="auto"/>
          <w:sz w:val="32"/>
          <w:szCs w:val="32"/>
          <w:highlight w:val="none"/>
          <w:lang w:val="en-US" w:eastAsia="zh-CN"/>
        </w:rPr>
        <w:t>1059.95</w:t>
      </w:r>
      <w:r>
        <w:rPr>
          <w:rFonts w:hint="eastAsia" w:ascii="仿宋_GB2312" w:hAnsi="仿宋_GB2312" w:eastAsia="仿宋_GB2312" w:cs="仿宋_GB2312"/>
          <w:color w:val="auto"/>
          <w:sz w:val="32"/>
          <w:szCs w:val="32"/>
          <w:highlight w:val="none"/>
        </w:rPr>
        <w:t>万元，其中：财政拨款收入</w:t>
      </w:r>
      <w:r>
        <w:rPr>
          <w:rFonts w:hint="eastAsia" w:ascii="仿宋_GB2312" w:hAnsi="仿宋_GB2312" w:eastAsia="仿宋_GB2312" w:cs="仿宋_GB2312"/>
          <w:color w:val="auto"/>
          <w:sz w:val="32"/>
          <w:szCs w:val="32"/>
          <w:highlight w:val="none"/>
          <w:lang w:val="en-US" w:eastAsia="zh-CN"/>
        </w:rPr>
        <w:t>513.95</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48.49</w:t>
      </w:r>
      <w:r>
        <w:rPr>
          <w:rFonts w:hint="eastAsia" w:ascii="仿宋_GB2312" w:hAnsi="仿宋_GB2312" w:eastAsia="仿宋_GB2312" w:cs="仿宋_GB2312"/>
          <w:color w:val="auto"/>
          <w:sz w:val="32"/>
          <w:szCs w:val="32"/>
          <w:highlight w:val="none"/>
        </w:rPr>
        <w:t>%；上级补助收入</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%；事业收入</w:t>
      </w:r>
      <w:r>
        <w:rPr>
          <w:rFonts w:hint="eastAsia" w:ascii="仿宋_GB2312" w:hAnsi="仿宋_GB2312" w:eastAsia="仿宋_GB2312" w:cs="仿宋_GB2312"/>
          <w:color w:val="auto"/>
          <w:sz w:val="32"/>
          <w:szCs w:val="32"/>
          <w:highlight w:val="none"/>
          <w:lang w:val="en-US" w:eastAsia="zh-CN"/>
        </w:rPr>
        <w:t>546</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51.51</w:t>
      </w:r>
      <w:r>
        <w:rPr>
          <w:rFonts w:hint="eastAsia" w:ascii="仿宋_GB2312" w:hAnsi="仿宋_GB2312" w:eastAsia="仿宋_GB2312" w:cs="仿宋_GB2312"/>
          <w:color w:val="auto"/>
          <w:sz w:val="32"/>
          <w:szCs w:val="32"/>
          <w:highlight w:val="none"/>
        </w:rPr>
        <w:t>%；经营收入</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%；附属单位上缴收入</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%；其他收入</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三、支出决算情况说明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年度支出合计</w:t>
      </w:r>
      <w:r>
        <w:rPr>
          <w:rFonts w:hint="eastAsia" w:ascii="仿宋_GB2312" w:hAnsi="仿宋_GB2312" w:eastAsia="仿宋_GB2312" w:cs="仿宋_GB2312"/>
          <w:color w:val="auto"/>
          <w:sz w:val="32"/>
          <w:szCs w:val="32"/>
          <w:highlight w:val="none"/>
          <w:lang w:val="en-US" w:eastAsia="zh-CN"/>
        </w:rPr>
        <w:t>1314.39</w:t>
      </w:r>
      <w:r>
        <w:rPr>
          <w:rFonts w:hint="eastAsia" w:ascii="仿宋_GB2312" w:hAnsi="仿宋_GB2312" w:eastAsia="仿宋_GB2312" w:cs="仿宋_GB2312"/>
          <w:color w:val="auto"/>
          <w:sz w:val="32"/>
          <w:szCs w:val="32"/>
          <w:highlight w:val="none"/>
        </w:rPr>
        <w:t>万元，其中：基本支出</w:t>
      </w:r>
      <w:r>
        <w:rPr>
          <w:rFonts w:hint="eastAsia" w:ascii="仿宋_GB2312" w:hAnsi="仿宋_GB2312" w:eastAsia="仿宋_GB2312" w:cs="仿宋_GB2312"/>
          <w:color w:val="auto"/>
          <w:sz w:val="32"/>
          <w:szCs w:val="32"/>
          <w:highlight w:val="none"/>
          <w:lang w:val="en-US" w:eastAsia="zh-CN"/>
        </w:rPr>
        <w:t>683.94</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52.03</w:t>
      </w:r>
      <w:r>
        <w:rPr>
          <w:rFonts w:hint="eastAsia" w:ascii="仿宋_GB2312" w:hAnsi="仿宋_GB2312" w:eastAsia="仿宋_GB2312" w:cs="仿宋_GB2312"/>
          <w:color w:val="auto"/>
          <w:sz w:val="32"/>
          <w:szCs w:val="32"/>
          <w:highlight w:val="none"/>
        </w:rPr>
        <w:t>%；项目支出</w:t>
      </w:r>
      <w:r>
        <w:rPr>
          <w:rFonts w:hint="eastAsia" w:ascii="仿宋_GB2312" w:hAnsi="仿宋_GB2312" w:eastAsia="仿宋_GB2312" w:cs="仿宋_GB2312"/>
          <w:color w:val="auto"/>
          <w:sz w:val="32"/>
          <w:szCs w:val="32"/>
          <w:highlight w:val="none"/>
          <w:lang w:val="en-US" w:eastAsia="zh-CN"/>
        </w:rPr>
        <w:t>630.46</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47.97</w:t>
      </w:r>
      <w:r>
        <w:rPr>
          <w:rFonts w:hint="eastAsia" w:ascii="仿宋_GB2312" w:hAnsi="仿宋_GB2312" w:eastAsia="仿宋_GB2312" w:cs="仿宋_GB2312"/>
          <w:color w:val="auto"/>
          <w:sz w:val="32"/>
          <w:szCs w:val="32"/>
          <w:highlight w:val="none"/>
        </w:rPr>
        <w:t>%；上缴上级支出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%；经营支出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%；对附属单位补助支出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四、财政拨款收入支出决算总体情况说明</w:t>
      </w:r>
    </w:p>
    <w:p>
      <w:pPr>
        <w:widowControl/>
        <w:spacing w:line="590" w:lineRule="exact"/>
        <w:ind w:firstLine="640" w:firstLineChars="200"/>
        <w:rPr>
          <w:rFonts w:hint="default" w:ascii="仿宋_GB2312" w:hAnsi="仿宋_GB2312" w:eastAsia="仿宋_GB2312" w:cs="仿宋_GB2312"/>
          <w:color w:val="auto"/>
          <w:sz w:val="32"/>
          <w:szCs w:val="32"/>
          <w:highlight w:val="none"/>
          <w:lang w:val="en-US" w:eastAsia="zh-CN"/>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年度财政拨款收、支总计均为</w:t>
      </w:r>
      <w:r>
        <w:rPr>
          <w:rFonts w:hint="eastAsia" w:ascii="仿宋_GB2312" w:hAnsi="仿宋_GB2312" w:eastAsia="仿宋_GB2312" w:cs="仿宋_GB2312"/>
          <w:color w:val="auto"/>
          <w:sz w:val="32"/>
          <w:szCs w:val="32"/>
          <w:highlight w:val="none"/>
          <w:lang w:val="en-US" w:eastAsia="zh-CN"/>
        </w:rPr>
        <w:t>622.28</w:t>
      </w:r>
      <w:r>
        <w:rPr>
          <w:rFonts w:hint="eastAsia" w:ascii="仿宋_GB2312" w:hAnsi="仿宋_GB2312" w:eastAsia="仿宋_GB2312" w:cs="仿宋_GB2312"/>
          <w:color w:val="auto"/>
          <w:sz w:val="32"/>
          <w:szCs w:val="32"/>
          <w:highlight w:val="none"/>
        </w:rPr>
        <w:t>万元。与上年度相比，财政拨款收、支总计各减少</w:t>
      </w:r>
      <w:r>
        <w:rPr>
          <w:rFonts w:hint="eastAsia" w:ascii="仿宋_GB2312" w:hAnsi="仿宋_GB2312" w:eastAsia="仿宋_GB2312" w:cs="仿宋_GB2312"/>
          <w:color w:val="auto"/>
          <w:sz w:val="32"/>
          <w:szCs w:val="32"/>
          <w:highlight w:val="none"/>
          <w:lang w:val="en-US" w:eastAsia="zh-CN"/>
        </w:rPr>
        <w:t>29.37</w:t>
      </w:r>
      <w:r>
        <w:rPr>
          <w:rFonts w:hint="eastAsia" w:ascii="仿宋_GB2312" w:hAnsi="仿宋_GB2312" w:eastAsia="仿宋_GB2312" w:cs="仿宋_GB2312"/>
          <w:color w:val="auto"/>
          <w:sz w:val="32"/>
          <w:szCs w:val="32"/>
          <w:highlight w:val="none"/>
        </w:rPr>
        <w:t>万元，下降</w:t>
      </w:r>
      <w:r>
        <w:rPr>
          <w:rFonts w:hint="eastAsia" w:ascii="仿宋_GB2312" w:hAnsi="仿宋_GB2312" w:eastAsia="仿宋_GB2312" w:cs="仿宋_GB2312"/>
          <w:color w:val="auto"/>
          <w:sz w:val="32"/>
          <w:szCs w:val="32"/>
          <w:highlight w:val="none"/>
          <w:lang w:val="en-US" w:eastAsia="zh-CN"/>
        </w:rPr>
        <w:t>4.51</w:t>
      </w:r>
      <w:r>
        <w:rPr>
          <w:rFonts w:hint="eastAsia" w:ascii="仿宋_GB2312" w:hAnsi="仿宋_GB2312" w:eastAsia="仿宋_GB2312" w:cs="仿宋_GB2312"/>
          <w:color w:val="auto"/>
          <w:sz w:val="32"/>
          <w:szCs w:val="32"/>
          <w:highlight w:val="none"/>
        </w:rPr>
        <w:t>%。主要原因是年初财政拨款结转和结余</w:t>
      </w:r>
      <w:r>
        <w:rPr>
          <w:rFonts w:hint="eastAsia" w:ascii="仿宋_GB2312" w:hAnsi="仿宋_GB2312" w:eastAsia="仿宋_GB2312" w:cs="仿宋_GB2312"/>
          <w:color w:val="auto"/>
          <w:sz w:val="32"/>
          <w:szCs w:val="32"/>
          <w:highlight w:val="none"/>
          <w:lang w:val="en-US" w:eastAsia="zh-CN"/>
        </w:rPr>
        <w:t>资金较上年度减少。</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五、一般公共预算财政拨款支出决算情况说明</w:t>
      </w:r>
    </w:p>
    <w:p>
      <w:pPr>
        <w:widowControl/>
        <w:spacing w:line="590" w:lineRule="exact"/>
        <w:ind w:firstLine="643" w:firstLineChars="200"/>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（一）总体情况。</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rPr>
        <w:t>2021年度一般公共预算财政拨款支出622.28万元，占支出合计的47.34%。与上年度相比，一般公共预算财政拨款支出增加69.66万元，增长12.61%。</w:t>
      </w:r>
      <w:r>
        <w:rPr>
          <w:rFonts w:hint="eastAsia" w:ascii="仿宋_GB2312" w:hAnsi="仿宋_GB2312" w:eastAsia="仿宋_GB2312" w:cs="仿宋_GB2312"/>
          <w:color w:val="auto"/>
          <w:sz w:val="32"/>
          <w:szCs w:val="32"/>
          <w:highlight w:val="none"/>
          <w:lang w:val="en-US"/>
        </w:rPr>
        <w:t>主要原因是</w:t>
      </w:r>
      <w:r>
        <w:rPr>
          <w:rFonts w:hint="eastAsia" w:ascii="仿宋_GB2312" w:hAnsi="仿宋_GB2312" w:eastAsia="仿宋_GB2312" w:cs="仿宋_GB2312"/>
          <w:color w:val="auto"/>
          <w:sz w:val="32"/>
          <w:szCs w:val="32"/>
          <w:highlight w:val="none"/>
          <w:lang w:val="en-US" w:eastAsia="zh-CN"/>
        </w:rPr>
        <w:t>本年度疫情较上年度有所缓解，考试次数增加，收支增加</w:t>
      </w:r>
      <w:r>
        <w:rPr>
          <w:rFonts w:hint="eastAsia" w:ascii="仿宋_GB2312" w:hAnsi="仿宋_GB2312" w:eastAsia="仿宋_GB2312" w:cs="仿宋_GB2312"/>
          <w:color w:val="auto"/>
          <w:sz w:val="32"/>
          <w:szCs w:val="32"/>
          <w:highlight w:val="none"/>
          <w:lang w:val="en-US"/>
        </w:rPr>
        <w:t>。</w:t>
      </w:r>
    </w:p>
    <w:p>
      <w:pPr>
        <w:widowControl/>
        <w:spacing w:line="590" w:lineRule="exact"/>
        <w:ind w:firstLine="643" w:firstLineChars="200"/>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（二）结构情况。</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年度一般公共预算财政拨款支出</w:t>
      </w:r>
      <w:r>
        <w:rPr>
          <w:rFonts w:hint="eastAsia" w:ascii="仿宋_GB2312" w:hAnsi="仿宋_GB2312" w:eastAsia="仿宋_GB2312" w:cs="仿宋_GB2312"/>
          <w:color w:val="auto"/>
          <w:sz w:val="32"/>
          <w:szCs w:val="32"/>
          <w:highlight w:val="none"/>
          <w:lang w:val="en-US" w:eastAsia="zh-CN"/>
        </w:rPr>
        <w:t>622.28</w:t>
      </w:r>
      <w:r>
        <w:rPr>
          <w:rFonts w:hint="eastAsia" w:ascii="仿宋_GB2312" w:hAnsi="仿宋_GB2312" w:eastAsia="仿宋_GB2312" w:cs="仿宋_GB2312"/>
          <w:color w:val="auto"/>
          <w:sz w:val="32"/>
          <w:szCs w:val="32"/>
          <w:highlight w:val="none"/>
        </w:rPr>
        <w:t>万元，主要用于以下方面：一般公共服务</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类</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支出</w:t>
      </w:r>
      <w:r>
        <w:rPr>
          <w:rFonts w:hint="eastAsia" w:ascii="仿宋_GB2312" w:hAnsi="仿宋_GB2312" w:eastAsia="仿宋_GB2312" w:cs="仿宋_GB2312"/>
          <w:color w:val="auto"/>
          <w:sz w:val="32"/>
          <w:szCs w:val="32"/>
          <w:highlight w:val="none"/>
          <w:lang w:val="en-US" w:eastAsia="zh-CN"/>
        </w:rPr>
        <w:t>1.36</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0.22</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教育</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类</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支出569.25万元，占</w:t>
      </w:r>
      <w:r>
        <w:rPr>
          <w:rFonts w:hint="eastAsia" w:ascii="仿宋_GB2312" w:hAnsi="仿宋_GB2312" w:eastAsia="仿宋_GB2312" w:cs="仿宋_GB2312"/>
          <w:color w:val="auto"/>
          <w:sz w:val="32"/>
          <w:szCs w:val="32"/>
          <w:highlight w:val="none"/>
          <w:lang w:val="en-US" w:eastAsia="zh-CN"/>
        </w:rPr>
        <w:t>91.48</w:t>
      </w:r>
      <w:r>
        <w:rPr>
          <w:rFonts w:hint="eastAsia" w:ascii="仿宋_GB2312" w:hAnsi="仿宋_GB2312" w:eastAsia="仿宋_GB2312" w:cs="仿宋_GB2312"/>
          <w:color w:val="auto"/>
          <w:sz w:val="32"/>
          <w:szCs w:val="32"/>
          <w:highlight w:val="none"/>
        </w:rPr>
        <w:t>%；社会保障和就业</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类</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支出36.5</w:t>
      </w:r>
      <w:r>
        <w:rPr>
          <w:rFonts w:hint="eastAsia" w:ascii="仿宋_GB2312" w:hAnsi="仿宋_GB2312" w:eastAsia="仿宋_GB2312" w:cs="仿宋_GB2312"/>
          <w:color w:val="auto"/>
          <w:sz w:val="32"/>
          <w:szCs w:val="32"/>
          <w:highlight w:val="none"/>
          <w:lang w:val="en-US" w:eastAsia="zh-CN"/>
        </w:rPr>
        <w:t>万元，占5.87%；卫生健康</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类</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支出15.17万元，占2.44%</w:t>
      </w:r>
      <w:r>
        <w:rPr>
          <w:rFonts w:hint="eastAsia" w:ascii="仿宋_GB2312" w:hAnsi="仿宋_GB2312" w:eastAsia="仿宋_GB2312" w:cs="仿宋_GB2312"/>
          <w:color w:val="auto"/>
          <w:sz w:val="32"/>
          <w:szCs w:val="32"/>
          <w:highlight w:val="none"/>
        </w:rPr>
        <w:t>。</w:t>
      </w:r>
    </w:p>
    <w:p>
      <w:pPr>
        <w:widowControl/>
        <w:spacing w:line="590" w:lineRule="exact"/>
        <w:ind w:firstLine="643" w:firstLineChars="200"/>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（三）具体情况。</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年度一般公共预算财政拨款支出</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527.72</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622.28</w:t>
      </w:r>
      <w:r>
        <w:rPr>
          <w:rFonts w:hint="eastAsia" w:ascii="仿宋_GB2312" w:hAnsi="仿宋_GB2312" w:eastAsia="仿宋_GB2312" w:cs="仿宋_GB2312"/>
          <w:color w:val="auto"/>
          <w:sz w:val="32"/>
          <w:szCs w:val="32"/>
          <w:highlight w:val="none"/>
        </w:rPr>
        <w:t>万元，完成</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预算的</w:t>
      </w:r>
      <w:r>
        <w:rPr>
          <w:rFonts w:hint="eastAsia" w:ascii="仿宋_GB2312" w:hAnsi="仿宋_GB2312" w:eastAsia="仿宋_GB2312" w:cs="仿宋_GB2312"/>
          <w:color w:val="auto"/>
          <w:sz w:val="32"/>
          <w:szCs w:val="32"/>
          <w:highlight w:val="none"/>
          <w:lang w:val="en-US" w:eastAsia="zh-CN"/>
        </w:rPr>
        <w:t>117.92</w:t>
      </w:r>
      <w:r>
        <w:rPr>
          <w:rFonts w:hint="eastAsia" w:ascii="仿宋_GB2312" w:hAnsi="仿宋_GB2312" w:eastAsia="仿宋_GB2312" w:cs="仿宋_GB2312"/>
          <w:color w:val="auto"/>
          <w:sz w:val="32"/>
          <w:szCs w:val="32"/>
          <w:highlight w:val="none"/>
        </w:rPr>
        <w:t>%。其中：</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1．一般公共服务（类）群众团体事务（款）工会事物（项）。</w:t>
      </w:r>
      <w:r>
        <w:rPr>
          <w:rFonts w:hint="eastAsia" w:ascii="仿宋_GB2312" w:hAnsi="仿宋_GB2312" w:eastAsia="仿宋_GB2312" w:cs="仿宋_GB2312"/>
          <w:color w:val="auto"/>
          <w:sz w:val="32"/>
          <w:szCs w:val="32"/>
          <w:highlight w:val="none"/>
          <w:lang w:val="en-US" w:eastAsia="zh-CN"/>
        </w:rPr>
        <w:t>年初预算为1.36万元，支出决算为1.36万元，完成年初预算的100.00%。决算数与年初预算数不存在差异。</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2．教育（类）教育管理事务（款）行政运行（项）。</w:t>
      </w:r>
      <w:r>
        <w:rPr>
          <w:rFonts w:hint="eastAsia" w:ascii="仿宋_GB2312" w:hAnsi="仿宋_GB2312" w:eastAsia="仿宋_GB2312" w:cs="仿宋_GB2312"/>
          <w:color w:val="auto"/>
          <w:sz w:val="32"/>
          <w:szCs w:val="32"/>
          <w:highlight w:val="none"/>
          <w:lang w:val="en-US" w:eastAsia="zh-CN"/>
        </w:rPr>
        <w:t>年初预算为266.46万元，支出决算为295.35万元，完成年初预算的110.84%。决算数与年初预算数存在差异的主要原因是1.年度正常薪级工资增加；2.补发以前年度平安建设奖和未休假补贴；3.上年度结余经费于本年度支出。</w:t>
      </w:r>
    </w:p>
    <w:p>
      <w:pPr>
        <w:ind w:firstLine="643"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3．教育（类）教育管理事务（款）一般行政管理事务（项）。</w:t>
      </w:r>
      <w:r>
        <w:rPr>
          <w:rFonts w:hint="eastAsia" w:ascii="仿宋_GB2312" w:hAnsi="仿宋_GB2312" w:eastAsia="仿宋_GB2312" w:cs="仿宋_GB2312"/>
          <w:color w:val="auto"/>
          <w:sz w:val="32"/>
          <w:szCs w:val="32"/>
          <w:highlight w:val="none"/>
          <w:lang w:val="en-US" w:eastAsia="zh-CN"/>
        </w:rPr>
        <w:t>年初预算为209.00万元，支出决算为272.09万元，完成年初预算的130.19%。决算数与年初预算数存在差异的主要原因是本年度疫情较上年度有所缓解，考试次数增加，缴入预算的行政事业性收支增加。</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firstLine="643" w:firstLineChars="200"/>
        <w:jc w:val="both"/>
        <w:textAlignment w:val="auto"/>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4．教育（类）普通教育（款）其他普通教育（项）。</w:t>
      </w:r>
      <w:r>
        <w:rPr>
          <w:rFonts w:hint="eastAsia" w:ascii="仿宋_GB2312" w:hAnsi="仿宋_GB2312" w:eastAsia="仿宋_GB2312" w:cs="仿宋_GB2312"/>
          <w:color w:val="auto"/>
          <w:sz w:val="32"/>
          <w:szCs w:val="32"/>
          <w:highlight w:val="none"/>
          <w:lang w:val="en-US" w:eastAsia="zh-CN"/>
        </w:rPr>
        <w:t>年初预算为0.00万元，支出决算为1.81万元。决算数与年初预算数存在差异的主要原因是使用上年度结转资金支付上年度工程尾款，该结转资金年初未纳入预算。</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5．社会保障和就业（类）行政事业单位养老（款）行政单位离退休（项）。</w:t>
      </w:r>
      <w:r>
        <w:rPr>
          <w:rFonts w:hint="eastAsia" w:ascii="仿宋_GB2312" w:hAnsi="仿宋_GB2312" w:eastAsia="仿宋_GB2312" w:cs="仿宋_GB2312"/>
          <w:color w:val="auto"/>
          <w:sz w:val="32"/>
          <w:szCs w:val="32"/>
          <w:highlight w:val="none"/>
          <w:lang w:val="en-US" w:eastAsia="zh-CN"/>
        </w:rPr>
        <w:t>年初预算为18.46万元，支出决算为20.59万元，完成年初预算的111.54%。决算数与年初预算数存在差异的主要原因是补发上年度12月退休补贴。</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6．社会保障和就业（类）行政事业单位养老（款）机关事业单位基本养老保险缴费支出（项）。</w:t>
      </w:r>
      <w:r>
        <w:rPr>
          <w:rFonts w:hint="eastAsia" w:ascii="仿宋_GB2312" w:hAnsi="仿宋_GB2312" w:eastAsia="仿宋_GB2312" w:cs="仿宋_GB2312"/>
          <w:color w:val="auto"/>
          <w:sz w:val="32"/>
          <w:szCs w:val="32"/>
          <w:highlight w:val="none"/>
          <w:lang w:val="en-US" w:eastAsia="zh-CN"/>
        </w:rPr>
        <w:t>年初预算为16.06万元，支出决算为15.91万元，完成年初预算的99.07%。决算数与年初预算数存在差异的主要原因是1.使用上年度结余资金缴纳上年度12月社保，该资金未纳入年初预算；2.新增退休职工1名。</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7．卫生健康（类）行政事业单位医疗（款）行政单位医疗（项）。</w:t>
      </w:r>
      <w:r>
        <w:rPr>
          <w:rFonts w:hint="eastAsia" w:ascii="仿宋_GB2312" w:hAnsi="仿宋_GB2312" w:eastAsia="仿宋_GB2312" w:cs="仿宋_GB2312"/>
          <w:color w:val="auto"/>
          <w:sz w:val="32"/>
          <w:szCs w:val="32"/>
          <w:highlight w:val="none"/>
          <w:lang w:val="en-US" w:eastAsia="zh-CN"/>
        </w:rPr>
        <w:t>年初预算为8.39万元，支出决算为7.77万元，完成年初预算的92.61%。决算数与年初预算数存在差异的主要原因是1.使用上年度结余资金缴纳上年度12月社保，该资金未纳入年初预算；2.新增退休职工1名。</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8．卫生健康（类）行政事业单位医疗（款）公务员医疗补助（项）。</w:t>
      </w:r>
      <w:r>
        <w:rPr>
          <w:rFonts w:hint="eastAsia" w:ascii="仿宋_GB2312" w:hAnsi="仿宋_GB2312" w:eastAsia="仿宋_GB2312" w:cs="仿宋_GB2312"/>
          <w:color w:val="auto"/>
          <w:sz w:val="32"/>
          <w:szCs w:val="32"/>
          <w:highlight w:val="none"/>
          <w:lang w:val="en-US" w:eastAsia="zh-CN"/>
        </w:rPr>
        <w:t>年初预算为7.99万元，支出决算为7.4万元，完成年初预算的92.62%。决算数与年初预算数存在差异的主要原因是1.使用上年度结余资金缴纳上年度12月社保，该资金未纳入年初预算；2.新增退休职工1名。</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六、一般公共预算财政拨款基本支出决算情况说明</w:t>
      </w:r>
    </w:p>
    <w:p>
      <w:pPr>
        <w:widowControl/>
        <w:spacing w:line="590" w:lineRule="exact"/>
        <w:ind w:firstLine="640" w:firstLineChars="200"/>
        <w:rPr>
          <w:rFonts w:hint="eastAsia" w:ascii="仿宋_GB2312" w:hAnsi="仿宋_GB2312" w:eastAsia="仿宋_GB2312"/>
          <w:color w:val="auto"/>
          <w:sz w:val="32"/>
          <w:szCs w:val="24"/>
          <w:highlight w:val="none"/>
          <w:lang w:val="en-US"/>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年度一般公共预算财政拨款基本支出</w:t>
      </w:r>
      <w:r>
        <w:rPr>
          <w:rFonts w:hint="eastAsia" w:ascii="仿宋_GB2312" w:hAnsi="仿宋_GB2312" w:eastAsia="仿宋_GB2312" w:cs="仿宋_GB2312"/>
          <w:color w:val="auto"/>
          <w:sz w:val="32"/>
          <w:szCs w:val="32"/>
          <w:highlight w:val="none"/>
          <w:lang w:val="en-US" w:eastAsia="zh-CN"/>
        </w:rPr>
        <w:t>350.19</w:t>
      </w:r>
      <w:r>
        <w:rPr>
          <w:rFonts w:hint="eastAsia" w:ascii="仿宋_GB2312" w:hAnsi="仿宋_GB2312" w:eastAsia="仿宋_GB2312" w:cs="仿宋_GB2312"/>
          <w:color w:val="auto"/>
          <w:sz w:val="32"/>
          <w:szCs w:val="32"/>
          <w:highlight w:val="none"/>
        </w:rPr>
        <w:t>万元。其中：人员经费</w:t>
      </w:r>
      <w:r>
        <w:rPr>
          <w:rFonts w:hint="eastAsia" w:ascii="仿宋_GB2312" w:hAnsi="仿宋_GB2312" w:eastAsia="仿宋_GB2312" w:cs="仿宋_GB2312"/>
          <w:color w:val="auto"/>
          <w:sz w:val="32"/>
          <w:szCs w:val="32"/>
          <w:highlight w:val="none"/>
          <w:lang w:val="en-US" w:eastAsia="zh-CN"/>
        </w:rPr>
        <w:t>278.24</w:t>
      </w:r>
      <w:r>
        <w:rPr>
          <w:rFonts w:hint="eastAsia" w:ascii="仿宋_GB2312" w:hAnsi="仿宋_GB2312" w:eastAsia="仿宋_GB2312" w:cs="仿宋_GB2312"/>
          <w:color w:val="auto"/>
          <w:sz w:val="32"/>
          <w:szCs w:val="32"/>
          <w:highlight w:val="none"/>
        </w:rPr>
        <w:t>万元，主要包括：基本工资、津贴补贴、</w:t>
      </w:r>
      <w:r>
        <w:rPr>
          <w:rFonts w:hint="eastAsia" w:ascii="仿宋_GB2312" w:hAnsi="仿宋_GB2312" w:eastAsia="仿宋_GB2312" w:cs="仿宋_GB2312"/>
          <w:color w:val="auto"/>
          <w:sz w:val="32"/>
          <w:szCs w:val="32"/>
          <w:highlight w:val="none"/>
          <w:lang w:val="en-US" w:eastAsia="zh-CN"/>
        </w:rPr>
        <w:t>奖金、</w:t>
      </w:r>
      <w:r>
        <w:rPr>
          <w:rFonts w:hint="eastAsia" w:ascii="仿宋_GB2312" w:hAnsi="仿宋_GB2312" w:eastAsia="仿宋_GB2312" w:cs="仿宋_GB2312"/>
          <w:color w:val="auto"/>
          <w:sz w:val="32"/>
          <w:szCs w:val="32"/>
          <w:highlight w:val="none"/>
        </w:rPr>
        <w:t>机关事业单位基本养老保险缴费、</w:t>
      </w:r>
      <w:r>
        <w:rPr>
          <w:rFonts w:hint="eastAsia" w:ascii="仿宋_GB2312" w:hAnsi="仿宋_GB2312" w:eastAsia="仿宋_GB2312" w:cs="仿宋_GB2312"/>
          <w:color w:val="auto"/>
          <w:sz w:val="32"/>
          <w:szCs w:val="32"/>
          <w:highlight w:val="none"/>
          <w:lang w:val="en-US" w:eastAsia="zh-CN"/>
        </w:rPr>
        <w:t>职工基本医疗保险缴费、公务员医疗补助缴费、</w:t>
      </w:r>
      <w:r>
        <w:rPr>
          <w:rFonts w:hint="eastAsia" w:ascii="仿宋_GB2312" w:hAnsi="仿宋_GB2312" w:eastAsia="仿宋_GB2312" w:cs="仿宋_GB2312"/>
          <w:color w:val="auto"/>
          <w:sz w:val="32"/>
          <w:szCs w:val="32"/>
          <w:highlight w:val="none"/>
        </w:rPr>
        <w:t>其他社会保障缴费、住房公积金、退休费；公用经费</w:t>
      </w:r>
      <w:r>
        <w:rPr>
          <w:rFonts w:hint="eastAsia" w:ascii="仿宋_GB2312" w:hAnsi="仿宋_GB2312" w:eastAsia="仿宋_GB2312" w:cs="仿宋_GB2312"/>
          <w:color w:val="auto"/>
          <w:sz w:val="32"/>
          <w:szCs w:val="32"/>
          <w:highlight w:val="none"/>
          <w:lang w:val="en-US" w:eastAsia="zh-CN"/>
        </w:rPr>
        <w:t>71.96</w:t>
      </w:r>
      <w:r>
        <w:rPr>
          <w:rFonts w:hint="eastAsia" w:ascii="仿宋_GB2312" w:hAnsi="仿宋_GB2312" w:eastAsia="仿宋_GB2312" w:cs="仿宋_GB2312"/>
          <w:color w:val="auto"/>
          <w:sz w:val="32"/>
          <w:szCs w:val="32"/>
          <w:highlight w:val="none"/>
        </w:rPr>
        <w:t>万元，主要包括：办公费、</w:t>
      </w:r>
      <w:r>
        <w:rPr>
          <w:rFonts w:hint="eastAsia" w:ascii="仿宋_GB2312" w:hAnsi="仿宋_GB2312" w:eastAsia="仿宋_GB2312" w:cs="仿宋_GB2312"/>
          <w:color w:val="auto"/>
          <w:sz w:val="32"/>
          <w:szCs w:val="32"/>
          <w:highlight w:val="none"/>
          <w:lang w:val="en-US" w:eastAsia="zh-CN"/>
        </w:rPr>
        <w:t>水电费、</w:t>
      </w:r>
      <w:r>
        <w:rPr>
          <w:rFonts w:hint="eastAsia" w:ascii="仿宋_GB2312" w:hAnsi="仿宋_GB2312" w:eastAsia="仿宋_GB2312" w:cs="仿宋_GB2312"/>
          <w:color w:val="auto"/>
          <w:sz w:val="32"/>
          <w:szCs w:val="32"/>
          <w:highlight w:val="none"/>
        </w:rPr>
        <w:t>邮电费、差旅费、租赁费、</w:t>
      </w:r>
      <w:r>
        <w:rPr>
          <w:rFonts w:hint="eastAsia" w:ascii="仿宋_GB2312" w:hAnsi="仿宋_GB2312" w:eastAsia="仿宋_GB2312" w:cs="仿宋_GB2312"/>
          <w:color w:val="auto"/>
          <w:sz w:val="32"/>
          <w:szCs w:val="32"/>
          <w:highlight w:val="none"/>
          <w:lang w:val="en-US" w:eastAsia="zh-CN"/>
        </w:rPr>
        <w:t>劳务费、</w:t>
      </w:r>
      <w:r>
        <w:rPr>
          <w:rFonts w:hint="eastAsia" w:ascii="仿宋_GB2312" w:hAnsi="仿宋_GB2312" w:eastAsia="仿宋_GB2312" w:cs="仿宋_GB2312"/>
          <w:color w:val="auto"/>
          <w:sz w:val="32"/>
          <w:szCs w:val="32"/>
          <w:highlight w:val="none"/>
        </w:rPr>
        <w:t>工会经费、福利费、公务用车运行维护费。</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七、一般公共预算财政拨款“三公”经费支出决算情况说明</w:t>
      </w:r>
    </w:p>
    <w:p>
      <w:pPr>
        <w:widowControl/>
        <w:spacing w:line="590" w:lineRule="exact"/>
        <w:ind w:firstLine="643" w:firstLineChars="200"/>
        <w:outlineLvl w:val="2"/>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（一）“三公”经费财政拨款支出决算总体情况说明。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年度“三公”经费财政拨款支出预算为</w:t>
      </w:r>
      <w:r>
        <w:rPr>
          <w:rFonts w:hint="eastAsia" w:ascii="仿宋_GB2312" w:hAnsi="仿宋_GB2312" w:eastAsia="仿宋_GB2312" w:cs="仿宋_GB2312"/>
          <w:color w:val="auto"/>
          <w:sz w:val="32"/>
          <w:szCs w:val="32"/>
          <w:highlight w:val="none"/>
          <w:lang w:val="en-US" w:eastAsia="zh-CN"/>
        </w:rPr>
        <w:t>7.00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6.83</w:t>
      </w:r>
      <w:r>
        <w:rPr>
          <w:rFonts w:hint="eastAsia" w:ascii="仿宋_GB2312" w:hAnsi="仿宋_GB2312" w:eastAsia="仿宋_GB2312" w:cs="仿宋_GB2312"/>
          <w:color w:val="auto"/>
          <w:sz w:val="32"/>
          <w:szCs w:val="32"/>
          <w:highlight w:val="none"/>
        </w:rPr>
        <w:t>万元，完成预算的</w:t>
      </w:r>
      <w:r>
        <w:rPr>
          <w:rFonts w:hint="eastAsia" w:ascii="仿宋_GB2312" w:hAnsi="仿宋_GB2312" w:eastAsia="仿宋_GB2312" w:cs="仿宋_GB2312"/>
          <w:color w:val="auto"/>
          <w:sz w:val="32"/>
          <w:szCs w:val="32"/>
          <w:highlight w:val="none"/>
          <w:lang w:val="en-US" w:eastAsia="zh-CN"/>
        </w:rPr>
        <w:t>97.57</w:t>
      </w:r>
      <w:r>
        <w:rPr>
          <w:rFonts w:hint="eastAsia" w:ascii="仿宋_GB2312" w:hAnsi="仿宋_GB2312" w:eastAsia="仿宋_GB2312" w:cs="仿宋_GB2312"/>
          <w:color w:val="auto"/>
          <w:sz w:val="32"/>
          <w:szCs w:val="32"/>
          <w:highlight w:val="none"/>
        </w:rPr>
        <w:t>%。</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年度“三公”经费支出决算数与预算数存在差异的主要原因是</w:t>
      </w:r>
      <w:r>
        <w:rPr>
          <w:rFonts w:hint="eastAsia" w:ascii="仿宋_GB2312" w:hAnsi="仿宋_GB2312" w:eastAsia="仿宋_GB2312" w:cs="仿宋_GB2312"/>
          <w:color w:val="auto"/>
          <w:sz w:val="32"/>
          <w:szCs w:val="32"/>
          <w:highlight w:val="none"/>
          <w:lang w:val="en-US" w:eastAsia="zh-CN"/>
        </w:rPr>
        <w:t>上半年度受疫情原因，组织考试次数减少，相关支出减少</w:t>
      </w:r>
      <w:r>
        <w:rPr>
          <w:rFonts w:hint="eastAsia" w:ascii="仿宋_GB2312" w:hAnsi="仿宋_GB2312" w:eastAsia="仿宋_GB2312" w:cs="仿宋_GB2312"/>
          <w:color w:val="auto"/>
          <w:sz w:val="32"/>
          <w:szCs w:val="32"/>
          <w:highlight w:val="none"/>
        </w:rPr>
        <w:t>。</w:t>
      </w:r>
    </w:p>
    <w:p>
      <w:pPr>
        <w:widowControl/>
        <w:spacing w:line="590" w:lineRule="exact"/>
        <w:ind w:firstLine="643" w:firstLineChars="200"/>
        <w:outlineLvl w:val="2"/>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（二）“三公”经费财政拨款支出决算具体情况说明。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年度“三公”经费财政拨款支出决算中，因公出国（境）费支出决算</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万元，完成预算的</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%；公务用车购置及运行费支出决算</w:t>
      </w:r>
      <w:r>
        <w:rPr>
          <w:rFonts w:hint="eastAsia" w:ascii="仿宋_GB2312" w:hAnsi="仿宋_GB2312" w:eastAsia="仿宋_GB2312" w:cs="仿宋_GB2312"/>
          <w:color w:val="auto"/>
          <w:sz w:val="32"/>
          <w:szCs w:val="32"/>
          <w:highlight w:val="none"/>
          <w:lang w:val="en-US" w:eastAsia="zh-CN"/>
        </w:rPr>
        <w:t>6.83</w:t>
      </w:r>
      <w:r>
        <w:rPr>
          <w:rFonts w:hint="eastAsia" w:ascii="仿宋_GB2312" w:hAnsi="仿宋_GB2312" w:eastAsia="仿宋_GB2312" w:cs="仿宋_GB2312"/>
          <w:color w:val="auto"/>
          <w:sz w:val="32"/>
          <w:szCs w:val="32"/>
          <w:highlight w:val="none"/>
        </w:rPr>
        <w:t>万元，完成预算的</w:t>
      </w:r>
      <w:r>
        <w:rPr>
          <w:rFonts w:hint="eastAsia" w:ascii="仿宋_GB2312" w:hAnsi="仿宋_GB2312" w:eastAsia="仿宋_GB2312" w:cs="仿宋_GB2312"/>
          <w:color w:val="auto"/>
          <w:sz w:val="32"/>
          <w:szCs w:val="32"/>
          <w:highlight w:val="none"/>
          <w:lang w:val="en-US" w:eastAsia="zh-CN"/>
        </w:rPr>
        <w:t>97.57</w:t>
      </w:r>
      <w:r>
        <w:rPr>
          <w:rFonts w:hint="eastAsia" w:ascii="仿宋_GB2312" w:hAnsi="仿宋_GB2312" w:eastAsia="仿宋_GB2312" w:cs="仿宋_GB2312"/>
          <w:color w:val="auto"/>
          <w:sz w:val="32"/>
          <w:szCs w:val="32"/>
          <w:highlight w:val="none"/>
        </w:rPr>
        <w:t>%，占</w:t>
      </w:r>
      <w:r>
        <w:rPr>
          <w:rFonts w:hint="eastAsia" w:ascii="仿宋_GB2312" w:hAnsi="仿宋_GB2312" w:eastAsia="仿宋_GB2312" w:cs="仿宋_GB2312"/>
          <w:color w:val="auto"/>
          <w:sz w:val="32"/>
          <w:szCs w:val="32"/>
          <w:highlight w:val="none"/>
          <w:lang w:val="en-US" w:eastAsia="zh-CN"/>
        </w:rPr>
        <w:t>100.00</w:t>
      </w:r>
      <w:r>
        <w:rPr>
          <w:rFonts w:hint="eastAsia" w:ascii="仿宋_GB2312" w:hAnsi="仿宋_GB2312" w:eastAsia="仿宋_GB2312" w:cs="仿宋_GB2312"/>
          <w:color w:val="auto"/>
          <w:sz w:val="32"/>
          <w:szCs w:val="32"/>
          <w:highlight w:val="none"/>
        </w:rPr>
        <w:t>%；公务接待费支出决算</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万元，完成预算的</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%。具体情况如下：</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1．因公出国（境）费</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决算数与预算数不存在差异。全年因公出国（境）团组0个，累计0人次。</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2．公务用车购置及运行费</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7.00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6.83</w:t>
      </w:r>
      <w:r>
        <w:rPr>
          <w:rFonts w:hint="eastAsia" w:ascii="仿宋_GB2312" w:hAnsi="仿宋_GB2312" w:eastAsia="仿宋_GB2312" w:cs="仿宋_GB2312"/>
          <w:color w:val="auto"/>
          <w:sz w:val="32"/>
          <w:szCs w:val="32"/>
          <w:highlight w:val="none"/>
        </w:rPr>
        <w:t>万元，完成预算的</w:t>
      </w:r>
      <w:r>
        <w:rPr>
          <w:rFonts w:hint="eastAsia" w:ascii="仿宋_GB2312" w:hAnsi="仿宋_GB2312" w:eastAsia="仿宋_GB2312" w:cs="仿宋_GB2312"/>
          <w:color w:val="auto"/>
          <w:sz w:val="32"/>
          <w:szCs w:val="32"/>
          <w:highlight w:val="none"/>
          <w:lang w:val="en-US" w:eastAsia="zh-CN"/>
        </w:rPr>
        <w:t>97.57</w:t>
      </w:r>
      <w:r>
        <w:rPr>
          <w:rFonts w:hint="eastAsia" w:ascii="仿宋_GB2312" w:hAnsi="仿宋_GB2312" w:eastAsia="仿宋_GB2312" w:cs="仿宋_GB2312"/>
          <w:color w:val="auto"/>
          <w:sz w:val="32"/>
          <w:szCs w:val="32"/>
          <w:highlight w:val="none"/>
        </w:rPr>
        <w:t>%。决算数与预算数存在差异的主要原因是</w:t>
      </w:r>
      <w:r>
        <w:rPr>
          <w:rFonts w:hint="eastAsia" w:ascii="仿宋_GB2312" w:hAnsi="仿宋_GB2312" w:eastAsia="仿宋_GB2312" w:cs="仿宋_GB2312"/>
          <w:color w:val="auto"/>
          <w:sz w:val="32"/>
          <w:szCs w:val="32"/>
          <w:highlight w:val="none"/>
          <w:lang w:val="en-US" w:eastAsia="zh-CN"/>
        </w:rPr>
        <w:t>上半年度受疫情原因，组织考试次数减少，相关支出减少</w:t>
      </w:r>
      <w:r>
        <w:rPr>
          <w:rFonts w:hint="eastAsia" w:ascii="仿宋_GB2312" w:hAnsi="仿宋_GB2312" w:eastAsia="仿宋_GB2312" w:cs="仿宋_GB2312"/>
          <w:color w:val="auto"/>
          <w:sz w:val="32"/>
          <w:szCs w:val="32"/>
          <w:highlight w:val="none"/>
        </w:rPr>
        <w:t>。其中：</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公务用车购置支出</w:t>
      </w:r>
      <w:r>
        <w:rPr>
          <w:rFonts w:hint="eastAsia" w:ascii="仿宋_GB2312" w:hAnsi="仿宋_GB2312" w:eastAsia="仿宋_GB2312" w:cs="仿宋_GB2312"/>
          <w:color w:val="auto"/>
          <w:sz w:val="32"/>
          <w:szCs w:val="32"/>
          <w:highlight w:val="none"/>
        </w:rPr>
        <w:t>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万元，购置车辆</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台。</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公务用车运行支出</w:t>
      </w:r>
      <w:r>
        <w:rPr>
          <w:rFonts w:hint="eastAsia" w:ascii="仿宋_GB2312" w:hAnsi="仿宋_GB2312" w:eastAsia="仿宋_GB2312" w:cs="仿宋_GB2312"/>
          <w:color w:val="auto"/>
          <w:sz w:val="32"/>
          <w:szCs w:val="32"/>
          <w:highlight w:val="none"/>
          <w:lang w:val="en-US" w:eastAsia="zh-CN"/>
        </w:rPr>
        <w:t>6.83</w:t>
      </w:r>
      <w:r>
        <w:rPr>
          <w:rFonts w:hint="eastAsia" w:ascii="仿宋_GB2312" w:hAnsi="仿宋_GB2312" w:eastAsia="仿宋_GB2312" w:cs="仿宋_GB2312"/>
          <w:color w:val="auto"/>
          <w:sz w:val="32"/>
          <w:szCs w:val="32"/>
          <w:highlight w:val="none"/>
        </w:rPr>
        <w:t>万元。主要用于</w:t>
      </w:r>
      <w:r>
        <w:rPr>
          <w:rFonts w:hint="eastAsia" w:ascii="仿宋_GB2312" w:hAnsi="仿宋_GB2312" w:eastAsia="仿宋_GB2312" w:cs="仿宋_GB2312"/>
          <w:color w:val="auto"/>
          <w:sz w:val="32"/>
          <w:szCs w:val="32"/>
          <w:highlight w:val="none"/>
          <w:lang w:val="en-US" w:eastAsia="zh-CN"/>
        </w:rPr>
        <w:t>公务用车的车辆运行维护及保险等</w:t>
      </w:r>
      <w:r>
        <w:rPr>
          <w:rFonts w:hint="eastAsia" w:ascii="仿宋_GB2312" w:hAnsi="仿宋_GB2312" w:eastAsia="仿宋_GB2312" w:cs="仿宋_GB2312"/>
          <w:color w:val="auto"/>
          <w:sz w:val="32"/>
          <w:szCs w:val="32"/>
          <w:highlight w:val="none"/>
        </w:rPr>
        <w:t>。</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年期末，单位开支财政拨款的公务用车保有量为</w:t>
      </w:r>
      <w:r>
        <w:rPr>
          <w:rFonts w:hint="eastAsia" w:ascii="仿宋_GB2312" w:hAnsi="仿宋_GB2312" w:eastAsia="仿宋_GB2312" w:cs="仿宋_GB2312"/>
          <w:color w:val="auto"/>
          <w:sz w:val="32"/>
          <w:szCs w:val="32"/>
          <w:highlight w:val="none"/>
          <w:lang w:val="en-US" w:eastAsia="zh-CN"/>
        </w:rPr>
        <w:t>2辆</w:t>
      </w:r>
      <w:r>
        <w:rPr>
          <w:rFonts w:hint="eastAsia" w:ascii="仿宋_GB2312" w:hAnsi="仿宋_GB2312" w:eastAsia="仿宋_GB2312" w:cs="仿宋_GB2312"/>
          <w:color w:val="auto"/>
          <w:sz w:val="32"/>
          <w:szCs w:val="32"/>
          <w:highlight w:val="none"/>
        </w:rPr>
        <w:t>。</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3.公务接待费</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决算数与预算数</w:t>
      </w:r>
      <w:r>
        <w:rPr>
          <w:rFonts w:hint="eastAsia" w:ascii="仿宋_GB2312" w:hAnsi="仿宋_GB2312" w:eastAsia="仿宋_GB2312" w:cs="仿宋_GB2312"/>
          <w:color w:val="auto"/>
          <w:sz w:val="32"/>
          <w:szCs w:val="32"/>
          <w:highlight w:val="none"/>
          <w:lang w:val="en-US" w:eastAsia="zh-CN"/>
        </w:rPr>
        <w:t>不</w:t>
      </w:r>
      <w:r>
        <w:rPr>
          <w:rFonts w:hint="eastAsia" w:ascii="仿宋_GB2312" w:hAnsi="仿宋_GB2312" w:eastAsia="仿宋_GB2312" w:cs="仿宋_GB2312"/>
          <w:color w:val="auto"/>
          <w:sz w:val="32"/>
          <w:szCs w:val="32"/>
          <w:highlight w:val="none"/>
        </w:rPr>
        <w:t>存在差异。其中：</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外宾接待支出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年共接待国（境）外来访团组</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个、来访外宾</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人次（不包括陪同人员）。</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其他国内公务接待支出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年共接待国内来访团组</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个、来宾</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人次（不包括陪同人员）。</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八、政府性基金预算财政拨款支出决算情况说明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年度政府性基金预算财政拨款支出</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val="en-US" w:eastAsia="zh-CN"/>
        </w:rPr>
        <w:t>我单位2021年无政府性基金预算财政拨款收入支出，故此项无数据。</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九、机关运行经费支出情况说明</w:t>
      </w:r>
    </w:p>
    <w:p>
      <w:pPr>
        <w:widowControl/>
        <w:spacing w:line="590" w:lineRule="exact"/>
        <w:ind w:firstLine="640" w:firstLineChars="200"/>
        <w:outlineLvl w:val="1"/>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2021年度机关运行经费年初预算为34.17万元，支出决算为71.96万元，完成年初预算的210.59%。决算数与年初预算数存在差异的主要原因是将部分考试活动中相关刚性支出纳入基本支出核算</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十、政府采购支出情况说明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lang w:val="en-US" w:eastAsia="zh-CN"/>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年度政府采购支出总额</w:t>
      </w:r>
      <w:r>
        <w:rPr>
          <w:rFonts w:hint="eastAsia" w:ascii="仿宋_GB2312" w:hAnsi="仿宋_GB2312" w:eastAsia="仿宋_GB2312" w:cs="仿宋_GB2312"/>
          <w:color w:val="auto"/>
          <w:sz w:val="32"/>
          <w:szCs w:val="32"/>
          <w:highlight w:val="none"/>
          <w:lang w:val="en-US" w:eastAsia="zh-CN"/>
        </w:rPr>
        <w:t>88.22</w:t>
      </w:r>
      <w:r>
        <w:rPr>
          <w:rFonts w:hint="eastAsia" w:ascii="仿宋_GB2312" w:hAnsi="仿宋_GB2312" w:eastAsia="仿宋_GB2312" w:cs="仿宋_GB2312"/>
          <w:color w:val="auto"/>
          <w:sz w:val="32"/>
          <w:szCs w:val="32"/>
          <w:highlight w:val="none"/>
        </w:rPr>
        <w:t>万元，其中：政府采购货物支出</w:t>
      </w:r>
      <w:r>
        <w:rPr>
          <w:rFonts w:hint="eastAsia" w:ascii="仿宋_GB2312" w:hAnsi="仿宋_GB2312" w:eastAsia="仿宋_GB2312" w:cs="仿宋_GB2312"/>
          <w:color w:val="auto"/>
          <w:sz w:val="32"/>
          <w:szCs w:val="32"/>
          <w:highlight w:val="none"/>
          <w:lang w:val="en-US" w:eastAsia="zh-CN"/>
        </w:rPr>
        <w:t>88.22</w:t>
      </w:r>
      <w:r>
        <w:rPr>
          <w:rFonts w:hint="eastAsia" w:ascii="仿宋_GB2312" w:hAnsi="仿宋_GB2312" w:eastAsia="仿宋_GB2312" w:cs="仿宋_GB2312"/>
          <w:color w:val="auto"/>
          <w:sz w:val="32"/>
          <w:szCs w:val="32"/>
          <w:highlight w:val="none"/>
        </w:rPr>
        <w:t>万元、政府采购工程支出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万元、政府采购服务支出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万元。授予中小企业合同金额</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万元，其中：授予小微企业合同金额</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十一、国有资产占用情况说明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年期末，我单位共有车辆</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辆，其中：省级领导干部用车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辆、主要领导干部用车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辆、机要通信用车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辆、应急保障车</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辆、执法执勤用车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辆、特种专业技术用车</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辆、离退休干部用车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辆、其他用车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辆；单位价值50万元以上通用设备</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台（套），单位价值100万元以上专用设备</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台（套）。</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十二、预算绩效情况说明</w:t>
      </w:r>
    </w:p>
    <w:p>
      <w:pPr>
        <w:keepNext w:val="0"/>
        <w:keepLines w:val="0"/>
        <w:pageBreakBefore w:val="0"/>
        <w:widowControl/>
        <w:kinsoku/>
        <w:wordWrap/>
        <w:overflowPunct/>
        <w:topLinePunct w:val="0"/>
        <w:autoSpaceDE/>
        <w:autoSpaceDN/>
        <w:bidi w:val="0"/>
        <w:adjustRightInd/>
        <w:snapToGrid/>
        <w:spacing w:line="360" w:lineRule="auto"/>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（一）绩效管理工作开展情况。</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我单位按照《中共许昌市委 许昌市人民政府关于全面实施预算绩效管理的实施意见》（许发〔2021〕13号）文件要求，对本单位整体支出和项目支出开展全过程预算绩效管理。2021年我单位纳入预算绩效管理的支出总额为1314.39万元，其中：基本支出683.94万元；支出项目1个，支出金额630.46万元。开展项目绩效自评项目1个，自评金额209.00万元；纳入重点绩效评价0个，评价金额0.00万元。</w:t>
      </w:r>
    </w:p>
    <w:p>
      <w:pPr>
        <w:keepNext w:val="0"/>
        <w:keepLines w:val="0"/>
        <w:pageBreakBefore w:val="0"/>
        <w:widowControl/>
        <w:kinsoku/>
        <w:wordWrap/>
        <w:overflowPunct/>
        <w:topLinePunct w:val="0"/>
        <w:autoSpaceDE/>
        <w:autoSpaceDN/>
        <w:bidi w:val="0"/>
        <w:adjustRightInd/>
        <w:snapToGrid/>
        <w:spacing w:line="360" w:lineRule="auto"/>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（二）单位整体和项目绩效自评结果。</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按照《许昌市财政局关于开展2021年度市级预算绩效自评工作的通知》（许财效〔2022〕1号）等文件精神，我单位对本单位整体绩效目标和项目支出绩效目标进行了自评。一是单位整体绩效自评，年初预算数893.72万元，全年执行数1314.39万元，较好完成年度总体目标，较好完成年度主要任务。二是项目绩效自评情况，项目名称：招生考试考务费，年初预算数209万元，全年执行数630.46万元，各考点考务费已结算完成，各单位考试支出的办公费已结算完成，年度总体目标已完成。我单位共有1个项目批复了绩效目标。其中：</w:t>
      </w:r>
      <w:bookmarkStart w:id="0" w:name="_GoBack"/>
      <w:bookmarkEnd w:id="0"/>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许昌市招生考试中心1个</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基于项目预期目标的实现程度，对2021年度项目支出绩效进行自评，绩效自评平均得分为80.9分。其中：1个项目评价等级为“良”。</w:t>
      </w:r>
    </w:p>
    <w:p>
      <w:pPr>
        <w:keepNext w:val="0"/>
        <w:keepLines w:val="0"/>
        <w:pageBreakBefore w:val="0"/>
        <w:widowControl/>
        <w:kinsoku/>
        <w:wordWrap/>
        <w:overflowPunct/>
        <w:topLinePunct w:val="0"/>
        <w:autoSpaceDE/>
        <w:autoSpaceDN/>
        <w:bidi w:val="0"/>
        <w:adjustRightInd/>
        <w:snapToGrid/>
        <w:spacing w:line="360" w:lineRule="auto"/>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（三）重点绩效评价结果。</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我单位选取0项目开展了单位重点评价。许昌市财政局选0个项目开展财政重点评价。</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2021年度我单位没有开展重点绩效评价的项目。</w:t>
      </w:r>
    </w:p>
    <w:p>
      <w:pPr>
        <w:jc w:val="both"/>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br w:type="page"/>
      </w: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第四部分  名词解释</w:t>
      </w:r>
    </w:p>
    <w:p>
      <w:pPr>
        <w:jc w:val="center"/>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sectPr>
          <w:pgSz w:w="11906" w:h="16838"/>
          <w:pgMar w:top="1440" w:right="1531" w:bottom="1440" w:left="1587" w:header="850" w:footer="992" w:gutter="0"/>
          <w:pgNumType w:fmt="numberInDash"/>
          <w:cols w:space="720" w:num="1"/>
          <w:docGrid w:type="lines" w:linePitch="317" w:charSpace="0"/>
        </w:sectPr>
      </w:pP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kern w:val="2"/>
          <w:sz w:val="32"/>
          <w:szCs w:val="32"/>
          <w:highlight w:val="none"/>
          <w:lang w:val="en-US" w:eastAsia="zh-CN" w:bidi="ar"/>
        </w:rPr>
        <w:t>一、财政拨款收入：单位从同级政府财政单位取得的财政预算资金。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kern w:val="2"/>
          <w:sz w:val="32"/>
          <w:szCs w:val="32"/>
          <w:highlight w:val="none"/>
          <w:lang w:val="en-US" w:eastAsia="zh-CN" w:bidi="ar"/>
        </w:rPr>
        <w:t>二、事业收入：事业单位开展专业业务活动及其辅助活动取得的收入。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kern w:val="2"/>
          <w:sz w:val="32"/>
          <w:szCs w:val="32"/>
          <w:highlight w:val="none"/>
          <w:lang w:val="en-US" w:eastAsia="zh-CN" w:bidi="ar"/>
        </w:rPr>
        <w:t>三、上级补助收入：事业单位从主管单位和上级单位取得的非财政补助收入。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kern w:val="2"/>
          <w:sz w:val="32"/>
          <w:szCs w:val="32"/>
          <w:highlight w:val="none"/>
          <w:lang w:val="en-US" w:eastAsia="zh-CN" w:bidi="ar"/>
        </w:rPr>
        <w:t>四、附属单位上缴收入：事业单位取得附属独立核算单位根据有关规定上缴的收入。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kern w:val="2"/>
          <w:sz w:val="32"/>
          <w:szCs w:val="32"/>
          <w:highlight w:val="none"/>
          <w:lang w:val="en-US" w:eastAsia="zh-CN" w:bidi="ar"/>
        </w:rPr>
        <w:t>五、经营收入：事业单位在专业业务活动及其辅助活动之外开展非独立核算经营活动取得的收入。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kern w:val="2"/>
          <w:sz w:val="32"/>
          <w:szCs w:val="32"/>
          <w:highlight w:val="none"/>
          <w:lang w:val="en-US" w:eastAsia="zh-CN" w:bidi="ar"/>
        </w:rPr>
        <w:t>六、其他收入：单位取得的除“财政拨款收入”、“事业收入”、“上级补助收入”、“附属单位上缴收入”、“经营收入”以外的各项收入。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kern w:val="2"/>
          <w:sz w:val="32"/>
          <w:szCs w:val="32"/>
          <w:highlight w:val="none"/>
          <w:lang w:val="en-US" w:eastAsia="zh-CN" w:bidi="ar"/>
        </w:rPr>
        <w:t>七、使用非财政拨款结余：指事业单位使用以前年度积累的非财政拨款结余弥补当年收支差额的金额。</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kern w:val="2"/>
          <w:sz w:val="32"/>
          <w:szCs w:val="32"/>
          <w:highlight w:val="none"/>
          <w:lang w:val="en-US" w:eastAsia="zh-CN" w:bidi="ar"/>
        </w:rPr>
        <w:t>八、基本支出：为保障机构正常运转、完成日常工作任务而发生的人员支出和公用支出。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kern w:val="2"/>
          <w:sz w:val="32"/>
          <w:szCs w:val="32"/>
          <w:highlight w:val="none"/>
          <w:lang w:val="en-US" w:eastAsia="zh-CN" w:bidi="ar"/>
        </w:rPr>
        <w:t>九、项目支出：基本支出之外为完成特定行政任务和事业发展目标所发生的支出。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kern w:val="2"/>
          <w:sz w:val="32"/>
          <w:szCs w:val="32"/>
          <w:highlight w:val="none"/>
          <w:lang w:val="en-US" w:eastAsia="zh-CN" w:bidi="ar"/>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kern w:val="2"/>
          <w:sz w:val="32"/>
          <w:szCs w:val="32"/>
          <w:highlight w:val="none"/>
          <w:lang w:val="en-US" w:eastAsia="zh-CN" w:bidi="ar"/>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kern w:val="2"/>
          <w:sz w:val="32"/>
          <w:szCs w:val="32"/>
          <w:highlight w:val="none"/>
          <w:lang w:val="en-US" w:eastAsia="zh-CN" w:bidi="ar"/>
        </w:rPr>
        <w:t>十二、工资福利支出：单位支付给在职职工和编制外长期聘用人员的各类劳动报酬，以及为上述人员缴纳的各项社会保险费等。</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kern w:val="2"/>
          <w:sz w:val="32"/>
          <w:szCs w:val="32"/>
          <w:highlight w:val="none"/>
          <w:lang w:val="en-US" w:eastAsia="zh-CN" w:bidi="ar"/>
        </w:rPr>
        <w:t>十三、商品和服务支出：单位购买商品和服务的支出。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kern w:val="2"/>
          <w:sz w:val="32"/>
          <w:szCs w:val="32"/>
          <w:highlight w:val="none"/>
          <w:lang w:val="en-US" w:eastAsia="zh-CN" w:bidi="ar"/>
        </w:rPr>
        <w:t>十四、对个人和家庭的补助支出：单位用于对个人和家庭的补助支出。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kern w:val="2"/>
          <w:sz w:val="32"/>
          <w:szCs w:val="32"/>
          <w:highlight w:val="none"/>
          <w:lang w:val="en-US" w:eastAsia="zh-CN" w:bidi="ar"/>
        </w:rPr>
        <w:t>十五、年末结转：本年度或以前年度预算安排，已执行但尚未完成或因客观条件发生变化无法按原计划实施，需延迟到以后年度按有关规定继续使用的资金。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2"/>
          <w:sz w:val="32"/>
          <w:szCs w:val="32"/>
          <w:highlight w:val="none"/>
          <w:lang w:val="en-US" w:eastAsia="zh-CN" w:bidi="ar"/>
        </w:rPr>
        <w:t>十六、年末结余：本年度或以前年度预算安排，已执行完毕或因客观条件发生变化无法按原预算安排实施，不需要再使用或无法按原预算安排继续使用的资金。</w:t>
      </w:r>
    </w:p>
    <w:sectPr>
      <w:pgSz w:w="11906" w:h="16838"/>
      <w:pgMar w:top="1928" w:right="1474" w:bottom="1702"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B1q+sgBAACZ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UtKHLc48PPPH+dff86/v5Pr&#10;LE8foMash4B5afjgB1ya2Q/ozKwHFW3+Ih+CcRT3dBFXDomI/Gi1XK0qDAmMzRfEZ4/PQ4T0UXpL&#10;stHQiNMrovLjHaQxdU7J1Zy/1caUCRr3nwMxs4fl3sces5WG3TAR2vn2hHx6HHxDHe45JeaTQ13z&#10;jsxGnI3dbBxC1PuuLFGuB+H9IWETpbdcYYSdCuPECrtpu/JK/HsvWY9/1O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AdavrIAQAAmQMAAA4AAAAAAAAAAQAgAAAAHgEAAGRycy9lMm9Eb2Mu&#10;eG1sUEsFBgAAAAAGAAYAWQEAAFg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rPr>
                          </w:pP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B2ExcoBAACc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yhx3OLAL9+/XX78uvz8SpbV&#10;6k1WqA9QY+JDwNQ03PkhZ09+QGcmPqho8xcpEYyjvuervnJIRORH69V6XWFIYGy+IA57fB4ipLfS&#10;W5KNhkYcYNGVn95DGlPnlFzN+XttDPp5bdxfDsTMHpZ7H3vMVhr2w9T43rdn5NPj7BvqcNUpMe8c&#10;SpvXZDbibOxn4xiiPnRlj3I9CLfHhE2U3nKFEXYqjEMr7KYFy1vx571kPf5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SB2ExcoBAACcAwAADgAAAAAAAAABACAAAAAeAQAAZHJzL2Uyb0Rv&#10;Yy54bWxQSwUGAAAAAAYABgBZAQAAWgU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HvdzckBAACZAwAADgAAAGRycy9lMm9Eb2MueG1srVPNjtMwEL4j8Q6W&#10;79TZI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Ae93NyQEAAJkDAAAOAAAAAAAAAAEAIAAAAB4BAABkcnMvZTJvRG9j&#10;LnhtbFBLBQYAAAAABgAGAFkBAABZ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71BE17"/>
    <w:multiLevelType w:val="singleLevel"/>
    <w:tmpl w:val="5971BE17"/>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zMmNhMmI2OGM1NmNkZjBmOGIxOWRhMjk5NzcyYmUifQ=="/>
  </w:docVars>
  <w:rsids>
    <w:rsidRoot w:val="000270E8"/>
    <w:rsid w:val="000270E8"/>
    <w:rsid w:val="000335B5"/>
    <w:rsid w:val="00057AFD"/>
    <w:rsid w:val="00076410"/>
    <w:rsid w:val="00081835"/>
    <w:rsid w:val="000904B3"/>
    <w:rsid w:val="000C073B"/>
    <w:rsid w:val="000C1142"/>
    <w:rsid w:val="001003F8"/>
    <w:rsid w:val="00144159"/>
    <w:rsid w:val="001718A8"/>
    <w:rsid w:val="00182842"/>
    <w:rsid w:val="00184D53"/>
    <w:rsid w:val="001905F2"/>
    <w:rsid w:val="00197592"/>
    <w:rsid w:val="001C32F0"/>
    <w:rsid w:val="001D61B1"/>
    <w:rsid w:val="001F5040"/>
    <w:rsid w:val="002006EB"/>
    <w:rsid w:val="00214AE1"/>
    <w:rsid w:val="00260D70"/>
    <w:rsid w:val="00281114"/>
    <w:rsid w:val="00282C7F"/>
    <w:rsid w:val="00287811"/>
    <w:rsid w:val="00292B4B"/>
    <w:rsid w:val="002A6352"/>
    <w:rsid w:val="002B3F94"/>
    <w:rsid w:val="002C171D"/>
    <w:rsid w:val="002E6A86"/>
    <w:rsid w:val="00304D04"/>
    <w:rsid w:val="00305B88"/>
    <w:rsid w:val="00315FEB"/>
    <w:rsid w:val="0041489C"/>
    <w:rsid w:val="0042585F"/>
    <w:rsid w:val="00445CAC"/>
    <w:rsid w:val="00472E19"/>
    <w:rsid w:val="00487869"/>
    <w:rsid w:val="004D5275"/>
    <w:rsid w:val="004F63DB"/>
    <w:rsid w:val="00505190"/>
    <w:rsid w:val="00507364"/>
    <w:rsid w:val="00546F7C"/>
    <w:rsid w:val="005A0C2F"/>
    <w:rsid w:val="005B1AE2"/>
    <w:rsid w:val="005E3397"/>
    <w:rsid w:val="00607D67"/>
    <w:rsid w:val="006228C4"/>
    <w:rsid w:val="00636C37"/>
    <w:rsid w:val="006512DD"/>
    <w:rsid w:val="00656BEF"/>
    <w:rsid w:val="00656D75"/>
    <w:rsid w:val="00657E86"/>
    <w:rsid w:val="00673EF7"/>
    <w:rsid w:val="006841E9"/>
    <w:rsid w:val="0069449E"/>
    <w:rsid w:val="006C07F0"/>
    <w:rsid w:val="006C644A"/>
    <w:rsid w:val="006C7D84"/>
    <w:rsid w:val="007148E8"/>
    <w:rsid w:val="00733DAA"/>
    <w:rsid w:val="00742BA0"/>
    <w:rsid w:val="00753545"/>
    <w:rsid w:val="00764156"/>
    <w:rsid w:val="007706D7"/>
    <w:rsid w:val="007879ED"/>
    <w:rsid w:val="007A48A3"/>
    <w:rsid w:val="007C029F"/>
    <w:rsid w:val="007C7F49"/>
    <w:rsid w:val="007D2A21"/>
    <w:rsid w:val="00843461"/>
    <w:rsid w:val="008651E7"/>
    <w:rsid w:val="00872946"/>
    <w:rsid w:val="0088023A"/>
    <w:rsid w:val="008858FB"/>
    <w:rsid w:val="00894B41"/>
    <w:rsid w:val="008B5427"/>
    <w:rsid w:val="008C7CD0"/>
    <w:rsid w:val="00903F6B"/>
    <w:rsid w:val="009173F9"/>
    <w:rsid w:val="009308CB"/>
    <w:rsid w:val="00950270"/>
    <w:rsid w:val="00962F58"/>
    <w:rsid w:val="00975A04"/>
    <w:rsid w:val="00987E71"/>
    <w:rsid w:val="009F0FBB"/>
    <w:rsid w:val="009F546E"/>
    <w:rsid w:val="00A079F0"/>
    <w:rsid w:val="00A42F43"/>
    <w:rsid w:val="00A51982"/>
    <w:rsid w:val="00A57BF7"/>
    <w:rsid w:val="00A71DC1"/>
    <w:rsid w:val="00A83D8A"/>
    <w:rsid w:val="00A93E7D"/>
    <w:rsid w:val="00AA260E"/>
    <w:rsid w:val="00AA44CB"/>
    <w:rsid w:val="00AA67CD"/>
    <w:rsid w:val="00AD6761"/>
    <w:rsid w:val="00AE2FEA"/>
    <w:rsid w:val="00AE600E"/>
    <w:rsid w:val="00B0083B"/>
    <w:rsid w:val="00B040BC"/>
    <w:rsid w:val="00B209B8"/>
    <w:rsid w:val="00B20BBC"/>
    <w:rsid w:val="00B249F3"/>
    <w:rsid w:val="00B649BE"/>
    <w:rsid w:val="00B653A5"/>
    <w:rsid w:val="00B710DD"/>
    <w:rsid w:val="00BE5A85"/>
    <w:rsid w:val="00BF4E6A"/>
    <w:rsid w:val="00BF5718"/>
    <w:rsid w:val="00C13474"/>
    <w:rsid w:val="00C3106E"/>
    <w:rsid w:val="00C60609"/>
    <w:rsid w:val="00C95CC1"/>
    <w:rsid w:val="00CA3F44"/>
    <w:rsid w:val="00CB03ED"/>
    <w:rsid w:val="00CE212D"/>
    <w:rsid w:val="00CE4B38"/>
    <w:rsid w:val="00D1321A"/>
    <w:rsid w:val="00D30ADF"/>
    <w:rsid w:val="00D33CF8"/>
    <w:rsid w:val="00D6315E"/>
    <w:rsid w:val="00D652C2"/>
    <w:rsid w:val="00D74EE2"/>
    <w:rsid w:val="00D83E19"/>
    <w:rsid w:val="00D86CAD"/>
    <w:rsid w:val="00DA00C9"/>
    <w:rsid w:val="00DB200E"/>
    <w:rsid w:val="00DB65F5"/>
    <w:rsid w:val="00E01C3E"/>
    <w:rsid w:val="00E13099"/>
    <w:rsid w:val="00E334DF"/>
    <w:rsid w:val="00E4339F"/>
    <w:rsid w:val="00E60B05"/>
    <w:rsid w:val="00E629EA"/>
    <w:rsid w:val="00E6777C"/>
    <w:rsid w:val="00EB05A3"/>
    <w:rsid w:val="00ED38B7"/>
    <w:rsid w:val="00EE051D"/>
    <w:rsid w:val="00F0131A"/>
    <w:rsid w:val="00F14C17"/>
    <w:rsid w:val="00F17041"/>
    <w:rsid w:val="00F218CF"/>
    <w:rsid w:val="00F44937"/>
    <w:rsid w:val="00F61A47"/>
    <w:rsid w:val="00F84422"/>
    <w:rsid w:val="00F95455"/>
    <w:rsid w:val="00FA574D"/>
    <w:rsid w:val="00FC2588"/>
    <w:rsid w:val="00FE7AD9"/>
    <w:rsid w:val="01322275"/>
    <w:rsid w:val="01DC6F05"/>
    <w:rsid w:val="02A3489A"/>
    <w:rsid w:val="02CA138D"/>
    <w:rsid w:val="03034095"/>
    <w:rsid w:val="033646FC"/>
    <w:rsid w:val="03C75F80"/>
    <w:rsid w:val="0478364D"/>
    <w:rsid w:val="053D4C0D"/>
    <w:rsid w:val="0557532E"/>
    <w:rsid w:val="0799329C"/>
    <w:rsid w:val="08397436"/>
    <w:rsid w:val="086F16A7"/>
    <w:rsid w:val="0A0F7225"/>
    <w:rsid w:val="0A2B7D82"/>
    <w:rsid w:val="0ADC40E9"/>
    <w:rsid w:val="0AE607F4"/>
    <w:rsid w:val="0B386127"/>
    <w:rsid w:val="0B451598"/>
    <w:rsid w:val="0BEC73F4"/>
    <w:rsid w:val="0C392698"/>
    <w:rsid w:val="0CAF7323"/>
    <w:rsid w:val="10BD36F6"/>
    <w:rsid w:val="11BF0649"/>
    <w:rsid w:val="11ED1B0A"/>
    <w:rsid w:val="123E3E08"/>
    <w:rsid w:val="133212F4"/>
    <w:rsid w:val="13D22E22"/>
    <w:rsid w:val="140454B4"/>
    <w:rsid w:val="161C2DFF"/>
    <w:rsid w:val="16373578"/>
    <w:rsid w:val="16D3336B"/>
    <w:rsid w:val="17200028"/>
    <w:rsid w:val="17806C36"/>
    <w:rsid w:val="17A74F62"/>
    <w:rsid w:val="18A47774"/>
    <w:rsid w:val="1A8D28EB"/>
    <w:rsid w:val="1A9F2D78"/>
    <w:rsid w:val="1B2E6FD8"/>
    <w:rsid w:val="1B877D21"/>
    <w:rsid w:val="1C4319A9"/>
    <w:rsid w:val="1D3E039A"/>
    <w:rsid w:val="1E443B4B"/>
    <w:rsid w:val="1E994F4A"/>
    <w:rsid w:val="1EAF0224"/>
    <w:rsid w:val="1F2230A4"/>
    <w:rsid w:val="20210932"/>
    <w:rsid w:val="202448E0"/>
    <w:rsid w:val="20F614FE"/>
    <w:rsid w:val="21302EEA"/>
    <w:rsid w:val="22376FB5"/>
    <w:rsid w:val="237B21E8"/>
    <w:rsid w:val="23E152D7"/>
    <w:rsid w:val="23EE2489"/>
    <w:rsid w:val="24CB412A"/>
    <w:rsid w:val="255D43C8"/>
    <w:rsid w:val="26714EF8"/>
    <w:rsid w:val="26876BDD"/>
    <w:rsid w:val="2714632A"/>
    <w:rsid w:val="27541E73"/>
    <w:rsid w:val="27B0539E"/>
    <w:rsid w:val="29365CF8"/>
    <w:rsid w:val="299469B3"/>
    <w:rsid w:val="2A805789"/>
    <w:rsid w:val="2ADC0D75"/>
    <w:rsid w:val="2B4A0E52"/>
    <w:rsid w:val="2C975890"/>
    <w:rsid w:val="2DEF21BB"/>
    <w:rsid w:val="2E4A2F05"/>
    <w:rsid w:val="2ECC1061"/>
    <w:rsid w:val="2FA476AD"/>
    <w:rsid w:val="303F7540"/>
    <w:rsid w:val="316C3118"/>
    <w:rsid w:val="31DD00BF"/>
    <w:rsid w:val="32256765"/>
    <w:rsid w:val="3293174C"/>
    <w:rsid w:val="32BB38D4"/>
    <w:rsid w:val="32C9376D"/>
    <w:rsid w:val="33780472"/>
    <w:rsid w:val="33AF0905"/>
    <w:rsid w:val="353C5D70"/>
    <w:rsid w:val="355932F4"/>
    <w:rsid w:val="35611882"/>
    <w:rsid w:val="36746FC3"/>
    <w:rsid w:val="368763AE"/>
    <w:rsid w:val="385A37B1"/>
    <w:rsid w:val="395D59E7"/>
    <w:rsid w:val="39A93932"/>
    <w:rsid w:val="3A915562"/>
    <w:rsid w:val="3B8D4765"/>
    <w:rsid w:val="3C000DBA"/>
    <w:rsid w:val="3DC045D3"/>
    <w:rsid w:val="3E504FFB"/>
    <w:rsid w:val="3E615CD0"/>
    <w:rsid w:val="3E9C47F6"/>
    <w:rsid w:val="3F8B0112"/>
    <w:rsid w:val="3FAB3095"/>
    <w:rsid w:val="3FE45947"/>
    <w:rsid w:val="41242965"/>
    <w:rsid w:val="435671EA"/>
    <w:rsid w:val="440809E9"/>
    <w:rsid w:val="442407A6"/>
    <w:rsid w:val="44805EA1"/>
    <w:rsid w:val="45710696"/>
    <w:rsid w:val="46142B1B"/>
    <w:rsid w:val="47E60DD0"/>
    <w:rsid w:val="48735039"/>
    <w:rsid w:val="492C684B"/>
    <w:rsid w:val="49500594"/>
    <w:rsid w:val="49E7604E"/>
    <w:rsid w:val="4BF67CDD"/>
    <w:rsid w:val="4D173441"/>
    <w:rsid w:val="4D603DD6"/>
    <w:rsid w:val="4EBF010F"/>
    <w:rsid w:val="4F471EB0"/>
    <w:rsid w:val="50F96EF1"/>
    <w:rsid w:val="51331326"/>
    <w:rsid w:val="51740A7F"/>
    <w:rsid w:val="51A5541E"/>
    <w:rsid w:val="51C96242"/>
    <w:rsid w:val="53906AE1"/>
    <w:rsid w:val="54F46F60"/>
    <w:rsid w:val="55A37BEA"/>
    <w:rsid w:val="56362CD2"/>
    <w:rsid w:val="5784687B"/>
    <w:rsid w:val="57846959"/>
    <w:rsid w:val="578E6A87"/>
    <w:rsid w:val="57D76B19"/>
    <w:rsid w:val="5AC2203A"/>
    <w:rsid w:val="5CBB3334"/>
    <w:rsid w:val="5D115FAF"/>
    <w:rsid w:val="5D593CCA"/>
    <w:rsid w:val="600834C5"/>
    <w:rsid w:val="62811722"/>
    <w:rsid w:val="62E75A72"/>
    <w:rsid w:val="64571880"/>
    <w:rsid w:val="649125B6"/>
    <w:rsid w:val="652F4C1A"/>
    <w:rsid w:val="666D37F1"/>
    <w:rsid w:val="67087D8F"/>
    <w:rsid w:val="671F687E"/>
    <w:rsid w:val="67F415F8"/>
    <w:rsid w:val="682640D1"/>
    <w:rsid w:val="684B73E5"/>
    <w:rsid w:val="6A047A2A"/>
    <w:rsid w:val="6AFA6BEF"/>
    <w:rsid w:val="6D02699F"/>
    <w:rsid w:val="6EFB7548"/>
    <w:rsid w:val="6F3831C3"/>
    <w:rsid w:val="6F8B71C1"/>
    <w:rsid w:val="6FEDAE04"/>
    <w:rsid w:val="70753482"/>
    <w:rsid w:val="707B522A"/>
    <w:rsid w:val="72A51FD2"/>
    <w:rsid w:val="73194D05"/>
    <w:rsid w:val="73A83B0E"/>
    <w:rsid w:val="744D3EF9"/>
    <w:rsid w:val="74794411"/>
    <w:rsid w:val="75867C40"/>
    <w:rsid w:val="75B10B26"/>
    <w:rsid w:val="76432199"/>
    <w:rsid w:val="76B5268B"/>
    <w:rsid w:val="76F44829"/>
    <w:rsid w:val="77A267C0"/>
    <w:rsid w:val="78882278"/>
    <w:rsid w:val="78B118A6"/>
    <w:rsid w:val="79135044"/>
    <w:rsid w:val="7A7D0F99"/>
    <w:rsid w:val="7BFBF01F"/>
    <w:rsid w:val="7E4A0E7C"/>
    <w:rsid w:val="7EFD449D"/>
    <w:rsid w:val="EB77BEB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FollowedHyperlink"/>
    <w:unhideWhenUsed/>
    <w:qFormat/>
    <w:uiPriority w:val="99"/>
    <w:rPr>
      <w:color w:val="800080"/>
      <w:u w:val="single"/>
    </w:rPr>
  </w:style>
  <w:style w:type="character" w:styleId="9">
    <w:name w:val="Hyperlink"/>
    <w:unhideWhenUsed/>
    <w:qFormat/>
    <w:uiPriority w:val="99"/>
    <w:rPr>
      <w:color w:val="0000FF"/>
      <w:u w:val="single"/>
    </w:rPr>
  </w:style>
  <w:style w:type="character" w:customStyle="1" w:styleId="10">
    <w:name w:val="批注框文本 Char"/>
    <w:link w:val="2"/>
    <w:semiHidden/>
    <w:qFormat/>
    <w:uiPriority w:val="99"/>
    <w:rPr>
      <w:kern w:val="2"/>
      <w:sz w:val="18"/>
      <w:szCs w:val="18"/>
    </w:rPr>
  </w:style>
  <w:style w:type="character" w:customStyle="1" w:styleId="11">
    <w:name w:val="页脚 Char"/>
    <w:link w:val="3"/>
    <w:qFormat/>
    <w:uiPriority w:val="99"/>
    <w:rPr>
      <w:kern w:val="2"/>
      <w:sz w:val="18"/>
      <w:szCs w:val="18"/>
    </w:rPr>
  </w:style>
  <w:style w:type="character" w:customStyle="1" w:styleId="12">
    <w:name w:val="页眉 Char"/>
    <w:link w:val="4"/>
    <w:qFormat/>
    <w:uiPriority w:val="99"/>
    <w:rPr>
      <w:kern w:val="2"/>
      <w:sz w:val="18"/>
      <w:szCs w:val="18"/>
    </w:rPr>
  </w:style>
  <w:style w:type="character" w:customStyle="1" w:styleId="13">
    <w:name w:val="font01"/>
    <w:qFormat/>
    <w:uiPriority w:val="0"/>
    <w:rPr>
      <w:rFonts w:hint="eastAsia" w:ascii="宋体" w:hAnsi="宋体" w:eastAsia="宋体" w:cs="宋体"/>
      <w:color w:val="000000"/>
      <w:sz w:val="22"/>
      <w:szCs w:val="22"/>
      <w:u w:val="none"/>
    </w:rPr>
  </w:style>
  <w:style w:type="character" w:customStyle="1" w:styleId="14">
    <w:name w:val="font21"/>
    <w:qFormat/>
    <w:uiPriority w:val="0"/>
    <w:rPr>
      <w:rFonts w:hint="eastAsia" w:ascii="宋体" w:hAnsi="宋体" w:eastAsia="宋体" w:cs="宋体"/>
      <w:color w:val="000000"/>
      <w:sz w:val="22"/>
      <w:szCs w:val="22"/>
      <w:u w:val="none"/>
    </w:rPr>
  </w:style>
  <w:style w:type="character" w:customStyle="1" w:styleId="15">
    <w:name w:val="font51"/>
    <w:qFormat/>
    <w:uiPriority w:val="0"/>
    <w:rPr>
      <w:rFonts w:hint="eastAsia" w:ascii="宋体" w:hAnsi="宋体" w:eastAsia="宋体" w:cs="宋体"/>
      <w:color w:val="000000"/>
      <w:sz w:val="24"/>
      <w:szCs w:val="24"/>
      <w:u w:val="none"/>
    </w:rPr>
  </w:style>
  <w:style w:type="character" w:customStyle="1" w:styleId="16">
    <w:name w:val="font11"/>
    <w:qFormat/>
    <w:uiPriority w:val="0"/>
    <w:rPr>
      <w:rFonts w:hint="eastAsia" w:ascii="宋体" w:hAnsi="宋体" w:eastAsia="宋体" w:cs="宋体"/>
      <w:color w:val="000000"/>
      <w:sz w:val="20"/>
      <w:szCs w:val="20"/>
      <w:u w:val="none"/>
    </w:rPr>
  </w:style>
  <w:style w:type="character" w:customStyle="1" w:styleId="17">
    <w:name w:val="font4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26</Pages>
  <Words>1266</Words>
  <Characters>7220</Characters>
  <Lines>60</Lines>
  <Paragraphs>16</Paragraphs>
  <TotalTime>3</TotalTime>
  <ScaleCrop>false</ScaleCrop>
  <LinksUpToDate>false</LinksUpToDate>
  <CharactersWithSpaces>8470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2007-11-29T11:41:00Z</dcterms:created>
  <dc:creator>管理者</dc:creator>
  <cp:lastModifiedBy>悟の</cp:lastModifiedBy>
  <cp:lastPrinted>2018-07-24T18:50:00Z</cp:lastPrinted>
  <dcterms:modified xsi:type="dcterms:W3CDTF">2023-09-17T11:15:38Z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3BEFAAC6FA3C4F36B030EBD680C8AD7D_13</vt:lpwstr>
  </property>
</Properties>
</file>