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rPr>
          <w:rFonts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ascii="黑体" w:hAnsi="黑体" w:eastAsia="黑体" w:cs="黑体"/>
          <w:color w:val="auto"/>
          <w:sz w:val="52"/>
          <w:szCs w:val="52"/>
        </w:rPr>
      </w:pPr>
      <w:r>
        <w:rPr>
          <w:rFonts w:hint="eastAsia" w:ascii="黑体" w:hAnsi="黑体" w:eastAsia="黑体" w:cs="黑体"/>
          <w:color w:val="auto"/>
          <w:sz w:val="52"/>
          <w:szCs w:val="52"/>
        </w:rPr>
        <w:t>许昌市房屋征收管理中心单位决算</w:t>
      </w: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许昌市房屋征收管理中心概况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单位职责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2021年度单位决算表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年度单位决算情况说明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十二、预算绩效情况说明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bookmarkStart w:id="0" w:name="_GoBack"/>
      <w:bookmarkEnd w:id="0"/>
    </w:p>
    <w:p>
      <w:pPr>
        <w:widowControl/>
        <w:jc w:val="left"/>
        <w:rPr>
          <w:rFonts w:ascii="黑体" w:hAnsi="宋体" w:eastAsia="黑体" w:cs="宋体"/>
          <w:color w:val="auto"/>
          <w:kern w:val="0"/>
          <w:sz w:val="28"/>
          <w:szCs w:val="28"/>
        </w:rPr>
      </w:pPr>
    </w:p>
    <w:p>
      <w:pPr>
        <w:widowControl/>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第一部分  许昌市房屋征收管理中心</w:t>
      </w:r>
    </w:p>
    <w:p>
      <w:pPr>
        <w:widowControl/>
        <w:outlineLvl w:val="0"/>
        <w:rPr>
          <w:rFonts w:ascii="黑体" w:hAnsi="宋体" w:eastAsia="黑体" w:cs="宋体"/>
          <w:color w:val="auto"/>
          <w:kern w:val="0"/>
          <w:sz w:val="48"/>
          <w:szCs w:val="48"/>
        </w:rPr>
      </w:pPr>
      <w:r>
        <w:rPr>
          <w:rFonts w:hint="eastAsia" w:ascii="黑体" w:hAnsi="黑体" w:eastAsia="黑体" w:cs="黑体"/>
          <w:color w:val="auto"/>
          <w:sz w:val="48"/>
          <w:szCs w:val="48"/>
        </w:rPr>
        <w:t xml:space="preserve">                   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一、单位</w:t>
      </w:r>
      <w:r>
        <w:rPr>
          <w:rFonts w:hint="eastAsia" w:ascii="黑体" w:hAnsi="黑体" w:eastAsia="黑体" w:cs="黑体"/>
          <w:bCs/>
          <w:color w:val="auto"/>
          <w:sz w:val="32"/>
          <w:szCs w:val="32"/>
        </w:rPr>
        <w:t>职责</w:t>
      </w:r>
    </w:p>
    <w:p>
      <w:pPr>
        <w:widowControl/>
        <w:ind w:firstLine="640" w:firstLineChars="200"/>
        <w:outlineLvl w:val="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委托负责对市财政投资的重点工程、大型建设项目的房屋征收与补偿，负责跨区建设的大型建设项目的房屋征收与补偿，指导县（市、区）房屋征收工作。督促指导全市棚户区改造工作的开展，拟定棚户区改造相关配套政策，负责对各县（市、区）棚户区改造工作进行督查、考核等。</w:t>
      </w: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二、机构设置</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许昌市房屋征收管理中心内设机构2个，包括：综合科、法规科。</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从决算单位构成看，许昌市房屋征收管理中心单位决算包括</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本级决算（1个）。</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纳入本单位2021年度单位决算编制范围的单位共1个，具体是：</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1.许昌市房屋征收管理中心</w:t>
      </w:r>
    </w:p>
    <w:p>
      <w:pPr>
        <w:widowControl/>
        <w:ind w:firstLine="640" w:firstLineChars="200"/>
        <w:jc w:val="left"/>
        <w:rPr>
          <w:rFonts w:ascii="仿宋_GB2312" w:hAnsi="仿宋_GB2312" w:eastAsia="仿宋_GB2312" w:cs="仿宋_GB2312"/>
          <w:color w:val="auto"/>
          <w:kern w:val="0"/>
          <w:sz w:val="32"/>
          <w:szCs w:val="32"/>
        </w:rPr>
      </w:pPr>
    </w:p>
    <w:p>
      <w:pPr>
        <w:widowControl/>
        <w:jc w:val="left"/>
        <w:rPr>
          <w:rFonts w:ascii="黑体" w:hAnsi="宋体" w:eastAsia="黑体" w:cs="宋体"/>
          <w:color w:val="auto"/>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第二部分  2021年度单位决算表</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4290"/>
        <w:gridCol w:w="766"/>
        <w:gridCol w:w="1747"/>
        <w:gridCol w:w="4535"/>
        <w:gridCol w:w="1107"/>
        <w:gridCol w:w="1636"/>
      </w:tblGrid>
      <w:tr>
        <w:tblPrEx>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收入支出决算总表</w:t>
            </w:r>
          </w:p>
        </w:tc>
      </w:tr>
      <w:tr>
        <w:tblPrEx>
          <w:tblCellMar>
            <w:top w:w="0" w:type="dxa"/>
            <w:left w:w="108" w:type="dxa"/>
            <w:bottom w:w="0" w:type="dxa"/>
            <w:right w:w="108" w:type="dxa"/>
          </w:tblCellMar>
        </w:tblPrEx>
        <w:trPr>
          <w:trHeight w:val="255" w:hRule="atLeast"/>
        </w:trPr>
        <w:tc>
          <w:tcPr>
            <w:tcW w:w="4290" w:type="dxa"/>
            <w:tcBorders>
              <w:top w:val="nil"/>
              <w:left w:val="nil"/>
              <w:bottom w:val="nil"/>
              <w:right w:val="nil"/>
            </w:tcBorders>
            <w:noWrap/>
            <w:vAlign w:val="bottom"/>
          </w:tcPr>
          <w:p>
            <w:pPr>
              <w:rPr>
                <w:rFonts w:ascii="Arial" w:hAnsi="Arial" w:cs="Arial"/>
                <w:color w:val="auto"/>
                <w:sz w:val="20"/>
                <w:szCs w:val="20"/>
              </w:rPr>
            </w:pPr>
          </w:p>
        </w:tc>
        <w:tc>
          <w:tcPr>
            <w:tcW w:w="766" w:type="dxa"/>
            <w:tcBorders>
              <w:top w:val="nil"/>
              <w:left w:val="nil"/>
              <w:bottom w:val="nil"/>
              <w:right w:val="nil"/>
            </w:tcBorders>
            <w:noWrap/>
            <w:vAlign w:val="bottom"/>
          </w:tcPr>
          <w:p>
            <w:pPr>
              <w:rPr>
                <w:rFonts w:ascii="Arial" w:hAnsi="Arial" w:cs="Arial"/>
                <w:color w:val="auto"/>
                <w:sz w:val="20"/>
                <w:szCs w:val="20"/>
              </w:rPr>
            </w:pPr>
          </w:p>
        </w:tc>
        <w:tc>
          <w:tcPr>
            <w:tcW w:w="1134" w:type="dxa"/>
            <w:tcBorders>
              <w:top w:val="nil"/>
              <w:left w:val="nil"/>
              <w:bottom w:val="nil"/>
              <w:right w:val="nil"/>
            </w:tcBorders>
            <w:noWrap/>
            <w:vAlign w:val="bottom"/>
          </w:tcPr>
          <w:p>
            <w:pPr>
              <w:rPr>
                <w:rFonts w:ascii="Arial" w:hAnsi="Arial" w:cs="Arial"/>
                <w:color w:val="auto"/>
                <w:sz w:val="20"/>
                <w:szCs w:val="20"/>
              </w:rPr>
            </w:pPr>
          </w:p>
        </w:tc>
        <w:tc>
          <w:tcPr>
            <w:tcW w:w="4535" w:type="dxa"/>
            <w:tcBorders>
              <w:top w:val="nil"/>
              <w:left w:val="nil"/>
              <w:bottom w:val="nil"/>
              <w:right w:val="nil"/>
            </w:tcBorders>
            <w:noWrap/>
            <w:vAlign w:val="bottom"/>
          </w:tcPr>
          <w:p>
            <w:pPr>
              <w:rPr>
                <w:rFonts w:ascii="Arial" w:hAnsi="Arial" w:cs="Arial"/>
                <w:color w:val="auto"/>
                <w:sz w:val="20"/>
                <w:szCs w:val="20"/>
              </w:rPr>
            </w:pPr>
          </w:p>
        </w:tc>
        <w:tc>
          <w:tcPr>
            <w:tcW w:w="2743"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公开01表</w:t>
            </w:r>
          </w:p>
        </w:tc>
      </w:tr>
      <w:tr>
        <w:tblPrEx>
          <w:tblCellMar>
            <w:top w:w="0" w:type="dxa"/>
            <w:left w:w="108" w:type="dxa"/>
            <w:bottom w:w="0" w:type="dxa"/>
            <w:right w:w="108" w:type="dxa"/>
          </w:tblCellMar>
        </w:tblPrEx>
        <w:trPr>
          <w:trHeight w:val="255" w:hRule="atLeast"/>
        </w:trPr>
        <w:tc>
          <w:tcPr>
            <w:tcW w:w="4290" w:type="dxa"/>
            <w:tcBorders>
              <w:top w:val="nil"/>
              <w:left w:val="nil"/>
              <w:bottom w:val="nil"/>
              <w:right w:val="nil"/>
            </w:tcBorders>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rPr>
              <w:t>单位：许昌市房屋征收管理中心</w:t>
            </w:r>
          </w:p>
        </w:tc>
        <w:tc>
          <w:tcPr>
            <w:tcW w:w="766" w:type="dxa"/>
            <w:tcBorders>
              <w:top w:val="nil"/>
              <w:left w:val="nil"/>
              <w:bottom w:val="nil"/>
              <w:right w:val="nil"/>
            </w:tcBorders>
            <w:noWrap/>
            <w:vAlign w:val="bottom"/>
          </w:tcPr>
          <w:p>
            <w:pPr>
              <w:rPr>
                <w:rFonts w:ascii="Arial" w:hAnsi="Arial" w:cs="Arial"/>
                <w:color w:val="auto"/>
                <w:sz w:val="20"/>
                <w:szCs w:val="20"/>
              </w:rPr>
            </w:pPr>
          </w:p>
        </w:tc>
        <w:tc>
          <w:tcPr>
            <w:tcW w:w="1134" w:type="dxa"/>
            <w:tcBorders>
              <w:top w:val="nil"/>
              <w:left w:val="nil"/>
              <w:bottom w:val="nil"/>
              <w:right w:val="nil"/>
            </w:tcBorders>
            <w:noWrap/>
            <w:vAlign w:val="bottom"/>
          </w:tcPr>
          <w:p>
            <w:pPr>
              <w:rPr>
                <w:rFonts w:ascii="Arial" w:hAnsi="Arial" w:cs="Arial"/>
                <w:color w:val="auto"/>
                <w:sz w:val="20"/>
                <w:szCs w:val="20"/>
              </w:rPr>
            </w:pPr>
          </w:p>
        </w:tc>
        <w:tc>
          <w:tcPr>
            <w:tcW w:w="4535" w:type="dxa"/>
            <w:tcBorders>
              <w:top w:val="nil"/>
              <w:left w:val="nil"/>
              <w:bottom w:val="nil"/>
              <w:right w:val="nil"/>
            </w:tcBorders>
            <w:noWrap/>
            <w:vAlign w:val="bottom"/>
          </w:tcPr>
          <w:p>
            <w:pPr>
              <w:rPr>
                <w:rFonts w:ascii="Arial" w:hAnsi="Arial" w:cs="Arial"/>
                <w:color w:val="auto"/>
                <w:sz w:val="20"/>
                <w:szCs w:val="20"/>
              </w:rPr>
            </w:pPr>
          </w:p>
        </w:tc>
        <w:tc>
          <w:tcPr>
            <w:tcW w:w="2743"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345" w:hRule="atLeast"/>
        </w:trPr>
        <w:tc>
          <w:tcPr>
            <w:tcW w:w="680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收入</w:t>
            </w:r>
          </w:p>
        </w:tc>
        <w:tc>
          <w:tcPr>
            <w:tcW w:w="7278"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支出</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项目</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行次</w:t>
            </w:r>
          </w:p>
        </w:tc>
        <w:tc>
          <w:tcPr>
            <w:tcW w:w="1134"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金额</w:t>
            </w:r>
          </w:p>
        </w:tc>
        <w:tc>
          <w:tcPr>
            <w:tcW w:w="453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项目</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行次</w:t>
            </w:r>
          </w:p>
        </w:tc>
        <w:tc>
          <w:tcPr>
            <w:tcW w:w="1472"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金额</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栏次</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w:t>
            </w:r>
          </w:p>
        </w:tc>
        <w:tc>
          <w:tcPr>
            <w:tcW w:w="453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栏次</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1472"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一、一般公共预算财政拨款收入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141.36</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一、一般公共服务支出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32</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0.69</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二、政府性基金预算财政拨款收入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二、外交支出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33</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三、国有资本经营预算财政拨款收入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三、国防支出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34</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四、上级补助收入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四、公共安全支出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35</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五、事业收入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五、教育支出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36</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六、经营收入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6</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六、科学技术支出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37</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七、附属单位上缴收入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七、文化旅游体育与传媒支出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38</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八、其他收入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八、社会保障和就业支出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39</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1.42</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9</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九、卫生健康支出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40</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0.52</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10</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十、节能环保支出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41</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十一、城乡社区支出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42</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151.03</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12</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十二、农林水支出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43</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13</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十三、交通运输支出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44</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14</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十四、资源勘探工业信息等支出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45</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15</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十五、商业服务业等支出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46</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16</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十六、金融支出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47</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十七、援助其他地区支出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48</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十八、自然资源海洋气象等支出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49</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19</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十九、住房保障支出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50</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20</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二十、粮油物资储备支出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51</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二十一、国有资本经营预算支出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52</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22</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二十二、灾害防治及应急管理支出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53</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23</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二十三、其他支出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54</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rPr>
            </w:pPr>
            <w:r>
              <w:rPr>
                <w:rFonts w:hint="eastAsia" w:cs="宋体" w:asciiTheme="majorEastAsia" w:hAnsiTheme="majorEastAsia" w:eastAsiaTheme="majorEastAsia"/>
                <w:b/>
                <w:bCs/>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24</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二十四、债务还本支出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55</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25</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二十五、债务付息支出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56</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26</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二十六、抗疫特别国债安排的支出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57</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rPr>
            </w:pPr>
            <w:r>
              <w:rPr>
                <w:rFonts w:hint="eastAsia" w:cs="宋体" w:asciiTheme="majorEastAsia" w:hAnsiTheme="majorEastAsia" w:eastAsiaTheme="majorEastAsia"/>
                <w:b/>
                <w:bCs/>
                <w:color w:val="auto"/>
                <w:kern w:val="0"/>
                <w:sz w:val="22"/>
              </w:rPr>
              <w:t>本年收入合计</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141.36</w:t>
            </w:r>
          </w:p>
        </w:tc>
        <w:tc>
          <w:tcPr>
            <w:tcW w:w="453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rPr>
            </w:pPr>
            <w:r>
              <w:rPr>
                <w:rFonts w:hint="eastAsia" w:cs="宋体" w:asciiTheme="majorEastAsia" w:hAnsiTheme="majorEastAsia" w:eastAsiaTheme="majorEastAsia"/>
                <w:b/>
                <w:bCs/>
                <w:color w:val="auto"/>
                <w:kern w:val="0"/>
                <w:sz w:val="22"/>
              </w:rPr>
              <w:t>本年支出合计</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58</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153.66</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使用非财政拨款结余</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结余分配</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59</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年初结转和结余</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29</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12.30</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年末结转和结余</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60</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30</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61</w:t>
            </w:r>
          </w:p>
        </w:tc>
        <w:tc>
          <w:tcPr>
            <w:tcW w:w="1472"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rPr>
            </w:pPr>
            <w:r>
              <w:rPr>
                <w:rFonts w:hint="eastAsia" w:cs="宋体" w:asciiTheme="majorEastAsia" w:hAnsiTheme="majorEastAsia" w:eastAsiaTheme="majorEastAsia"/>
                <w:b/>
                <w:bCs/>
                <w:color w:val="auto"/>
                <w:kern w:val="0"/>
                <w:sz w:val="22"/>
              </w:rPr>
              <w:t>总计</w:t>
            </w:r>
          </w:p>
        </w:tc>
        <w:tc>
          <w:tcPr>
            <w:tcW w:w="766" w:type="dxa"/>
            <w:tcBorders>
              <w:top w:val="nil"/>
              <w:left w:val="nil"/>
              <w:bottom w:val="single" w:color="000000" w:sz="8"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31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153.66</w:t>
            </w:r>
          </w:p>
        </w:tc>
        <w:tc>
          <w:tcPr>
            <w:tcW w:w="453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rPr>
            </w:pPr>
            <w:r>
              <w:rPr>
                <w:rFonts w:hint="eastAsia" w:cs="宋体" w:asciiTheme="majorEastAsia" w:hAnsiTheme="majorEastAsia" w:eastAsiaTheme="majorEastAsia"/>
                <w:b/>
                <w:bCs/>
                <w:color w:val="auto"/>
                <w:kern w:val="0"/>
                <w:sz w:val="22"/>
              </w:rPr>
              <w:t>总计</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62</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153.66</w:t>
            </w:r>
          </w:p>
        </w:tc>
      </w:tr>
      <w:tr>
        <w:tblPrEx>
          <w:tblCellMar>
            <w:top w:w="0" w:type="dxa"/>
            <w:left w:w="108" w:type="dxa"/>
            <w:bottom w:w="0" w:type="dxa"/>
            <w:right w:w="108" w:type="dxa"/>
          </w:tblCellMar>
        </w:tblPrEx>
        <w:trPr>
          <w:trHeight w:val="345" w:hRule="atLeast"/>
        </w:trPr>
        <w:tc>
          <w:tcPr>
            <w:tcW w:w="14081" w:type="dxa"/>
            <w:gridSpan w:val="6"/>
            <w:tcBorders>
              <w:top w:val="nil"/>
              <w:left w:val="nil"/>
              <w:bottom w:val="nil"/>
              <w:right w:val="nil"/>
            </w:tcBorders>
            <w:noWrap/>
            <w:vAlign w:val="center"/>
          </w:tcPr>
          <w:p>
            <w:pPr>
              <w:widowControl/>
              <w:jc w:val="left"/>
              <w:textAlignment w:val="center"/>
              <w:rPr>
                <w:rFonts w:cs="宋体" w:asciiTheme="majorEastAsia" w:hAnsiTheme="majorEastAsia" w:eastAsiaTheme="majorEastAsia"/>
                <w:color w:val="auto"/>
                <w:sz w:val="22"/>
              </w:rPr>
            </w:pPr>
            <w:r>
              <w:rPr>
                <w:rFonts w:hint="eastAsia" w:cs="宋体" w:asciiTheme="majorEastAsia" w:hAnsiTheme="majorEastAsia" w:eastAsiaTheme="majorEastAsia"/>
                <w:color w:val="auto"/>
                <w:kern w:val="0"/>
                <w:sz w:val="22"/>
              </w:rPr>
              <w:t>注：本表反映单位本年度的总收支和年末结转结余情况。本表金额转换为万元时，因四舍五入可能存在尾差。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9" w:type="dxa"/>
        <w:tblInd w:w="93" w:type="dxa"/>
        <w:tblLayout w:type="fixed"/>
        <w:tblCellMar>
          <w:top w:w="0" w:type="dxa"/>
          <w:left w:w="108" w:type="dxa"/>
          <w:bottom w:w="0" w:type="dxa"/>
          <w:right w:w="108" w:type="dxa"/>
        </w:tblCellMar>
      </w:tblPr>
      <w:tblGrid>
        <w:gridCol w:w="1149"/>
        <w:gridCol w:w="3435"/>
        <w:gridCol w:w="1415"/>
        <w:gridCol w:w="1415"/>
        <w:gridCol w:w="1165"/>
        <w:gridCol w:w="1175"/>
        <w:gridCol w:w="1113"/>
        <w:gridCol w:w="1257"/>
        <w:gridCol w:w="1845"/>
      </w:tblGrid>
      <w:tr>
        <w:tblPrEx>
          <w:tblCellMar>
            <w:top w:w="0" w:type="dxa"/>
            <w:left w:w="108" w:type="dxa"/>
            <w:bottom w:w="0" w:type="dxa"/>
            <w:right w:w="108" w:type="dxa"/>
          </w:tblCellMar>
        </w:tblPrEx>
        <w:trPr>
          <w:trHeight w:val="390" w:hRule="atLeast"/>
        </w:trPr>
        <w:tc>
          <w:tcPr>
            <w:tcW w:w="13969" w:type="dxa"/>
            <w:gridSpan w:val="9"/>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收入决算表</w:t>
            </w:r>
          </w:p>
        </w:tc>
      </w:tr>
      <w:tr>
        <w:tblPrEx>
          <w:tblCellMar>
            <w:top w:w="0" w:type="dxa"/>
            <w:left w:w="108" w:type="dxa"/>
            <w:bottom w:w="0" w:type="dxa"/>
            <w:right w:w="108" w:type="dxa"/>
          </w:tblCellMar>
        </w:tblPrEx>
        <w:trPr>
          <w:trHeight w:val="255" w:hRule="atLeast"/>
        </w:trPr>
        <w:tc>
          <w:tcPr>
            <w:tcW w:w="4584" w:type="dxa"/>
            <w:gridSpan w:val="2"/>
            <w:tcBorders>
              <w:top w:val="nil"/>
              <w:left w:val="nil"/>
              <w:bottom w:val="nil"/>
              <w:right w:val="nil"/>
            </w:tcBorders>
            <w:noWrap/>
            <w:vAlign w:val="bottom"/>
          </w:tcPr>
          <w:p>
            <w:pPr>
              <w:rPr>
                <w:rFonts w:ascii="Arial" w:hAnsi="Arial" w:cs="Arial"/>
                <w:color w:val="auto"/>
                <w:sz w:val="18"/>
                <w:szCs w:val="18"/>
              </w:rPr>
            </w:pPr>
          </w:p>
        </w:tc>
        <w:tc>
          <w:tcPr>
            <w:tcW w:w="1415" w:type="dxa"/>
            <w:tcBorders>
              <w:top w:val="nil"/>
              <w:left w:val="nil"/>
              <w:bottom w:val="nil"/>
              <w:right w:val="nil"/>
            </w:tcBorders>
            <w:noWrap/>
            <w:vAlign w:val="bottom"/>
          </w:tcPr>
          <w:p>
            <w:pPr>
              <w:rPr>
                <w:rFonts w:ascii="Arial" w:hAnsi="Arial" w:cs="Arial"/>
                <w:color w:val="auto"/>
                <w:sz w:val="18"/>
                <w:szCs w:val="18"/>
              </w:rPr>
            </w:pPr>
          </w:p>
        </w:tc>
        <w:tc>
          <w:tcPr>
            <w:tcW w:w="1415" w:type="dxa"/>
            <w:tcBorders>
              <w:top w:val="nil"/>
              <w:left w:val="nil"/>
              <w:bottom w:val="nil"/>
              <w:right w:val="nil"/>
            </w:tcBorders>
            <w:noWrap/>
            <w:vAlign w:val="bottom"/>
          </w:tcPr>
          <w:p>
            <w:pPr>
              <w:rPr>
                <w:rFonts w:ascii="Arial" w:hAnsi="Arial" w:cs="Arial"/>
                <w:color w:val="auto"/>
                <w:sz w:val="18"/>
                <w:szCs w:val="18"/>
              </w:rPr>
            </w:pPr>
          </w:p>
        </w:tc>
        <w:tc>
          <w:tcPr>
            <w:tcW w:w="1165" w:type="dxa"/>
            <w:tcBorders>
              <w:top w:val="nil"/>
              <w:left w:val="nil"/>
              <w:bottom w:val="nil"/>
              <w:right w:val="nil"/>
            </w:tcBorders>
            <w:noWrap/>
            <w:vAlign w:val="bottom"/>
          </w:tcPr>
          <w:p>
            <w:pPr>
              <w:rPr>
                <w:rFonts w:ascii="Arial" w:hAnsi="Arial" w:cs="Arial"/>
                <w:color w:val="auto"/>
                <w:sz w:val="18"/>
                <w:szCs w:val="18"/>
              </w:rPr>
            </w:pPr>
          </w:p>
        </w:tc>
        <w:tc>
          <w:tcPr>
            <w:tcW w:w="1175" w:type="dxa"/>
            <w:tcBorders>
              <w:top w:val="nil"/>
              <w:left w:val="nil"/>
              <w:bottom w:val="nil"/>
              <w:right w:val="nil"/>
            </w:tcBorders>
            <w:noWrap/>
            <w:vAlign w:val="bottom"/>
          </w:tcPr>
          <w:p>
            <w:pPr>
              <w:rPr>
                <w:rFonts w:ascii="Arial" w:hAnsi="Arial" w:cs="Arial"/>
                <w:color w:val="auto"/>
                <w:sz w:val="18"/>
                <w:szCs w:val="18"/>
              </w:rPr>
            </w:pPr>
          </w:p>
        </w:tc>
        <w:tc>
          <w:tcPr>
            <w:tcW w:w="1113" w:type="dxa"/>
            <w:tcBorders>
              <w:top w:val="nil"/>
              <w:left w:val="nil"/>
              <w:bottom w:val="nil"/>
              <w:right w:val="nil"/>
            </w:tcBorders>
            <w:noWrap/>
            <w:vAlign w:val="bottom"/>
          </w:tcPr>
          <w:p>
            <w:pPr>
              <w:rPr>
                <w:rFonts w:ascii="Arial" w:hAnsi="Arial" w:cs="Arial"/>
                <w:color w:val="auto"/>
                <w:sz w:val="18"/>
                <w:szCs w:val="18"/>
              </w:rPr>
            </w:pPr>
          </w:p>
        </w:tc>
        <w:tc>
          <w:tcPr>
            <w:tcW w:w="3102"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公开02表</w:t>
            </w:r>
          </w:p>
        </w:tc>
      </w:tr>
      <w:tr>
        <w:tblPrEx>
          <w:tblCellMar>
            <w:top w:w="0" w:type="dxa"/>
            <w:left w:w="108" w:type="dxa"/>
            <w:bottom w:w="0" w:type="dxa"/>
            <w:right w:w="108" w:type="dxa"/>
          </w:tblCellMar>
        </w:tblPrEx>
        <w:trPr>
          <w:trHeight w:val="255" w:hRule="atLeast"/>
        </w:trPr>
        <w:tc>
          <w:tcPr>
            <w:tcW w:w="4584" w:type="dxa"/>
            <w:gridSpan w:val="2"/>
            <w:tcBorders>
              <w:top w:val="nil"/>
              <w:left w:val="nil"/>
              <w:bottom w:val="nil"/>
              <w:right w:val="nil"/>
            </w:tcBorders>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rPr>
              <w:t>单位：许昌市房屋征收管理中心</w:t>
            </w:r>
          </w:p>
        </w:tc>
        <w:tc>
          <w:tcPr>
            <w:tcW w:w="1415" w:type="dxa"/>
            <w:tcBorders>
              <w:top w:val="nil"/>
              <w:left w:val="nil"/>
              <w:bottom w:val="nil"/>
              <w:right w:val="nil"/>
            </w:tcBorders>
            <w:noWrap/>
            <w:vAlign w:val="bottom"/>
          </w:tcPr>
          <w:p>
            <w:pPr>
              <w:rPr>
                <w:rFonts w:ascii="Arial" w:hAnsi="Arial" w:cs="Arial"/>
                <w:color w:val="auto"/>
                <w:sz w:val="18"/>
                <w:szCs w:val="18"/>
              </w:rPr>
            </w:pPr>
          </w:p>
        </w:tc>
        <w:tc>
          <w:tcPr>
            <w:tcW w:w="1415" w:type="dxa"/>
            <w:tcBorders>
              <w:top w:val="nil"/>
              <w:left w:val="nil"/>
              <w:bottom w:val="nil"/>
              <w:right w:val="nil"/>
            </w:tcBorders>
            <w:noWrap/>
            <w:vAlign w:val="bottom"/>
          </w:tcPr>
          <w:p>
            <w:pPr>
              <w:rPr>
                <w:rFonts w:ascii="Arial" w:hAnsi="Arial" w:cs="Arial"/>
                <w:color w:val="auto"/>
                <w:sz w:val="18"/>
                <w:szCs w:val="18"/>
              </w:rPr>
            </w:pPr>
          </w:p>
        </w:tc>
        <w:tc>
          <w:tcPr>
            <w:tcW w:w="1165" w:type="dxa"/>
            <w:tcBorders>
              <w:top w:val="nil"/>
              <w:left w:val="nil"/>
              <w:bottom w:val="nil"/>
              <w:right w:val="nil"/>
            </w:tcBorders>
            <w:noWrap/>
            <w:vAlign w:val="bottom"/>
          </w:tcPr>
          <w:p>
            <w:pPr>
              <w:rPr>
                <w:rFonts w:ascii="Arial" w:hAnsi="Arial" w:cs="Arial"/>
                <w:color w:val="auto"/>
                <w:sz w:val="18"/>
                <w:szCs w:val="18"/>
              </w:rPr>
            </w:pPr>
          </w:p>
        </w:tc>
        <w:tc>
          <w:tcPr>
            <w:tcW w:w="1175" w:type="dxa"/>
            <w:tcBorders>
              <w:top w:val="nil"/>
              <w:left w:val="nil"/>
              <w:bottom w:val="nil"/>
              <w:right w:val="nil"/>
            </w:tcBorders>
            <w:noWrap/>
            <w:vAlign w:val="bottom"/>
          </w:tcPr>
          <w:p>
            <w:pPr>
              <w:rPr>
                <w:rFonts w:ascii="Arial" w:hAnsi="Arial" w:cs="Arial"/>
                <w:color w:val="auto"/>
                <w:sz w:val="18"/>
                <w:szCs w:val="18"/>
              </w:rPr>
            </w:pPr>
          </w:p>
        </w:tc>
        <w:tc>
          <w:tcPr>
            <w:tcW w:w="1113" w:type="dxa"/>
            <w:tcBorders>
              <w:top w:val="nil"/>
              <w:left w:val="nil"/>
              <w:bottom w:val="nil"/>
              <w:right w:val="nil"/>
            </w:tcBorders>
            <w:noWrap/>
            <w:vAlign w:val="bottom"/>
          </w:tcPr>
          <w:p>
            <w:pPr>
              <w:rPr>
                <w:rFonts w:ascii="Arial" w:hAnsi="Arial" w:cs="Arial"/>
                <w:color w:val="auto"/>
                <w:sz w:val="18"/>
                <w:szCs w:val="18"/>
              </w:rPr>
            </w:pPr>
          </w:p>
        </w:tc>
        <w:tc>
          <w:tcPr>
            <w:tcW w:w="3102"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426" w:hRule="atLeast"/>
        </w:trPr>
        <w:tc>
          <w:tcPr>
            <w:tcW w:w="458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项目</w:t>
            </w:r>
          </w:p>
        </w:tc>
        <w:tc>
          <w:tcPr>
            <w:tcW w:w="141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kern w:val="0"/>
                <w:sz w:val="22"/>
              </w:rPr>
            </w:pPr>
            <w:r>
              <w:rPr>
                <w:rFonts w:hint="eastAsia" w:cs="宋体" w:asciiTheme="minorEastAsia" w:hAnsiTheme="minorEastAsia" w:eastAsiaTheme="minorEastAsia"/>
                <w:color w:val="auto"/>
                <w:kern w:val="0"/>
                <w:sz w:val="22"/>
              </w:rPr>
              <w:t>本年收入</w:t>
            </w:r>
          </w:p>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合计</w:t>
            </w:r>
          </w:p>
        </w:tc>
        <w:tc>
          <w:tcPr>
            <w:tcW w:w="141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kern w:val="0"/>
                <w:sz w:val="22"/>
              </w:rPr>
            </w:pPr>
            <w:r>
              <w:rPr>
                <w:rFonts w:hint="eastAsia" w:cs="宋体" w:asciiTheme="minorEastAsia" w:hAnsiTheme="minorEastAsia" w:eastAsiaTheme="minorEastAsia"/>
                <w:color w:val="auto"/>
                <w:kern w:val="0"/>
                <w:sz w:val="22"/>
              </w:rPr>
              <w:t>财政拨款</w:t>
            </w:r>
          </w:p>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收入</w:t>
            </w:r>
          </w:p>
        </w:tc>
        <w:tc>
          <w:tcPr>
            <w:tcW w:w="116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上级补助收入</w:t>
            </w:r>
          </w:p>
        </w:tc>
        <w:tc>
          <w:tcPr>
            <w:tcW w:w="11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事业收入</w:t>
            </w:r>
          </w:p>
        </w:tc>
        <w:tc>
          <w:tcPr>
            <w:tcW w:w="111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经营收入</w:t>
            </w:r>
          </w:p>
        </w:tc>
        <w:tc>
          <w:tcPr>
            <w:tcW w:w="125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附属单位上缴收入</w:t>
            </w:r>
          </w:p>
        </w:tc>
        <w:tc>
          <w:tcPr>
            <w:tcW w:w="184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其他收入</w:t>
            </w:r>
          </w:p>
        </w:tc>
      </w:tr>
      <w:tr>
        <w:tblPrEx>
          <w:tblCellMar>
            <w:top w:w="0" w:type="dxa"/>
            <w:left w:w="108" w:type="dxa"/>
            <w:bottom w:w="0" w:type="dxa"/>
            <w:right w:w="108" w:type="dxa"/>
          </w:tblCellMar>
        </w:tblPrEx>
        <w:trPr>
          <w:trHeight w:val="312" w:hRule="atLeast"/>
        </w:trPr>
        <w:tc>
          <w:tcPr>
            <w:tcW w:w="1149"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功能分类科目编码</w:t>
            </w:r>
          </w:p>
        </w:tc>
        <w:tc>
          <w:tcPr>
            <w:tcW w:w="3435" w:type="dxa"/>
            <w:vMerge w:val="restart"/>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科目名称</w:t>
            </w: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6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7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1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257"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84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3435" w:type="dxa"/>
            <w:vMerge w:val="continue"/>
            <w:tcBorders>
              <w:top w:val="nil"/>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6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7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1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257"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84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3435" w:type="dxa"/>
            <w:vMerge w:val="continue"/>
            <w:tcBorders>
              <w:top w:val="nil"/>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6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7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11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257"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c>
          <w:tcPr>
            <w:tcW w:w="184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rPr>
            </w:pPr>
          </w:p>
        </w:tc>
      </w:tr>
      <w:tr>
        <w:tblPrEx>
          <w:tblCellMar>
            <w:top w:w="0" w:type="dxa"/>
            <w:left w:w="108" w:type="dxa"/>
            <w:bottom w:w="0" w:type="dxa"/>
            <w:right w:w="108" w:type="dxa"/>
          </w:tblCellMar>
        </w:tblPrEx>
        <w:trPr>
          <w:trHeight w:val="308" w:hRule="atLeast"/>
        </w:trPr>
        <w:tc>
          <w:tcPr>
            <w:tcW w:w="458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栏次</w:t>
            </w:r>
          </w:p>
        </w:tc>
        <w:tc>
          <w:tcPr>
            <w:tcW w:w="141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w:t>
            </w:r>
          </w:p>
        </w:tc>
        <w:tc>
          <w:tcPr>
            <w:tcW w:w="141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w:t>
            </w:r>
          </w:p>
        </w:tc>
        <w:tc>
          <w:tcPr>
            <w:tcW w:w="116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3</w:t>
            </w:r>
          </w:p>
        </w:tc>
        <w:tc>
          <w:tcPr>
            <w:tcW w:w="117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4</w:t>
            </w:r>
          </w:p>
        </w:tc>
        <w:tc>
          <w:tcPr>
            <w:tcW w:w="1113"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5</w:t>
            </w:r>
          </w:p>
        </w:tc>
        <w:tc>
          <w:tcPr>
            <w:tcW w:w="125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6</w:t>
            </w:r>
          </w:p>
        </w:tc>
        <w:tc>
          <w:tcPr>
            <w:tcW w:w="184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7</w:t>
            </w:r>
          </w:p>
        </w:tc>
      </w:tr>
      <w:tr>
        <w:tblPrEx>
          <w:tblCellMar>
            <w:top w:w="0" w:type="dxa"/>
            <w:left w:w="108" w:type="dxa"/>
            <w:bottom w:w="0" w:type="dxa"/>
            <w:right w:w="108" w:type="dxa"/>
          </w:tblCellMar>
        </w:tblPrEx>
        <w:trPr>
          <w:trHeight w:val="308" w:hRule="atLeast"/>
        </w:trPr>
        <w:tc>
          <w:tcPr>
            <w:tcW w:w="458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合计</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141.36</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141.36</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201</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一般公共服务支出</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20129</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群众团体事务</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2012906</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xml:space="preserve">  工会事务</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212</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城乡社区支出</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140.67</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140.67</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21201</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城乡社区管理事务</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140.67</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140.67</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2120199</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xml:space="preserve">  其他城乡社区管理事务支出</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140.67</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140.67</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r>
      <w:tr>
        <w:tblPrEx>
          <w:tblCellMar>
            <w:top w:w="0" w:type="dxa"/>
            <w:left w:w="108" w:type="dxa"/>
            <w:bottom w:w="0" w:type="dxa"/>
            <w:right w:w="108" w:type="dxa"/>
          </w:tblCellMar>
        </w:tblPrEx>
        <w:trPr>
          <w:trHeight w:val="412" w:hRule="atLeast"/>
        </w:trPr>
        <w:tc>
          <w:tcPr>
            <w:tcW w:w="13969" w:type="dxa"/>
            <w:gridSpan w:val="9"/>
            <w:tcBorders>
              <w:top w:val="nil"/>
              <w:left w:val="nil"/>
              <w:bottom w:val="nil"/>
              <w:right w:val="nil"/>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注：本表反映单位本年度取得的各项收入情况。本表金额转换为万元时，因四舍五入可能存在尾差。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4" w:type="dxa"/>
        <w:tblInd w:w="93" w:type="dxa"/>
        <w:tblLayout w:type="autofit"/>
        <w:tblCellMar>
          <w:top w:w="0" w:type="dxa"/>
          <w:left w:w="108" w:type="dxa"/>
          <w:bottom w:w="0" w:type="dxa"/>
          <w:right w:w="108" w:type="dxa"/>
        </w:tblCellMar>
      </w:tblPr>
      <w:tblGrid>
        <w:gridCol w:w="1149"/>
        <w:gridCol w:w="4458"/>
        <w:gridCol w:w="1321"/>
        <w:gridCol w:w="1321"/>
        <w:gridCol w:w="1191"/>
        <w:gridCol w:w="1061"/>
        <w:gridCol w:w="1061"/>
        <w:gridCol w:w="2422"/>
      </w:tblGrid>
      <w:tr>
        <w:tblPrEx>
          <w:tblCellMar>
            <w:top w:w="0" w:type="dxa"/>
            <w:left w:w="108" w:type="dxa"/>
            <w:bottom w:w="0" w:type="dxa"/>
            <w:right w:w="108" w:type="dxa"/>
          </w:tblCellMar>
        </w:tblPrEx>
        <w:trPr>
          <w:trHeight w:val="390" w:hRule="atLeast"/>
        </w:trPr>
        <w:tc>
          <w:tcPr>
            <w:tcW w:w="13984" w:type="dxa"/>
            <w:gridSpan w:val="8"/>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支出决算表</w:t>
            </w:r>
          </w:p>
        </w:tc>
      </w:tr>
      <w:tr>
        <w:tblPrEx>
          <w:tblCellMar>
            <w:top w:w="0" w:type="dxa"/>
            <w:left w:w="108" w:type="dxa"/>
            <w:bottom w:w="0" w:type="dxa"/>
            <w:right w:w="108" w:type="dxa"/>
          </w:tblCellMar>
        </w:tblPrEx>
        <w:trPr>
          <w:trHeight w:val="255" w:hRule="atLeast"/>
        </w:trPr>
        <w:tc>
          <w:tcPr>
            <w:tcW w:w="5607" w:type="dxa"/>
            <w:gridSpan w:val="2"/>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2422" w:type="dxa"/>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公开03表</w:t>
            </w:r>
          </w:p>
        </w:tc>
      </w:tr>
      <w:tr>
        <w:tblPrEx>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rPr>
              <w:t>单位：许昌市房屋征收管理中心</w:t>
            </w: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2422" w:type="dxa"/>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132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本年支出</w:t>
            </w:r>
          </w:p>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132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基本支出</w:t>
            </w:r>
          </w:p>
        </w:tc>
        <w:tc>
          <w:tcPr>
            <w:tcW w:w="119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项目支出</w:t>
            </w:r>
          </w:p>
        </w:tc>
        <w:tc>
          <w:tcPr>
            <w:tcW w:w="106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上缴上级支出</w:t>
            </w:r>
          </w:p>
        </w:tc>
        <w:tc>
          <w:tcPr>
            <w:tcW w:w="106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经营</w:t>
            </w:r>
          </w:p>
          <w:p>
            <w:pPr>
              <w:widowControl/>
              <w:jc w:val="center"/>
              <w:textAlignment w:val="center"/>
              <w:rPr>
                <w:rFonts w:ascii="宋体" w:hAnsi="宋体" w:cs="宋体"/>
                <w:color w:val="auto"/>
                <w:sz w:val="22"/>
              </w:rPr>
            </w:pPr>
            <w:r>
              <w:rPr>
                <w:rFonts w:hint="eastAsia" w:ascii="宋体" w:hAnsi="宋体" w:cs="宋体"/>
                <w:color w:val="auto"/>
                <w:kern w:val="0"/>
                <w:sz w:val="22"/>
              </w:rPr>
              <w:t>支出</w:t>
            </w:r>
          </w:p>
        </w:tc>
        <w:tc>
          <w:tcPr>
            <w:tcW w:w="2422"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对附属单位补助支出</w:t>
            </w:r>
          </w:p>
        </w:tc>
      </w:tr>
      <w:tr>
        <w:tblPrEx>
          <w:tblCellMar>
            <w:top w:w="0" w:type="dxa"/>
            <w:left w:w="108" w:type="dxa"/>
            <w:bottom w:w="0" w:type="dxa"/>
            <w:right w:w="108" w:type="dxa"/>
          </w:tblCellMar>
        </w:tblPrEx>
        <w:trPr>
          <w:trHeight w:val="312" w:hRule="atLeast"/>
        </w:trPr>
        <w:tc>
          <w:tcPr>
            <w:tcW w:w="1149"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功能分类科目编码</w:t>
            </w:r>
          </w:p>
        </w:tc>
        <w:tc>
          <w:tcPr>
            <w:tcW w:w="445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42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445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42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445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42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栏次</w:t>
            </w:r>
          </w:p>
        </w:tc>
        <w:tc>
          <w:tcPr>
            <w:tcW w:w="132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w:t>
            </w:r>
          </w:p>
        </w:tc>
        <w:tc>
          <w:tcPr>
            <w:tcW w:w="132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w:t>
            </w:r>
          </w:p>
        </w:tc>
        <w:tc>
          <w:tcPr>
            <w:tcW w:w="119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3</w:t>
            </w:r>
          </w:p>
        </w:tc>
        <w:tc>
          <w:tcPr>
            <w:tcW w:w="106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106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242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153.66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152.86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rPr>
            </w:pPr>
            <w:r>
              <w:rPr>
                <w:rFonts w:hint="eastAsia" w:cs="宋体" w:asciiTheme="minorEastAsia" w:hAnsiTheme="minorEastAsia" w:eastAsiaTheme="minorEastAsia"/>
                <w:b/>
                <w:bCs/>
                <w:color w:val="auto"/>
                <w:kern w:val="0"/>
                <w:sz w:val="22"/>
              </w:rPr>
              <w:t>0.80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城乡社区支出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151.03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150.24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城乡社区管理事务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151.03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150.24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2120199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xml:space="preserve">  其他城乡社区管理事务支出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151.03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150.24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0.80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rPr>
            </w:pPr>
            <w:r>
              <w:rPr>
                <w:rFonts w:hint="eastAsia" w:cs="宋体" w:asciiTheme="minorEastAsia" w:hAnsiTheme="minorEastAsia" w:eastAsiaTheme="minorEastAsia"/>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3984" w:type="dxa"/>
            <w:gridSpan w:val="8"/>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注：本表反映单位本年度各项支出情况。本表金额转换为万元时，因四舍五入可能存在尾差。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9" w:type="dxa"/>
        <w:tblInd w:w="93" w:type="dxa"/>
        <w:tblLayout w:type="fixed"/>
        <w:tblCellMar>
          <w:top w:w="0" w:type="dxa"/>
          <w:left w:w="108" w:type="dxa"/>
          <w:bottom w:w="0" w:type="dxa"/>
          <w:right w:w="108" w:type="dxa"/>
        </w:tblCellMar>
      </w:tblPr>
      <w:tblGrid>
        <w:gridCol w:w="3028"/>
        <w:gridCol w:w="106"/>
        <w:gridCol w:w="726"/>
        <w:gridCol w:w="1178"/>
        <w:gridCol w:w="3787"/>
        <w:gridCol w:w="580"/>
        <w:gridCol w:w="876"/>
        <w:gridCol w:w="1128"/>
        <w:gridCol w:w="1114"/>
        <w:gridCol w:w="1446"/>
      </w:tblGrid>
      <w:tr>
        <w:tblPrEx>
          <w:tblCellMar>
            <w:top w:w="0" w:type="dxa"/>
            <w:left w:w="108" w:type="dxa"/>
            <w:bottom w:w="0" w:type="dxa"/>
            <w:right w:w="108" w:type="dxa"/>
          </w:tblCellMar>
        </w:tblPrEx>
        <w:trPr>
          <w:trHeight w:val="390" w:hRule="atLeast"/>
        </w:trPr>
        <w:tc>
          <w:tcPr>
            <w:tcW w:w="13969" w:type="dxa"/>
            <w:gridSpan w:val="10"/>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028" w:type="dxa"/>
            <w:tcBorders>
              <w:top w:val="nil"/>
              <w:left w:val="nil"/>
              <w:bottom w:val="nil"/>
              <w:right w:val="nil"/>
            </w:tcBorders>
            <w:noWrap/>
            <w:vAlign w:val="bottom"/>
          </w:tcPr>
          <w:p>
            <w:pPr>
              <w:rPr>
                <w:rFonts w:ascii="Arial" w:hAnsi="Arial" w:cs="Arial"/>
                <w:color w:val="auto"/>
                <w:sz w:val="18"/>
                <w:szCs w:val="18"/>
              </w:rPr>
            </w:pPr>
          </w:p>
        </w:tc>
        <w:tc>
          <w:tcPr>
            <w:tcW w:w="832" w:type="dxa"/>
            <w:gridSpan w:val="2"/>
            <w:tcBorders>
              <w:top w:val="nil"/>
              <w:left w:val="nil"/>
              <w:bottom w:val="nil"/>
              <w:right w:val="nil"/>
            </w:tcBorders>
            <w:noWrap/>
            <w:vAlign w:val="bottom"/>
          </w:tcPr>
          <w:p>
            <w:pPr>
              <w:rPr>
                <w:rFonts w:ascii="Arial" w:hAnsi="Arial" w:cs="Arial"/>
                <w:color w:val="auto"/>
                <w:sz w:val="18"/>
                <w:szCs w:val="18"/>
              </w:rPr>
            </w:pPr>
          </w:p>
        </w:tc>
        <w:tc>
          <w:tcPr>
            <w:tcW w:w="1178" w:type="dxa"/>
            <w:tcBorders>
              <w:top w:val="nil"/>
              <w:left w:val="nil"/>
              <w:bottom w:val="nil"/>
              <w:right w:val="nil"/>
            </w:tcBorders>
            <w:noWrap/>
            <w:vAlign w:val="bottom"/>
          </w:tcPr>
          <w:p>
            <w:pPr>
              <w:rPr>
                <w:rFonts w:ascii="Arial" w:hAnsi="Arial" w:cs="Arial"/>
                <w:color w:val="auto"/>
                <w:sz w:val="18"/>
                <w:szCs w:val="18"/>
              </w:rPr>
            </w:pPr>
          </w:p>
        </w:tc>
        <w:tc>
          <w:tcPr>
            <w:tcW w:w="3787" w:type="dxa"/>
            <w:tcBorders>
              <w:top w:val="nil"/>
              <w:left w:val="nil"/>
              <w:bottom w:val="nil"/>
              <w:right w:val="nil"/>
            </w:tcBorders>
            <w:noWrap/>
            <w:vAlign w:val="bottom"/>
          </w:tcPr>
          <w:p>
            <w:pPr>
              <w:rPr>
                <w:rFonts w:ascii="Arial" w:hAnsi="Arial" w:cs="Arial"/>
                <w:color w:val="auto"/>
                <w:sz w:val="18"/>
                <w:szCs w:val="18"/>
              </w:rPr>
            </w:pPr>
          </w:p>
        </w:tc>
        <w:tc>
          <w:tcPr>
            <w:tcW w:w="580" w:type="dxa"/>
            <w:tcBorders>
              <w:top w:val="nil"/>
              <w:left w:val="nil"/>
              <w:bottom w:val="nil"/>
              <w:right w:val="nil"/>
            </w:tcBorders>
            <w:noWrap/>
            <w:vAlign w:val="bottom"/>
          </w:tcPr>
          <w:p>
            <w:pPr>
              <w:rPr>
                <w:rFonts w:ascii="Arial" w:hAnsi="Arial" w:cs="Arial"/>
                <w:color w:val="auto"/>
                <w:sz w:val="18"/>
                <w:szCs w:val="18"/>
              </w:rPr>
            </w:pPr>
          </w:p>
        </w:tc>
        <w:tc>
          <w:tcPr>
            <w:tcW w:w="876" w:type="dxa"/>
            <w:tcBorders>
              <w:top w:val="nil"/>
              <w:left w:val="nil"/>
              <w:bottom w:val="nil"/>
              <w:right w:val="nil"/>
            </w:tcBorders>
            <w:noWrap/>
            <w:vAlign w:val="bottom"/>
          </w:tcPr>
          <w:p>
            <w:pPr>
              <w:rPr>
                <w:rFonts w:ascii="Arial" w:hAnsi="Arial" w:cs="Arial"/>
                <w:color w:val="auto"/>
                <w:sz w:val="18"/>
                <w:szCs w:val="18"/>
              </w:rPr>
            </w:pPr>
          </w:p>
        </w:tc>
        <w:tc>
          <w:tcPr>
            <w:tcW w:w="1128" w:type="dxa"/>
            <w:tcBorders>
              <w:top w:val="nil"/>
              <w:left w:val="nil"/>
              <w:bottom w:val="nil"/>
              <w:right w:val="nil"/>
            </w:tcBorders>
            <w:noWrap/>
            <w:vAlign w:val="bottom"/>
          </w:tcPr>
          <w:p>
            <w:pPr>
              <w:rPr>
                <w:rFonts w:ascii="Arial" w:hAnsi="Arial" w:cs="Arial"/>
                <w:color w:val="auto"/>
                <w:sz w:val="18"/>
                <w:szCs w:val="18"/>
              </w:rPr>
            </w:pPr>
          </w:p>
        </w:tc>
        <w:tc>
          <w:tcPr>
            <w:tcW w:w="2560"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公开04表</w:t>
            </w:r>
          </w:p>
        </w:tc>
      </w:tr>
      <w:tr>
        <w:tblPrEx>
          <w:tblCellMar>
            <w:top w:w="0" w:type="dxa"/>
            <w:left w:w="108" w:type="dxa"/>
            <w:bottom w:w="0" w:type="dxa"/>
            <w:right w:w="108" w:type="dxa"/>
          </w:tblCellMar>
        </w:tblPrEx>
        <w:trPr>
          <w:trHeight w:val="255" w:hRule="atLeast"/>
        </w:trPr>
        <w:tc>
          <w:tcPr>
            <w:tcW w:w="3028" w:type="dxa"/>
            <w:tcBorders>
              <w:top w:val="nil"/>
              <w:left w:val="nil"/>
              <w:bottom w:val="nil"/>
              <w:right w:val="nil"/>
            </w:tcBorders>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rPr>
              <w:t>单位：许昌市房屋征收管理中心</w:t>
            </w:r>
          </w:p>
        </w:tc>
        <w:tc>
          <w:tcPr>
            <w:tcW w:w="832" w:type="dxa"/>
            <w:gridSpan w:val="2"/>
            <w:tcBorders>
              <w:top w:val="nil"/>
              <w:left w:val="nil"/>
              <w:bottom w:val="nil"/>
              <w:right w:val="nil"/>
            </w:tcBorders>
            <w:noWrap/>
            <w:vAlign w:val="bottom"/>
          </w:tcPr>
          <w:p>
            <w:pPr>
              <w:rPr>
                <w:rFonts w:ascii="Arial" w:hAnsi="Arial" w:cs="Arial"/>
                <w:color w:val="auto"/>
                <w:sz w:val="18"/>
                <w:szCs w:val="18"/>
              </w:rPr>
            </w:pPr>
          </w:p>
        </w:tc>
        <w:tc>
          <w:tcPr>
            <w:tcW w:w="1178" w:type="dxa"/>
            <w:tcBorders>
              <w:top w:val="nil"/>
              <w:left w:val="nil"/>
              <w:bottom w:val="nil"/>
              <w:right w:val="nil"/>
            </w:tcBorders>
            <w:noWrap/>
            <w:vAlign w:val="bottom"/>
          </w:tcPr>
          <w:p>
            <w:pPr>
              <w:rPr>
                <w:rFonts w:ascii="Arial" w:hAnsi="Arial" w:cs="Arial"/>
                <w:color w:val="auto"/>
                <w:sz w:val="18"/>
                <w:szCs w:val="18"/>
              </w:rPr>
            </w:pPr>
          </w:p>
        </w:tc>
        <w:tc>
          <w:tcPr>
            <w:tcW w:w="3787" w:type="dxa"/>
            <w:tcBorders>
              <w:top w:val="nil"/>
              <w:left w:val="nil"/>
              <w:bottom w:val="nil"/>
              <w:right w:val="nil"/>
            </w:tcBorders>
            <w:noWrap/>
            <w:vAlign w:val="bottom"/>
          </w:tcPr>
          <w:p>
            <w:pPr>
              <w:rPr>
                <w:rFonts w:ascii="Arial" w:hAnsi="Arial" w:cs="Arial"/>
                <w:color w:val="auto"/>
                <w:sz w:val="18"/>
                <w:szCs w:val="18"/>
              </w:rPr>
            </w:pPr>
          </w:p>
        </w:tc>
        <w:tc>
          <w:tcPr>
            <w:tcW w:w="580" w:type="dxa"/>
            <w:tcBorders>
              <w:top w:val="nil"/>
              <w:left w:val="nil"/>
              <w:bottom w:val="nil"/>
              <w:right w:val="nil"/>
            </w:tcBorders>
            <w:noWrap/>
            <w:vAlign w:val="bottom"/>
          </w:tcPr>
          <w:p>
            <w:pPr>
              <w:rPr>
                <w:rFonts w:ascii="Arial" w:hAnsi="Arial" w:cs="Arial"/>
                <w:color w:val="auto"/>
                <w:sz w:val="18"/>
                <w:szCs w:val="18"/>
              </w:rPr>
            </w:pPr>
          </w:p>
        </w:tc>
        <w:tc>
          <w:tcPr>
            <w:tcW w:w="876" w:type="dxa"/>
            <w:tcBorders>
              <w:top w:val="nil"/>
              <w:left w:val="nil"/>
              <w:bottom w:val="nil"/>
              <w:right w:val="nil"/>
            </w:tcBorders>
            <w:noWrap/>
            <w:vAlign w:val="bottom"/>
          </w:tcPr>
          <w:p>
            <w:pPr>
              <w:rPr>
                <w:rFonts w:ascii="Arial" w:hAnsi="Arial" w:cs="Arial"/>
                <w:color w:val="auto"/>
                <w:sz w:val="18"/>
                <w:szCs w:val="18"/>
              </w:rPr>
            </w:pPr>
          </w:p>
        </w:tc>
        <w:tc>
          <w:tcPr>
            <w:tcW w:w="1128" w:type="dxa"/>
            <w:tcBorders>
              <w:top w:val="nil"/>
              <w:left w:val="nil"/>
              <w:bottom w:val="nil"/>
              <w:right w:val="nil"/>
            </w:tcBorders>
            <w:noWrap/>
            <w:vAlign w:val="bottom"/>
          </w:tcPr>
          <w:p>
            <w:pPr>
              <w:rPr>
                <w:rFonts w:ascii="Arial" w:hAnsi="Arial" w:cs="Arial"/>
                <w:color w:val="auto"/>
                <w:sz w:val="18"/>
                <w:szCs w:val="18"/>
              </w:rPr>
            </w:pPr>
          </w:p>
        </w:tc>
        <w:tc>
          <w:tcPr>
            <w:tcW w:w="2560"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410" w:hRule="atLeast"/>
        </w:trPr>
        <w:tc>
          <w:tcPr>
            <w:tcW w:w="503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收     入</w:t>
            </w:r>
          </w:p>
        </w:tc>
        <w:tc>
          <w:tcPr>
            <w:tcW w:w="8931"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支     出</w:t>
            </w:r>
          </w:p>
        </w:tc>
      </w:tr>
      <w:tr>
        <w:tblPrEx>
          <w:tblCellMar>
            <w:top w:w="0" w:type="dxa"/>
            <w:left w:w="108" w:type="dxa"/>
            <w:bottom w:w="0" w:type="dxa"/>
            <w:right w:w="108" w:type="dxa"/>
          </w:tblCellMar>
        </w:tblPrEx>
        <w:trPr>
          <w:trHeight w:val="312" w:hRule="atLeast"/>
        </w:trPr>
        <w:tc>
          <w:tcPr>
            <w:tcW w:w="3134" w:type="dxa"/>
            <w:gridSpan w:val="2"/>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72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行次</w:t>
            </w:r>
          </w:p>
        </w:tc>
        <w:tc>
          <w:tcPr>
            <w:tcW w:w="117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金额</w:t>
            </w:r>
          </w:p>
        </w:tc>
        <w:tc>
          <w:tcPr>
            <w:tcW w:w="378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5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行次</w:t>
            </w:r>
          </w:p>
        </w:tc>
        <w:tc>
          <w:tcPr>
            <w:tcW w:w="87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112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一般公共预算财政拨款</w:t>
            </w:r>
          </w:p>
        </w:tc>
        <w:tc>
          <w:tcPr>
            <w:tcW w:w="1114"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政府性基金预算财政拨款</w:t>
            </w:r>
          </w:p>
        </w:tc>
        <w:tc>
          <w:tcPr>
            <w:tcW w:w="144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国有资本经营预算财政拨款</w:t>
            </w:r>
          </w:p>
        </w:tc>
      </w:tr>
      <w:tr>
        <w:tblPrEx>
          <w:tblCellMar>
            <w:top w:w="0" w:type="dxa"/>
            <w:left w:w="108" w:type="dxa"/>
            <w:bottom w:w="0" w:type="dxa"/>
            <w:right w:w="108" w:type="dxa"/>
          </w:tblCellMar>
        </w:tblPrEx>
        <w:trPr>
          <w:trHeight w:val="615" w:hRule="atLeast"/>
        </w:trPr>
        <w:tc>
          <w:tcPr>
            <w:tcW w:w="3134" w:type="dxa"/>
            <w:gridSpan w:val="2"/>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72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7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378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5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87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2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14"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44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　</w:t>
            </w:r>
          </w:p>
        </w:tc>
        <w:tc>
          <w:tcPr>
            <w:tcW w:w="11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378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　</w:t>
            </w:r>
          </w:p>
        </w:tc>
        <w:tc>
          <w:tcPr>
            <w:tcW w:w="87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112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111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144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一、一般公共预算财政拨款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141.36</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一、一般公共服务支出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二、政府性基金预算财政拨款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二、外交支出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三、国有资本经营财政拨款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三、国防支出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35</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四、公共安全支出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36</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五、教育支出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37</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六、科学技术支出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38</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7</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七、文化旅游体育与传媒支出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39</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八、社会保障和就业支出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40</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1.42</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1.42</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9</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九、卫生健康支出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41</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0.52</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0.52</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10</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十、节能环保支出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42</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11</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十一、城乡社区支出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151.03</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151.03</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12</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十二、农林水支出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13</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十三、交通运输支出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45</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14</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十四、资源勘探工业信息等支出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46</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15</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十五、商业服务业等支出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47</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16</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十六、金融支出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48</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17</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十七、援助其他地区支出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49</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18</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十八、自然资源海洋气象等支出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50</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19</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十九、住房保障支出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51</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20</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二十、粮油物资储备支出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52</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21</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二十一、国有资本经营预算支出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22</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二十二、灾害防治及应急管理支出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23</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二十三、其他支出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55</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24</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二十四、债务还本支出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56</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25</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二十五、债务付息支出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57</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26</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二十六、抗疫特别国债安排的支出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58</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本年收入合计</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27</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141.36</w:t>
            </w:r>
          </w:p>
        </w:tc>
        <w:tc>
          <w:tcPr>
            <w:tcW w:w="378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本年支出合计</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59</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153.66</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153.66</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年初财政拨款结转和结余</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28</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12.30</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年末财政拨款结转和结余</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60</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一般公共预算财政拨款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29</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12.30</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61</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政府性基金预算财政拨款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30</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62</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国有资本经营预算财政拨款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31</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总计</w:t>
            </w:r>
          </w:p>
        </w:tc>
        <w:tc>
          <w:tcPr>
            <w:tcW w:w="726"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32</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153.66</w:t>
            </w:r>
          </w:p>
        </w:tc>
        <w:tc>
          <w:tcPr>
            <w:tcW w:w="378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总计</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153.66</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153.66</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585" w:hRule="atLeast"/>
        </w:trPr>
        <w:tc>
          <w:tcPr>
            <w:tcW w:w="13969" w:type="dxa"/>
            <w:gridSpan w:val="10"/>
            <w:tcBorders>
              <w:top w:val="nil"/>
              <w:left w:val="nil"/>
              <w:bottom w:val="nil"/>
              <w:right w:val="nil"/>
            </w:tcBorders>
            <w:noWrap/>
            <w:vAlign w:val="center"/>
          </w:tcPr>
          <w:p>
            <w:pPr>
              <w:widowControl/>
              <w:jc w:val="left"/>
              <w:textAlignment w:val="center"/>
              <w:rPr>
                <w:rFonts w:ascii="宋体" w:hAnsi="宋体" w:cs="宋体"/>
                <w:color w:val="auto"/>
                <w:kern w:val="0"/>
                <w:sz w:val="22"/>
              </w:rPr>
            </w:pPr>
            <w:r>
              <w:rPr>
                <w:rFonts w:hint="eastAsia" w:ascii="宋体" w:hAnsi="宋体" w:cs="宋体"/>
                <w:color w:val="auto"/>
                <w:kern w:val="0"/>
                <w:sz w:val="22"/>
              </w:rPr>
              <w:t>注：本表反映单位本年度一般公共预算财政拨款、政府性基金预算财政拨款和国有资本经营预算财政拨款的总收支和年末结转结余情况。</w:t>
            </w:r>
          </w:p>
          <w:p>
            <w:pPr>
              <w:widowControl/>
              <w:jc w:val="left"/>
              <w:textAlignment w:val="center"/>
              <w:rPr>
                <w:rFonts w:ascii="宋体" w:hAnsi="宋体" w:cs="宋体"/>
                <w:color w:val="auto"/>
                <w:sz w:val="22"/>
              </w:rPr>
            </w:pPr>
            <w:r>
              <w:rPr>
                <w:rFonts w:hint="eastAsia" w:ascii="宋体" w:hAnsi="宋体" w:cs="宋体"/>
                <w:color w:val="auto"/>
                <w:kern w:val="0"/>
                <w:sz w:val="22"/>
              </w:rPr>
              <w:t>本表金额转换为万元时，因四舍五入可能存在尾差。</w:t>
            </w:r>
          </w:p>
        </w:tc>
      </w:tr>
    </w:tbl>
    <w:p>
      <w:pPr>
        <w:rPr>
          <w:rFonts w:ascii="宋体" w:hAnsi="宋体" w:cs="宋体"/>
          <w:color w:val="auto"/>
          <w:sz w:val="2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4" w:type="dxa"/>
        <w:tblInd w:w="93" w:type="dxa"/>
        <w:tblLayout w:type="fixed"/>
        <w:tblCellMar>
          <w:top w:w="0" w:type="dxa"/>
          <w:left w:w="108" w:type="dxa"/>
          <w:bottom w:w="0" w:type="dxa"/>
          <w:right w:w="108" w:type="dxa"/>
        </w:tblCellMar>
      </w:tblPr>
      <w:tblGrid>
        <w:gridCol w:w="1506"/>
        <w:gridCol w:w="6099"/>
        <w:gridCol w:w="1618"/>
        <w:gridCol w:w="471"/>
        <w:gridCol w:w="1017"/>
        <w:gridCol w:w="1098"/>
        <w:gridCol w:w="2145"/>
      </w:tblGrid>
      <w:tr>
        <w:tblPrEx>
          <w:tblCellMar>
            <w:top w:w="0" w:type="dxa"/>
            <w:left w:w="108" w:type="dxa"/>
            <w:bottom w:w="0" w:type="dxa"/>
            <w:right w:w="108" w:type="dxa"/>
          </w:tblCellMar>
        </w:tblPrEx>
        <w:trPr>
          <w:trHeight w:val="390" w:hRule="atLeast"/>
        </w:trPr>
        <w:tc>
          <w:tcPr>
            <w:tcW w:w="13954" w:type="dxa"/>
            <w:gridSpan w:val="7"/>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7605" w:type="dxa"/>
            <w:gridSpan w:val="2"/>
            <w:tcBorders>
              <w:top w:val="nil"/>
              <w:left w:val="nil"/>
              <w:bottom w:val="nil"/>
              <w:right w:val="nil"/>
            </w:tcBorders>
            <w:noWrap/>
            <w:vAlign w:val="bottom"/>
          </w:tcPr>
          <w:p>
            <w:pPr>
              <w:rPr>
                <w:rFonts w:ascii="Arial" w:hAnsi="Arial" w:cs="Arial"/>
                <w:color w:val="auto"/>
                <w:sz w:val="18"/>
                <w:szCs w:val="18"/>
              </w:rPr>
            </w:pPr>
          </w:p>
        </w:tc>
        <w:tc>
          <w:tcPr>
            <w:tcW w:w="1618" w:type="dxa"/>
            <w:tcBorders>
              <w:top w:val="nil"/>
              <w:left w:val="nil"/>
              <w:bottom w:val="nil"/>
              <w:right w:val="nil"/>
            </w:tcBorders>
            <w:noWrap/>
            <w:vAlign w:val="bottom"/>
          </w:tcPr>
          <w:p>
            <w:pPr>
              <w:rPr>
                <w:rFonts w:ascii="Arial" w:hAnsi="Arial" w:cs="Arial"/>
                <w:color w:val="auto"/>
                <w:sz w:val="18"/>
                <w:szCs w:val="18"/>
              </w:rPr>
            </w:pPr>
          </w:p>
        </w:tc>
        <w:tc>
          <w:tcPr>
            <w:tcW w:w="1488" w:type="dxa"/>
            <w:gridSpan w:val="2"/>
            <w:tcBorders>
              <w:top w:val="nil"/>
              <w:left w:val="nil"/>
              <w:bottom w:val="nil"/>
              <w:right w:val="nil"/>
            </w:tcBorders>
            <w:noWrap/>
            <w:vAlign w:val="bottom"/>
          </w:tcPr>
          <w:p>
            <w:pPr>
              <w:rPr>
                <w:rFonts w:ascii="Arial" w:hAnsi="Arial" w:cs="Arial"/>
                <w:color w:val="auto"/>
                <w:sz w:val="18"/>
                <w:szCs w:val="18"/>
              </w:rPr>
            </w:pPr>
          </w:p>
        </w:tc>
        <w:tc>
          <w:tcPr>
            <w:tcW w:w="3243"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公开05表</w:t>
            </w:r>
          </w:p>
        </w:tc>
      </w:tr>
      <w:tr>
        <w:tblPrEx>
          <w:tblCellMar>
            <w:top w:w="0" w:type="dxa"/>
            <w:left w:w="108" w:type="dxa"/>
            <w:bottom w:w="0" w:type="dxa"/>
            <w:right w:w="108" w:type="dxa"/>
          </w:tblCellMar>
        </w:tblPrEx>
        <w:trPr>
          <w:trHeight w:val="255" w:hRule="atLeast"/>
        </w:trPr>
        <w:tc>
          <w:tcPr>
            <w:tcW w:w="7605" w:type="dxa"/>
            <w:gridSpan w:val="2"/>
            <w:tcBorders>
              <w:top w:val="nil"/>
              <w:left w:val="nil"/>
              <w:bottom w:val="nil"/>
              <w:right w:val="nil"/>
            </w:tcBorders>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rPr>
              <w:t>单位：许昌市房屋征收管理中心</w:t>
            </w:r>
          </w:p>
        </w:tc>
        <w:tc>
          <w:tcPr>
            <w:tcW w:w="1618" w:type="dxa"/>
            <w:tcBorders>
              <w:top w:val="nil"/>
              <w:left w:val="nil"/>
              <w:bottom w:val="nil"/>
              <w:right w:val="nil"/>
            </w:tcBorders>
            <w:noWrap/>
            <w:vAlign w:val="bottom"/>
          </w:tcPr>
          <w:p>
            <w:pPr>
              <w:rPr>
                <w:rFonts w:ascii="Arial" w:hAnsi="Arial" w:cs="Arial"/>
                <w:color w:val="auto"/>
                <w:sz w:val="18"/>
                <w:szCs w:val="18"/>
              </w:rPr>
            </w:pPr>
          </w:p>
        </w:tc>
        <w:tc>
          <w:tcPr>
            <w:tcW w:w="1488" w:type="dxa"/>
            <w:gridSpan w:val="2"/>
            <w:tcBorders>
              <w:top w:val="nil"/>
              <w:left w:val="nil"/>
              <w:bottom w:val="nil"/>
              <w:right w:val="nil"/>
            </w:tcBorders>
            <w:noWrap/>
            <w:vAlign w:val="bottom"/>
          </w:tcPr>
          <w:p>
            <w:pPr>
              <w:rPr>
                <w:rFonts w:ascii="Arial" w:hAnsi="Arial" w:cs="Arial"/>
                <w:color w:val="auto"/>
                <w:sz w:val="18"/>
                <w:szCs w:val="18"/>
              </w:rPr>
            </w:pPr>
          </w:p>
        </w:tc>
        <w:tc>
          <w:tcPr>
            <w:tcW w:w="3243"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308" w:hRule="atLeast"/>
        </w:trPr>
        <w:tc>
          <w:tcPr>
            <w:tcW w:w="76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6349" w:type="dxa"/>
            <w:gridSpan w:val="5"/>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本年支出</w:t>
            </w:r>
          </w:p>
        </w:tc>
      </w:tr>
      <w:tr>
        <w:tblPrEx>
          <w:tblCellMar>
            <w:top w:w="0" w:type="dxa"/>
            <w:left w:w="108" w:type="dxa"/>
            <w:bottom w:w="0" w:type="dxa"/>
            <w:right w:w="108" w:type="dxa"/>
          </w:tblCellMar>
        </w:tblPrEx>
        <w:trPr>
          <w:trHeight w:val="312" w:hRule="atLeast"/>
        </w:trPr>
        <w:tc>
          <w:tcPr>
            <w:tcW w:w="150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功能分类</w:t>
            </w:r>
          </w:p>
          <w:p>
            <w:pPr>
              <w:widowControl/>
              <w:jc w:val="center"/>
              <w:textAlignment w:val="center"/>
              <w:rPr>
                <w:rFonts w:ascii="宋体" w:hAnsi="宋体" w:cs="宋体"/>
                <w:color w:val="auto"/>
                <w:sz w:val="22"/>
              </w:rPr>
            </w:pPr>
            <w:r>
              <w:rPr>
                <w:rFonts w:hint="eastAsia" w:ascii="宋体" w:hAnsi="宋体" w:cs="宋体"/>
                <w:color w:val="auto"/>
                <w:kern w:val="0"/>
                <w:sz w:val="22"/>
              </w:rPr>
              <w:t>科目编码</w:t>
            </w:r>
          </w:p>
        </w:tc>
        <w:tc>
          <w:tcPr>
            <w:tcW w:w="609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2089"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小计</w:t>
            </w:r>
          </w:p>
        </w:tc>
        <w:tc>
          <w:tcPr>
            <w:tcW w:w="2115"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基本支出</w:t>
            </w:r>
          </w:p>
        </w:tc>
        <w:tc>
          <w:tcPr>
            <w:tcW w:w="214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项目支出</w:t>
            </w:r>
          </w:p>
        </w:tc>
      </w:tr>
      <w:tr>
        <w:tblPrEx>
          <w:tblCellMar>
            <w:top w:w="0" w:type="dxa"/>
            <w:left w:w="108" w:type="dxa"/>
            <w:bottom w:w="0" w:type="dxa"/>
            <w:right w:w="108" w:type="dxa"/>
          </w:tblCellMar>
        </w:tblPrEx>
        <w:trPr>
          <w:trHeight w:val="312" w:hRule="atLeast"/>
        </w:trPr>
        <w:tc>
          <w:tcPr>
            <w:tcW w:w="150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609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089"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115"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14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150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609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089"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115"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14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7605"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2089"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2115"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214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r>
      <w:tr>
        <w:tblPrEx>
          <w:tblCellMar>
            <w:top w:w="0" w:type="dxa"/>
            <w:left w:w="108" w:type="dxa"/>
            <w:bottom w:w="0" w:type="dxa"/>
            <w:right w:w="108" w:type="dxa"/>
          </w:tblCellMar>
        </w:tblPrEx>
        <w:trPr>
          <w:trHeight w:val="308" w:hRule="atLeast"/>
        </w:trPr>
        <w:tc>
          <w:tcPr>
            <w:tcW w:w="7605"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153.66</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152.86</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0.80</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一般公共服务支出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20129</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群众团体事务</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2012906</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工会事务</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社会保障和就业支出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20805</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行政事业单位养老支出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2080505</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机关事业单位基本养老保险缴费支出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卫生健康支出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行政事业单位医疗</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2101102</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事业单位医疗</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城乡社区支出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151.03</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150.24</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0.80</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21201</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城乡社区管理事务</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151.03</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150.24</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0.80</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2120199</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其他城乡社区管理事务支出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151.03</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150.24</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0.80</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13954" w:type="dxa"/>
            <w:gridSpan w:val="7"/>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注：本表反映单位本年度一般公共预算财政拨款支出情况。本套报表金额单位转换时可能存在尾数误差。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900"/>
        <w:gridCol w:w="2700"/>
        <w:gridCol w:w="243"/>
        <w:gridCol w:w="992"/>
        <w:gridCol w:w="762"/>
        <w:gridCol w:w="88"/>
        <w:gridCol w:w="1967"/>
        <w:gridCol w:w="585"/>
        <w:gridCol w:w="295"/>
        <w:gridCol w:w="697"/>
        <w:gridCol w:w="278"/>
        <w:gridCol w:w="573"/>
        <w:gridCol w:w="3118"/>
        <w:gridCol w:w="883"/>
      </w:tblGrid>
      <w:tr>
        <w:tblPrEx>
          <w:tblCellMar>
            <w:top w:w="0" w:type="dxa"/>
            <w:left w:w="108" w:type="dxa"/>
            <w:bottom w:w="0" w:type="dxa"/>
            <w:right w:w="108" w:type="dxa"/>
          </w:tblCellMar>
        </w:tblPrEx>
        <w:trPr>
          <w:trHeight w:val="390" w:hRule="atLeast"/>
        </w:trPr>
        <w:tc>
          <w:tcPr>
            <w:tcW w:w="14081" w:type="dxa"/>
            <w:gridSpan w:val="14"/>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3600" w:type="dxa"/>
            <w:gridSpan w:val="2"/>
            <w:tcBorders>
              <w:top w:val="nil"/>
              <w:left w:val="nil"/>
              <w:bottom w:val="nil"/>
              <w:right w:val="nil"/>
            </w:tcBorders>
            <w:noWrap/>
            <w:vAlign w:val="bottom"/>
          </w:tcPr>
          <w:p>
            <w:pPr>
              <w:rPr>
                <w:rFonts w:ascii="Arial" w:hAnsi="Arial" w:cs="Arial"/>
                <w:color w:val="auto"/>
                <w:sz w:val="18"/>
                <w:szCs w:val="18"/>
              </w:rPr>
            </w:pPr>
          </w:p>
        </w:tc>
        <w:tc>
          <w:tcPr>
            <w:tcW w:w="1235" w:type="dxa"/>
            <w:gridSpan w:val="2"/>
            <w:tcBorders>
              <w:top w:val="nil"/>
              <w:left w:val="nil"/>
              <w:bottom w:val="nil"/>
              <w:right w:val="nil"/>
            </w:tcBorders>
            <w:noWrap/>
            <w:vAlign w:val="bottom"/>
          </w:tcPr>
          <w:p>
            <w:pPr>
              <w:rPr>
                <w:rFonts w:ascii="Arial" w:hAnsi="Arial" w:cs="Arial"/>
                <w:color w:val="auto"/>
                <w:sz w:val="18"/>
                <w:szCs w:val="18"/>
              </w:rPr>
            </w:pPr>
          </w:p>
        </w:tc>
        <w:tc>
          <w:tcPr>
            <w:tcW w:w="762" w:type="dxa"/>
            <w:tcBorders>
              <w:top w:val="nil"/>
              <w:left w:val="nil"/>
              <w:bottom w:val="nil"/>
              <w:right w:val="nil"/>
            </w:tcBorders>
            <w:noWrap/>
            <w:vAlign w:val="bottom"/>
          </w:tcPr>
          <w:p>
            <w:pPr>
              <w:rPr>
                <w:rFonts w:ascii="Arial" w:hAnsi="Arial" w:cs="Arial"/>
                <w:color w:val="auto"/>
                <w:sz w:val="18"/>
                <w:szCs w:val="18"/>
              </w:rPr>
            </w:pPr>
          </w:p>
        </w:tc>
        <w:tc>
          <w:tcPr>
            <w:tcW w:w="2055" w:type="dxa"/>
            <w:gridSpan w:val="2"/>
            <w:tcBorders>
              <w:top w:val="nil"/>
              <w:left w:val="nil"/>
              <w:bottom w:val="nil"/>
              <w:right w:val="nil"/>
            </w:tcBorders>
            <w:noWrap/>
            <w:vAlign w:val="bottom"/>
          </w:tcPr>
          <w:p>
            <w:pPr>
              <w:rPr>
                <w:rFonts w:ascii="Arial" w:hAnsi="Arial" w:cs="Arial"/>
                <w:color w:val="auto"/>
                <w:sz w:val="18"/>
                <w:szCs w:val="18"/>
              </w:rPr>
            </w:pPr>
          </w:p>
        </w:tc>
        <w:tc>
          <w:tcPr>
            <w:tcW w:w="880" w:type="dxa"/>
            <w:gridSpan w:val="2"/>
            <w:tcBorders>
              <w:top w:val="nil"/>
              <w:left w:val="nil"/>
              <w:bottom w:val="nil"/>
              <w:right w:val="nil"/>
            </w:tcBorders>
            <w:noWrap/>
            <w:vAlign w:val="bottom"/>
          </w:tcPr>
          <w:p>
            <w:pPr>
              <w:rPr>
                <w:rFonts w:ascii="Arial" w:hAnsi="Arial" w:cs="Arial"/>
                <w:color w:val="auto"/>
                <w:sz w:val="18"/>
                <w:szCs w:val="18"/>
              </w:rPr>
            </w:pPr>
          </w:p>
        </w:tc>
        <w:tc>
          <w:tcPr>
            <w:tcW w:w="975" w:type="dxa"/>
            <w:gridSpan w:val="2"/>
            <w:tcBorders>
              <w:top w:val="nil"/>
              <w:left w:val="nil"/>
              <w:bottom w:val="nil"/>
              <w:right w:val="nil"/>
            </w:tcBorders>
            <w:noWrap/>
            <w:vAlign w:val="bottom"/>
          </w:tcPr>
          <w:p>
            <w:pPr>
              <w:rPr>
                <w:rFonts w:ascii="Arial" w:hAnsi="Arial" w:cs="Arial"/>
                <w:color w:val="auto"/>
                <w:sz w:val="18"/>
                <w:szCs w:val="18"/>
              </w:rPr>
            </w:pPr>
          </w:p>
        </w:tc>
        <w:tc>
          <w:tcPr>
            <w:tcW w:w="4574" w:type="dxa"/>
            <w:gridSpan w:val="3"/>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公开06表</w:t>
            </w:r>
          </w:p>
        </w:tc>
      </w:tr>
      <w:tr>
        <w:tblPrEx>
          <w:tblCellMar>
            <w:top w:w="0" w:type="dxa"/>
            <w:left w:w="108" w:type="dxa"/>
            <w:bottom w:w="0" w:type="dxa"/>
            <w:right w:w="108" w:type="dxa"/>
          </w:tblCellMar>
        </w:tblPrEx>
        <w:trPr>
          <w:trHeight w:val="255" w:hRule="atLeast"/>
        </w:trPr>
        <w:tc>
          <w:tcPr>
            <w:tcW w:w="3600" w:type="dxa"/>
            <w:gridSpan w:val="2"/>
            <w:tcBorders>
              <w:top w:val="nil"/>
              <w:left w:val="nil"/>
              <w:bottom w:val="nil"/>
              <w:right w:val="nil"/>
            </w:tcBorders>
            <w:noWrap/>
            <w:vAlign w:val="bottom"/>
          </w:tcPr>
          <w:p>
            <w:pPr>
              <w:widowControl/>
              <w:jc w:val="left"/>
              <w:textAlignment w:val="bottom"/>
              <w:rPr>
                <w:rFonts w:ascii="宋体" w:hAnsi="宋体" w:cs="宋体"/>
                <w:color w:val="auto"/>
                <w:sz w:val="18"/>
                <w:szCs w:val="18"/>
              </w:rPr>
            </w:pPr>
            <w:r>
              <w:rPr>
                <w:rFonts w:hint="eastAsia" w:ascii="宋体" w:hAnsi="宋体" w:cs="宋体"/>
                <w:color w:val="auto"/>
                <w:kern w:val="0"/>
                <w:sz w:val="18"/>
                <w:szCs w:val="18"/>
              </w:rPr>
              <w:t>单位：许昌市房屋征收管理中心</w:t>
            </w:r>
          </w:p>
        </w:tc>
        <w:tc>
          <w:tcPr>
            <w:tcW w:w="1235" w:type="dxa"/>
            <w:gridSpan w:val="2"/>
            <w:tcBorders>
              <w:top w:val="nil"/>
              <w:left w:val="nil"/>
              <w:bottom w:val="nil"/>
              <w:right w:val="nil"/>
            </w:tcBorders>
            <w:noWrap/>
            <w:vAlign w:val="bottom"/>
          </w:tcPr>
          <w:p>
            <w:pPr>
              <w:rPr>
                <w:rFonts w:ascii="Arial" w:hAnsi="Arial" w:cs="Arial"/>
                <w:color w:val="auto"/>
                <w:sz w:val="18"/>
                <w:szCs w:val="18"/>
              </w:rPr>
            </w:pPr>
          </w:p>
        </w:tc>
        <w:tc>
          <w:tcPr>
            <w:tcW w:w="762" w:type="dxa"/>
            <w:tcBorders>
              <w:top w:val="nil"/>
              <w:left w:val="nil"/>
              <w:bottom w:val="nil"/>
              <w:right w:val="nil"/>
            </w:tcBorders>
            <w:noWrap/>
            <w:vAlign w:val="bottom"/>
          </w:tcPr>
          <w:p>
            <w:pPr>
              <w:rPr>
                <w:rFonts w:ascii="Arial" w:hAnsi="Arial" w:cs="Arial"/>
                <w:color w:val="auto"/>
                <w:sz w:val="18"/>
                <w:szCs w:val="18"/>
              </w:rPr>
            </w:pPr>
          </w:p>
        </w:tc>
        <w:tc>
          <w:tcPr>
            <w:tcW w:w="2055" w:type="dxa"/>
            <w:gridSpan w:val="2"/>
            <w:tcBorders>
              <w:top w:val="nil"/>
              <w:left w:val="nil"/>
              <w:bottom w:val="nil"/>
              <w:right w:val="nil"/>
            </w:tcBorders>
            <w:noWrap/>
            <w:vAlign w:val="bottom"/>
          </w:tcPr>
          <w:p>
            <w:pPr>
              <w:rPr>
                <w:rFonts w:ascii="Arial" w:hAnsi="Arial" w:cs="Arial"/>
                <w:color w:val="auto"/>
                <w:sz w:val="18"/>
                <w:szCs w:val="18"/>
              </w:rPr>
            </w:pPr>
          </w:p>
        </w:tc>
        <w:tc>
          <w:tcPr>
            <w:tcW w:w="880" w:type="dxa"/>
            <w:gridSpan w:val="2"/>
            <w:tcBorders>
              <w:top w:val="nil"/>
              <w:left w:val="nil"/>
              <w:bottom w:val="nil"/>
              <w:right w:val="nil"/>
            </w:tcBorders>
            <w:noWrap/>
            <w:vAlign w:val="bottom"/>
          </w:tcPr>
          <w:p>
            <w:pPr>
              <w:rPr>
                <w:rFonts w:ascii="Arial" w:hAnsi="Arial" w:cs="Arial"/>
                <w:color w:val="auto"/>
                <w:sz w:val="18"/>
                <w:szCs w:val="18"/>
              </w:rPr>
            </w:pPr>
          </w:p>
        </w:tc>
        <w:tc>
          <w:tcPr>
            <w:tcW w:w="975" w:type="dxa"/>
            <w:gridSpan w:val="2"/>
            <w:tcBorders>
              <w:top w:val="nil"/>
              <w:left w:val="nil"/>
              <w:bottom w:val="nil"/>
              <w:right w:val="nil"/>
            </w:tcBorders>
            <w:noWrap/>
            <w:vAlign w:val="bottom"/>
          </w:tcPr>
          <w:p>
            <w:pPr>
              <w:rPr>
                <w:rFonts w:ascii="Arial" w:hAnsi="Arial" w:cs="Arial"/>
                <w:color w:val="auto"/>
                <w:sz w:val="18"/>
                <w:szCs w:val="18"/>
              </w:rPr>
            </w:pPr>
          </w:p>
        </w:tc>
        <w:tc>
          <w:tcPr>
            <w:tcW w:w="4574" w:type="dxa"/>
            <w:gridSpan w:val="3"/>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308" w:hRule="atLeast"/>
        </w:trPr>
        <w:tc>
          <w:tcPr>
            <w:tcW w:w="483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人员经费</w:t>
            </w:r>
          </w:p>
        </w:tc>
        <w:tc>
          <w:tcPr>
            <w:tcW w:w="9246" w:type="dxa"/>
            <w:gridSpan w:val="10"/>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公用经费</w:t>
            </w:r>
          </w:p>
        </w:tc>
      </w:tr>
      <w:tr>
        <w:tblPrEx>
          <w:tblCellMar>
            <w:top w:w="0" w:type="dxa"/>
            <w:left w:w="108" w:type="dxa"/>
            <w:bottom w:w="0" w:type="dxa"/>
            <w:right w:w="108" w:type="dxa"/>
          </w:tblCellMar>
        </w:tblPrEx>
        <w:trPr>
          <w:trHeight w:val="312" w:hRule="atLeast"/>
        </w:trPr>
        <w:tc>
          <w:tcPr>
            <w:tcW w:w="90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科目</w:t>
            </w:r>
          </w:p>
          <w:p>
            <w:pPr>
              <w:widowControl/>
              <w:jc w:val="center"/>
              <w:textAlignment w:val="center"/>
              <w:rPr>
                <w:rFonts w:ascii="宋体" w:hAnsi="宋体" w:cs="宋体"/>
                <w:color w:val="auto"/>
                <w:sz w:val="22"/>
              </w:rPr>
            </w:pPr>
            <w:r>
              <w:rPr>
                <w:rFonts w:hint="eastAsia" w:ascii="宋体" w:hAnsi="宋体" w:cs="宋体"/>
                <w:color w:val="auto"/>
                <w:kern w:val="0"/>
                <w:sz w:val="22"/>
              </w:rPr>
              <w:t>编码</w:t>
            </w:r>
          </w:p>
        </w:tc>
        <w:tc>
          <w:tcPr>
            <w:tcW w:w="2943"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992"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决算数</w:t>
            </w:r>
          </w:p>
        </w:tc>
        <w:tc>
          <w:tcPr>
            <w:tcW w:w="85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科目</w:t>
            </w:r>
          </w:p>
          <w:p>
            <w:pPr>
              <w:widowControl/>
              <w:jc w:val="center"/>
              <w:textAlignment w:val="center"/>
              <w:rPr>
                <w:rFonts w:ascii="宋体" w:hAnsi="宋体" w:cs="宋体"/>
                <w:color w:val="auto"/>
                <w:sz w:val="22"/>
              </w:rPr>
            </w:pPr>
            <w:r>
              <w:rPr>
                <w:rFonts w:hint="eastAsia" w:ascii="宋体" w:hAnsi="宋体" w:cs="宋体"/>
                <w:color w:val="auto"/>
                <w:kern w:val="0"/>
                <w:sz w:val="22"/>
              </w:rPr>
              <w:t>编码</w:t>
            </w:r>
          </w:p>
        </w:tc>
        <w:tc>
          <w:tcPr>
            <w:tcW w:w="2552"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992"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决算数</w:t>
            </w:r>
          </w:p>
        </w:tc>
        <w:tc>
          <w:tcPr>
            <w:tcW w:w="851"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科目</w:t>
            </w:r>
          </w:p>
          <w:p>
            <w:pPr>
              <w:widowControl/>
              <w:jc w:val="center"/>
              <w:textAlignment w:val="center"/>
              <w:rPr>
                <w:rFonts w:ascii="宋体" w:hAnsi="宋体" w:cs="宋体"/>
                <w:color w:val="auto"/>
                <w:sz w:val="22"/>
              </w:rPr>
            </w:pPr>
            <w:r>
              <w:rPr>
                <w:rFonts w:hint="eastAsia" w:ascii="宋体" w:hAnsi="宋体" w:cs="宋体"/>
                <w:color w:val="auto"/>
                <w:kern w:val="0"/>
                <w:sz w:val="22"/>
              </w:rPr>
              <w:t>编码</w:t>
            </w:r>
          </w:p>
        </w:tc>
        <w:tc>
          <w:tcPr>
            <w:tcW w:w="311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883"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决算数</w:t>
            </w:r>
          </w:p>
        </w:tc>
      </w:tr>
      <w:tr>
        <w:tblPrEx>
          <w:tblCellMar>
            <w:top w:w="0" w:type="dxa"/>
            <w:left w:w="108" w:type="dxa"/>
            <w:bottom w:w="0" w:type="dxa"/>
            <w:right w:w="108" w:type="dxa"/>
          </w:tblCellMar>
        </w:tblPrEx>
        <w:trPr>
          <w:trHeight w:val="417" w:hRule="atLeast"/>
        </w:trPr>
        <w:tc>
          <w:tcPr>
            <w:tcW w:w="90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2943"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992"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850"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552"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992"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851"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311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883"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工资福利支出</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143.44</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商品和服务支出</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8.73</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307</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债务利息及费用支出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基本工资</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44.63</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30201</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办公费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4.21</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30701</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国内债务付息</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30102</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津贴补贴</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53.76</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30202</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印刷费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0.27</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30702</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国外债务付息</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30103</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奖金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9.05</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30203</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咨询费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0.55</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资本性支出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30106</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伙食补助费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30204</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手续费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31001</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房屋建筑物购建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30107</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绩效工资</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12.54</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30205</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水费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31002</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办公设备购置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30108</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机关事业单位基本养老保险缴费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9.32</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30206</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电费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31003</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专用设备购置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30109</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职业年金缴费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30207</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邮电费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0.19</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31005</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基础设施建设</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30110</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职工基本医疗保险缴费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4.29</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30208</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取暖费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31006</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大型修缮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公务员医疗补助缴费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30209</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物业管理费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31007</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信息网络及软件购置更新</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30112</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其他社会保障缴费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0.51</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30211</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差旅费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0.05</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31008</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物资储备</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30113</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住房公积金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9.33</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30212</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因公出国（境）费用</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土地补偿</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30114</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医疗费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30213</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维修（护）费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0.07</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31010</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安置补助</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30199</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其他工资福利支出</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30214</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租赁费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31011</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地上附着物和青苗补偿</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对个人和家庭的补助</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30215</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会议费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31012</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拆迁补偿</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离休费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30216</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培训费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0.58</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31013</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公务用车购置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30302</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退休费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30217</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公务接待费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其他交通工具购置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30303</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退职（役）费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30218</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专用材料费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31021</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文物和陈列品购置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30304</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抚恤金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30224</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被装购置费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31022</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无形资产购置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30305</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生活补助</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30225</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专用燃料费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31099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其他资本性支出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30306</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救济费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30226</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劳务费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0.48</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其他支出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30307</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医疗费补助</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30227</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委托业务费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39906</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赠与</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30308</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助学金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30228</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工会经费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0.69</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39907</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国家赔偿费用支出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30309</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奖励金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30229</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福利费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1.64</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39908</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对民间非营利组织和群众性自治组织补贴</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30310</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个人农业生产补贴</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30231</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公务用车运行维护费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39999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30311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代缴社会保险费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30239</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其他交通费用</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30399</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其他对个人和家庭的补助</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30240</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税金及附加费用</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30299</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其他商品和服务支出</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08" w:hRule="atLeast"/>
        </w:trPr>
        <w:tc>
          <w:tcPr>
            <w:tcW w:w="3843" w:type="dxa"/>
            <w:gridSpan w:val="3"/>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人员经费合计</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143.44</w:t>
            </w:r>
          </w:p>
        </w:tc>
        <w:tc>
          <w:tcPr>
            <w:tcW w:w="8363" w:type="dxa"/>
            <w:gridSpan w:val="9"/>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公用经费合计</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9.42</w:t>
            </w:r>
          </w:p>
        </w:tc>
      </w:tr>
      <w:tr>
        <w:tblPrEx>
          <w:tblCellMar>
            <w:top w:w="0" w:type="dxa"/>
            <w:left w:w="108" w:type="dxa"/>
            <w:bottom w:w="0" w:type="dxa"/>
            <w:right w:w="108" w:type="dxa"/>
          </w:tblCellMar>
        </w:tblPrEx>
        <w:trPr>
          <w:trHeight w:val="308" w:hRule="atLeast"/>
        </w:trPr>
        <w:tc>
          <w:tcPr>
            <w:tcW w:w="14081" w:type="dxa"/>
            <w:gridSpan w:val="14"/>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6" w:type="dxa"/>
        <w:tblInd w:w="93" w:type="dxa"/>
        <w:tblLayout w:type="autofit"/>
        <w:tblCellMar>
          <w:top w:w="0" w:type="dxa"/>
          <w:left w:w="108" w:type="dxa"/>
          <w:bottom w:w="0" w:type="dxa"/>
          <w:right w:w="108" w:type="dxa"/>
        </w:tblCellMar>
      </w:tblPr>
      <w:tblGrid>
        <w:gridCol w:w="1110"/>
        <w:gridCol w:w="1160"/>
        <w:gridCol w:w="1110"/>
        <w:gridCol w:w="1110"/>
        <w:gridCol w:w="1110"/>
        <w:gridCol w:w="1110"/>
        <w:gridCol w:w="1110"/>
        <w:gridCol w:w="1160"/>
        <w:gridCol w:w="1110"/>
        <w:gridCol w:w="1110"/>
        <w:gridCol w:w="1110"/>
        <w:gridCol w:w="1616"/>
      </w:tblGrid>
      <w:tr>
        <w:tblPrEx>
          <w:tblCellMar>
            <w:top w:w="0" w:type="dxa"/>
            <w:left w:w="108" w:type="dxa"/>
            <w:bottom w:w="0" w:type="dxa"/>
            <w:right w:w="108" w:type="dxa"/>
          </w:tblCellMar>
        </w:tblPrEx>
        <w:trPr>
          <w:trHeight w:val="540" w:hRule="atLeast"/>
        </w:trPr>
        <w:tc>
          <w:tcPr>
            <w:tcW w:w="13926" w:type="dxa"/>
            <w:gridSpan w:val="12"/>
            <w:tcBorders>
              <w:top w:val="nil"/>
              <w:left w:val="nil"/>
              <w:bottom w:val="nil"/>
              <w:right w:val="nil"/>
            </w:tcBorders>
            <w:noWrap/>
            <w:vAlign w:val="bottom"/>
          </w:tcPr>
          <w:p>
            <w:pPr>
              <w:widowControl/>
              <w:jc w:val="center"/>
              <w:textAlignment w:val="bottom"/>
              <w:rPr>
                <w:rFonts w:ascii="宋体" w:hAnsi="宋体" w:cs="宋体"/>
                <w:color w:val="auto"/>
                <w:sz w:val="44"/>
                <w:szCs w:val="44"/>
              </w:rPr>
            </w:pPr>
            <w:r>
              <w:rPr>
                <w:rFonts w:hint="eastAsia" w:ascii="宋体" w:hAnsi="宋体" w:cs="宋体"/>
                <w:color w:val="auto"/>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3380" w:type="dxa"/>
            <w:gridSpan w:val="3"/>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2726"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公开07表</w:t>
            </w:r>
          </w:p>
        </w:tc>
      </w:tr>
      <w:tr>
        <w:tblPrEx>
          <w:tblCellMar>
            <w:top w:w="0" w:type="dxa"/>
            <w:left w:w="108" w:type="dxa"/>
            <w:bottom w:w="0" w:type="dxa"/>
            <w:right w:w="108" w:type="dxa"/>
          </w:tblCellMar>
        </w:tblPrEx>
        <w:trPr>
          <w:trHeight w:val="255" w:hRule="atLeast"/>
        </w:trPr>
        <w:tc>
          <w:tcPr>
            <w:tcW w:w="4490" w:type="dxa"/>
            <w:gridSpan w:val="4"/>
            <w:tcBorders>
              <w:top w:val="nil"/>
              <w:left w:val="nil"/>
              <w:bottom w:val="nil"/>
              <w:right w:val="nil"/>
            </w:tcBorders>
            <w:noWrap/>
            <w:vAlign w:val="bottom"/>
          </w:tcPr>
          <w:p>
            <w:pPr>
              <w:rPr>
                <w:rFonts w:ascii="Arial" w:hAnsi="Arial" w:cs="Arial"/>
                <w:color w:val="auto"/>
                <w:sz w:val="18"/>
                <w:szCs w:val="18"/>
              </w:rPr>
            </w:pPr>
            <w:r>
              <w:rPr>
                <w:rFonts w:hint="eastAsia" w:ascii="宋体" w:hAnsi="宋体" w:cs="宋体"/>
                <w:color w:val="auto"/>
                <w:kern w:val="0"/>
                <w:sz w:val="18"/>
                <w:szCs w:val="18"/>
              </w:rPr>
              <w:t>单位：许昌市房屋征收管理中心</w:t>
            </w: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0" w:type="auto"/>
            <w:tcBorders>
              <w:top w:val="nil"/>
              <w:left w:val="nil"/>
              <w:bottom w:val="nil"/>
              <w:right w:val="nil"/>
            </w:tcBorders>
            <w:noWrap/>
            <w:vAlign w:val="bottom"/>
          </w:tcPr>
          <w:p>
            <w:pPr>
              <w:rPr>
                <w:rFonts w:ascii="Arial" w:hAnsi="Arial" w:cs="Arial"/>
                <w:color w:val="auto"/>
                <w:sz w:val="18"/>
                <w:szCs w:val="18"/>
              </w:rPr>
            </w:pPr>
          </w:p>
        </w:tc>
        <w:tc>
          <w:tcPr>
            <w:tcW w:w="2726"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308" w:hRule="atLeast"/>
        </w:trPr>
        <w:tc>
          <w:tcPr>
            <w:tcW w:w="671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预算数</w:t>
            </w:r>
          </w:p>
        </w:tc>
        <w:tc>
          <w:tcPr>
            <w:tcW w:w="7216"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决算数</w:t>
            </w:r>
          </w:p>
        </w:tc>
      </w:tr>
      <w:tr>
        <w:tblPrEx>
          <w:tblCellMar>
            <w:top w:w="0" w:type="dxa"/>
            <w:left w:w="108" w:type="dxa"/>
            <w:bottom w:w="0" w:type="dxa"/>
            <w:right w:w="108" w:type="dxa"/>
          </w:tblCellMar>
        </w:tblPrEx>
        <w:trPr>
          <w:trHeight w:val="308" w:hRule="atLeast"/>
        </w:trPr>
        <w:tc>
          <w:tcPr>
            <w:tcW w:w="111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11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因公出国（境）费</w:t>
            </w:r>
          </w:p>
        </w:tc>
        <w:tc>
          <w:tcPr>
            <w:tcW w:w="333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公务用车购置及运行费</w:t>
            </w:r>
          </w:p>
        </w:tc>
        <w:tc>
          <w:tcPr>
            <w:tcW w:w="11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公务接待费</w:t>
            </w:r>
          </w:p>
        </w:tc>
        <w:tc>
          <w:tcPr>
            <w:tcW w:w="11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11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因公出国（境）费</w:t>
            </w:r>
          </w:p>
        </w:tc>
        <w:tc>
          <w:tcPr>
            <w:tcW w:w="333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公务用车购置及运行费</w:t>
            </w:r>
          </w:p>
        </w:tc>
        <w:tc>
          <w:tcPr>
            <w:tcW w:w="161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公务接待费</w:t>
            </w:r>
          </w:p>
        </w:tc>
      </w:tr>
      <w:tr>
        <w:tblPrEx>
          <w:tblCellMar>
            <w:top w:w="0" w:type="dxa"/>
            <w:left w:w="108" w:type="dxa"/>
            <w:bottom w:w="0" w:type="dxa"/>
            <w:right w:w="108" w:type="dxa"/>
          </w:tblCellMar>
        </w:tblPrEx>
        <w:trPr>
          <w:trHeight w:val="615" w:hRule="atLeast"/>
        </w:trPr>
        <w:tc>
          <w:tcPr>
            <w:tcW w:w="111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小计</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公务用车购置费</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公务用车运行费</w:t>
            </w:r>
          </w:p>
        </w:tc>
        <w:tc>
          <w:tcPr>
            <w:tcW w:w="111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1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小计</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公务用车购置费</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公务用车运行费</w:t>
            </w:r>
          </w:p>
        </w:tc>
        <w:tc>
          <w:tcPr>
            <w:tcW w:w="161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1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116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7</w:t>
            </w:r>
          </w:p>
        </w:tc>
        <w:tc>
          <w:tcPr>
            <w:tcW w:w="116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9</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10</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11</w:t>
            </w:r>
          </w:p>
        </w:tc>
        <w:tc>
          <w:tcPr>
            <w:tcW w:w="161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615" w:hRule="atLeast"/>
        </w:trPr>
        <w:tc>
          <w:tcPr>
            <w:tcW w:w="13926" w:type="dxa"/>
            <w:gridSpan w:val="12"/>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rPr>
        <w:t xml:space="preserve"> 说明：我单位没有预算安排的三公经费，也没有预算安排的三公支出，故本表无数据。</w:t>
      </w:r>
    </w:p>
    <w:tbl>
      <w:tblPr>
        <w:tblStyle w:val="5"/>
        <w:tblW w:w="13963" w:type="dxa"/>
        <w:tblInd w:w="93" w:type="dxa"/>
        <w:tblLayout w:type="fixed"/>
        <w:tblCellMar>
          <w:top w:w="0" w:type="dxa"/>
          <w:left w:w="108" w:type="dxa"/>
          <w:bottom w:w="0" w:type="dxa"/>
          <w:right w:w="108" w:type="dxa"/>
        </w:tblCellMar>
      </w:tblPr>
      <w:tblGrid>
        <w:gridCol w:w="1436"/>
        <w:gridCol w:w="1108"/>
        <w:gridCol w:w="2027"/>
        <w:gridCol w:w="1717"/>
        <w:gridCol w:w="1717"/>
        <w:gridCol w:w="1717"/>
        <w:gridCol w:w="1717"/>
        <w:gridCol w:w="2524"/>
      </w:tblGrid>
      <w:tr>
        <w:tblPrEx>
          <w:tblCellMar>
            <w:top w:w="0" w:type="dxa"/>
            <w:left w:w="108" w:type="dxa"/>
            <w:bottom w:w="0" w:type="dxa"/>
            <w:right w:w="108" w:type="dxa"/>
          </w:tblCellMar>
        </w:tblPrEx>
        <w:trPr>
          <w:trHeight w:val="353" w:hRule="atLeast"/>
        </w:trPr>
        <w:tc>
          <w:tcPr>
            <w:tcW w:w="13963" w:type="dxa"/>
            <w:gridSpan w:val="8"/>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政府性基金预算财政拨款收入支出决算表</w:t>
            </w:r>
          </w:p>
        </w:tc>
      </w:tr>
      <w:tr>
        <w:tblPrEx>
          <w:tblCellMar>
            <w:top w:w="0" w:type="dxa"/>
            <w:left w:w="108" w:type="dxa"/>
            <w:bottom w:w="0" w:type="dxa"/>
            <w:right w:w="108" w:type="dxa"/>
          </w:tblCellMar>
        </w:tblPrEx>
        <w:trPr>
          <w:trHeight w:val="369" w:hRule="atLeast"/>
        </w:trPr>
        <w:tc>
          <w:tcPr>
            <w:tcW w:w="4571" w:type="dxa"/>
            <w:gridSpan w:val="3"/>
            <w:tcBorders>
              <w:top w:val="nil"/>
              <w:left w:val="nil"/>
              <w:bottom w:val="nil"/>
              <w:right w:val="nil"/>
            </w:tcBorders>
            <w:noWrap/>
            <w:vAlign w:val="bottom"/>
          </w:tcPr>
          <w:p>
            <w:pPr>
              <w:rPr>
                <w:rFonts w:ascii="Arial" w:hAnsi="Arial" w:cs="Arial"/>
                <w:color w:val="auto"/>
                <w:sz w:val="18"/>
                <w:szCs w:val="18"/>
              </w:rPr>
            </w:pPr>
          </w:p>
        </w:tc>
        <w:tc>
          <w:tcPr>
            <w:tcW w:w="1717" w:type="dxa"/>
            <w:tcBorders>
              <w:top w:val="nil"/>
              <w:left w:val="nil"/>
              <w:bottom w:val="nil"/>
              <w:right w:val="nil"/>
            </w:tcBorders>
            <w:noWrap/>
            <w:vAlign w:val="bottom"/>
          </w:tcPr>
          <w:p>
            <w:pPr>
              <w:rPr>
                <w:rFonts w:ascii="Arial" w:hAnsi="Arial" w:cs="Arial"/>
                <w:color w:val="auto"/>
                <w:sz w:val="18"/>
                <w:szCs w:val="18"/>
              </w:rPr>
            </w:pPr>
          </w:p>
        </w:tc>
        <w:tc>
          <w:tcPr>
            <w:tcW w:w="1717" w:type="dxa"/>
            <w:tcBorders>
              <w:top w:val="nil"/>
              <w:left w:val="nil"/>
              <w:bottom w:val="nil"/>
              <w:right w:val="nil"/>
            </w:tcBorders>
            <w:noWrap/>
            <w:vAlign w:val="bottom"/>
          </w:tcPr>
          <w:p>
            <w:pPr>
              <w:rPr>
                <w:rFonts w:ascii="Arial" w:hAnsi="Arial" w:cs="Arial"/>
                <w:color w:val="auto"/>
                <w:sz w:val="18"/>
                <w:szCs w:val="18"/>
              </w:rPr>
            </w:pPr>
          </w:p>
        </w:tc>
        <w:tc>
          <w:tcPr>
            <w:tcW w:w="1717" w:type="dxa"/>
            <w:tcBorders>
              <w:top w:val="nil"/>
              <w:left w:val="nil"/>
              <w:bottom w:val="nil"/>
              <w:right w:val="nil"/>
            </w:tcBorders>
            <w:noWrap/>
            <w:vAlign w:val="bottom"/>
          </w:tcPr>
          <w:p>
            <w:pPr>
              <w:rPr>
                <w:rFonts w:ascii="Arial" w:hAnsi="Arial" w:cs="Arial"/>
                <w:color w:val="auto"/>
                <w:sz w:val="18"/>
                <w:szCs w:val="18"/>
              </w:rPr>
            </w:pPr>
          </w:p>
        </w:tc>
        <w:tc>
          <w:tcPr>
            <w:tcW w:w="1717" w:type="dxa"/>
            <w:tcBorders>
              <w:top w:val="nil"/>
              <w:left w:val="nil"/>
              <w:bottom w:val="nil"/>
              <w:right w:val="nil"/>
            </w:tcBorders>
            <w:noWrap/>
            <w:vAlign w:val="bottom"/>
          </w:tcPr>
          <w:p>
            <w:pPr>
              <w:rPr>
                <w:rFonts w:ascii="Arial" w:hAnsi="Arial" w:cs="Arial"/>
                <w:color w:val="auto"/>
                <w:sz w:val="18"/>
                <w:szCs w:val="18"/>
              </w:rPr>
            </w:pPr>
          </w:p>
        </w:tc>
        <w:tc>
          <w:tcPr>
            <w:tcW w:w="2524" w:type="dxa"/>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公开08表</w:t>
            </w:r>
          </w:p>
        </w:tc>
      </w:tr>
      <w:tr>
        <w:tblPrEx>
          <w:tblCellMar>
            <w:top w:w="0" w:type="dxa"/>
            <w:left w:w="108" w:type="dxa"/>
            <w:bottom w:w="0" w:type="dxa"/>
            <w:right w:w="108" w:type="dxa"/>
          </w:tblCellMar>
        </w:tblPrEx>
        <w:trPr>
          <w:trHeight w:val="369" w:hRule="atLeast"/>
        </w:trPr>
        <w:tc>
          <w:tcPr>
            <w:tcW w:w="4571" w:type="dxa"/>
            <w:gridSpan w:val="3"/>
            <w:tcBorders>
              <w:top w:val="nil"/>
              <w:left w:val="nil"/>
              <w:bottom w:val="nil"/>
              <w:right w:val="nil"/>
            </w:tcBorders>
            <w:noWrap/>
            <w:vAlign w:val="bottom"/>
          </w:tcPr>
          <w:p>
            <w:pPr>
              <w:rPr>
                <w:rFonts w:ascii="Arial" w:hAnsi="Arial" w:cs="Arial"/>
                <w:color w:val="auto"/>
                <w:sz w:val="18"/>
                <w:szCs w:val="18"/>
              </w:rPr>
            </w:pPr>
            <w:r>
              <w:rPr>
                <w:rFonts w:hint="eastAsia" w:ascii="宋体" w:hAnsi="宋体" w:cs="宋体"/>
                <w:color w:val="auto"/>
                <w:kern w:val="0"/>
                <w:sz w:val="18"/>
                <w:szCs w:val="18"/>
              </w:rPr>
              <w:t>单位：许昌市房屋征收管理中心</w:t>
            </w:r>
          </w:p>
        </w:tc>
        <w:tc>
          <w:tcPr>
            <w:tcW w:w="1717" w:type="dxa"/>
            <w:tcBorders>
              <w:top w:val="nil"/>
              <w:left w:val="nil"/>
              <w:bottom w:val="nil"/>
              <w:right w:val="nil"/>
            </w:tcBorders>
            <w:noWrap/>
            <w:vAlign w:val="bottom"/>
          </w:tcPr>
          <w:p>
            <w:pPr>
              <w:rPr>
                <w:rFonts w:ascii="Arial" w:hAnsi="Arial" w:cs="Arial"/>
                <w:color w:val="auto"/>
                <w:sz w:val="18"/>
                <w:szCs w:val="18"/>
              </w:rPr>
            </w:pPr>
          </w:p>
        </w:tc>
        <w:tc>
          <w:tcPr>
            <w:tcW w:w="1717" w:type="dxa"/>
            <w:tcBorders>
              <w:top w:val="nil"/>
              <w:left w:val="nil"/>
              <w:bottom w:val="nil"/>
              <w:right w:val="nil"/>
            </w:tcBorders>
            <w:noWrap/>
            <w:vAlign w:val="bottom"/>
          </w:tcPr>
          <w:p>
            <w:pPr>
              <w:rPr>
                <w:rFonts w:ascii="Arial" w:hAnsi="Arial" w:cs="Arial"/>
                <w:color w:val="auto"/>
                <w:sz w:val="18"/>
                <w:szCs w:val="18"/>
              </w:rPr>
            </w:pPr>
          </w:p>
        </w:tc>
        <w:tc>
          <w:tcPr>
            <w:tcW w:w="1717" w:type="dxa"/>
            <w:tcBorders>
              <w:top w:val="nil"/>
              <w:left w:val="nil"/>
              <w:bottom w:val="nil"/>
              <w:right w:val="nil"/>
            </w:tcBorders>
            <w:noWrap/>
            <w:vAlign w:val="bottom"/>
          </w:tcPr>
          <w:p>
            <w:pPr>
              <w:rPr>
                <w:rFonts w:ascii="Arial" w:hAnsi="Arial" w:cs="Arial"/>
                <w:color w:val="auto"/>
                <w:sz w:val="18"/>
                <w:szCs w:val="18"/>
              </w:rPr>
            </w:pPr>
          </w:p>
        </w:tc>
        <w:tc>
          <w:tcPr>
            <w:tcW w:w="1717" w:type="dxa"/>
            <w:tcBorders>
              <w:top w:val="nil"/>
              <w:left w:val="nil"/>
              <w:bottom w:val="nil"/>
              <w:right w:val="nil"/>
            </w:tcBorders>
            <w:noWrap/>
            <w:vAlign w:val="bottom"/>
          </w:tcPr>
          <w:p>
            <w:pPr>
              <w:rPr>
                <w:rFonts w:ascii="Arial" w:hAnsi="Arial" w:cs="Arial"/>
                <w:color w:val="auto"/>
                <w:sz w:val="18"/>
                <w:szCs w:val="18"/>
              </w:rPr>
            </w:pPr>
          </w:p>
        </w:tc>
        <w:tc>
          <w:tcPr>
            <w:tcW w:w="2524" w:type="dxa"/>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369" w:hRule="atLeast"/>
        </w:trPr>
        <w:tc>
          <w:tcPr>
            <w:tcW w:w="254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202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年初结转和结余</w:t>
            </w:r>
          </w:p>
        </w:tc>
        <w:tc>
          <w:tcPr>
            <w:tcW w:w="171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本年收入</w:t>
            </w:r>
          </w:p>
        </w:tc>
        <w:tc>
          <w:tcPr>
            <w:tcW w:w="5151"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本年支出</w:t>
            </w:r>
          </w:p>
        </w:tc>
        <w:tc>
          <w:tcPr>
            <w:tcW w:w="252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年末结转和结余</w:t>
            </w:r>
          </w:p>
        </w:tc>
      </w:tr>
      <w:tr>
        <w:tblPrEx>
          <w:tblCellMar>
            <w:top w:w="0" w:type="dxa"/>
            <w:left w:w="108" w:type="dxa"/>
            <w:bottom w:w="0" w:type="dxa"/>
            <w:right w:w="108" w:type="dxa"/>
          </w:tblCellMar>
        </w:tblPrEx>
        <w:trPr>
          <w:trHeight w:val="369" w:hRule="atLeast"/>
        </w:trPr>
        <w:tc>
          <w:tcPr>
            <w:tcW w:w="143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rPr>
            </w:pPr>
            <w:r>
              <w:rPr>
                <w:rFonts w:hint="eastAsia" w:ascii="宋体" w:hAnsi="宋体" w:cs="宋体"/>
                <w:color w:val="auto"/>
                <w:kern w:val="0"/>
                <w:sz w:val="22"/>
              </w:rPr>
              <w:t>功能分类</w:t>
            </w:r>
          </w:p>
          <w:p>
            <w:pPr>
              <w:widowControl/>
              <w:jc w:val="center"/>
              <w:textAlignment w:val="center"/>
              <w:rPr>
                <w:rFonts w:ascii="宋体" w:hAnsi="宋体" w:cs="宋体"/>
                <w:color w:val="auto"/>
                <w:sz w:val="22"/>
              </w:rPr>
            </w:pPr>
            <w:r>
              <w:rPr>
                <w:rFonts w:hint="eastAsia" w:ascii="宋体" w:hAnsi="宋体" w:cs="宋体"/>
                <w:color w:val="auto"/>
                <w:kern w:val="0"/>
                <w:sz w:val="22"/>
              </w:rPr>
              <w:t>科目编码</w:t>
            </w:r>
          </w:p>
        </w:tc>
        <w:tc>
          <w:tcPr>
            <w:tcW w:w="110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小计</w:t>
            </w: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基本支出</w:t>
            </w: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项目支出</w:t>
            </w: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69" w:hRule="atLeast"/>
        </w:trPr>
        <w:tc>
          <w:tcPr>
            <w:tcW w:w="143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110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20" w:hRule="atLeast"/>
        </w:trPr>
        <w:tc>
          <w:tcPr>
            <w:tcW w:w="143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rPr>
            </w:pPr>
          </w:p>
        </w:tc>
        <w:tc>
          <w:tcPr>
            <w:tcW w:w="110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69" w:hRule="atLeast"/>
        </w:trPr>
        <w:tc>
          <w:tcPr>
            <w:tcW w:w="25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202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252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r>
      <w:tr>
        <w:tblPrEx>
          <w:tblCellMar>
            <w:top w:w="0" w:type="dxa"/>
            <w:left w:w="108" w:type="dxa"/>
            <w:bottom w:w="0" w:type="dxa"/>
            <w:right w:w="108" w:type="dxa"/>
          </w:tblCellMar>
        </w:tblPrEx>
        <w:trPr>
          <w:trHeight w:val="369" w:hRule="atLeast"/>
        </w:trPr>
        <w:tc>
          <w:tcPr>
            <w:tcW w:w="25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　</w:t>
            </w:r>
          </w:p>
        </w:tc>
      </w:tr>
      <w:tr>
        <w:tblPrEx>
          <w:tblCellMar>
            <w:top w:w="0" w:type="dxa"/>
            <w:left w:w="108" w:type="dxa"/>
            <w:bottom w:w="0" w:type="dxa"/>
            <w:right w:w="108" w:type="dxa"/>
          </w:tblCellMar>
        </w:tblPrEx>
        <w:trPr>
          <w:trHeight w:val="369"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69"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69"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　</w:t>
            </w:r>
          </w:p>
        </w:tc>
      </w:tr>
      <w:tr>
        <w:tblPrEx>
          <w:tblCellMar>
            <w:top w:w="0" w:type="dxa"/>
            <w:left w:w="108" w:type="dxa"/>
            <w:bottom w:w="0" w:type="dxa"/>
            <w:right w:w="108" w:type="dxa"/>
          </w:tblCellMar>
        </w:tblPrEx>
        <w:trPr>
          <w:trHeight w:val="369" w:hRule="atLeast"/>
        </w:trPr>
        <w:tc>
          <w:tcPr>
            <w:tcW w:w="13963" w:type="dxa"/>
            <w:gridSpan w:val="8"/>
            <w:tcBorders>
              <w:top w:val="nil"/>
              <w:left w:val="nil"/>
              <w:bottom w:val="nil"/>
              <w:right w:val="nil"/>
            </w:tcBorders>
            <w:noWrap/>
            <w:vAlign w:val="center"/>
          </w:tcPr>
          <w:p>
            <w:pPr>
              <w:widowControl/>
              <w:jc w:val="left"/>
              <w:textAlignment w:val="center"/>
              <w:rPr>
                <w:rFonts w:ascii="宋体" w:hAnsi="宋体" w:cs="宋体"/>
                <w:color w:val="auto"/>
                <w:kern w:val="0"/>
                <w:sz w:val="22"/>
              </w:rPr>
            </w:pPr>
            <w:r>
              <w:rPr>
                <w:rFonts w:hint="eastAsia" w:ascii="宋体" w:hAnsi="宋体" w:cs="宋体"/>
                <w:color w:val="auto"/>
                <w:kern w:val="0"/>
                <w:sz w:val="22"/>
              </w:rPr>
              <w:t>注：本表反映单位本年度政府性基金预算财政拨款收入、支出及结转和结余情况。本表金额转换为万元时，因四舍五入可能存在尾差。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rPr>
        <w:t>说明：我单位没有政府性基金收入，也没有使用政府性基金安排的支出，故本表无数据。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第三部分 2021年度单位决算情况说明</w:t>
      </w:r>
    </w:p>
    <w:p>
      <w:pPr>
        <w:widowControl/>
        <w:jc w:val="left"/>
        <w:rPr>
          <w:rFonts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年度收、支总计均为153.66万元。与上年度相比，收、支总计各减少4.94万元，下降3.11%。主要原因是本年度缩减公用经费支出。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141.36万元，其中：财政拨款收入141.36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年度支出合计153.66万元，其中：基本支出152.86万元，占99.48%；项目支出0.80万元，占0.52%；上缴上级支出0.00万元，占0.00%；经营支出0.00万元，占0.00%；对附属单位补助支出0.00万元，占0.00%。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年度财政拨款收、支总计均为153.66万元。与上年度相比，财政拨款收、支总计各减少4.94万元，下降3.11%。主要原因是上年度结余结转资金收回，本年度缩减公用经费支出。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spacing w:line="54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年度一般公共预算财政拨款支出153.66万元，占支出合计的100.00%。与上年度相比，一般公共预算财政拨款支出增加9.5万元，增加6.59%。主要原因是本年度单位人员调出1人、新增2人，追加财政供养人员经费。</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153.66万元，主要用于以下方面：一般公共服务支出（类）0.69万元，占0.45%；社会保障和就业支出（类）1.42万元，占0.92%，卫生健康支出（类）0.52万元，占0.34%，城乡社区支出151.03万元，占98.29%。</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年度一般公共预算财政拨款支出年初预算为136.35万元，支出决算为153.66万元，完成年初预算的112.69%。其中：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1．一般公共服务支出（类）群众团体事务（款）工会事务（项）。</w:t>
      </w:r>
      <w:r>
        <w:rPr>
          <w:rFonts w:hint="eastAsia" w:ascii="仿宋_GB2312" w:hAnsi="仿宋_GB2312" w:eastAsia="仿宋_GB2312" w:cs="仿宋_GB2312"/>
          <w:color w:val="auto"/>
          <w:sz w:val="32"/>
          <w:szCs w:val="32"/>
        </w:rPr>
        <w:t>年初预算为0.69万元，支出决算为0.69万元，完成年初预算的100.00%。决算数与年初预算数不存在差异。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年初预算为0.00万元，支出决算为1.42万元。决算数与年初预算数存在差异的主要原因是预算科目调整。</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3.卫生健康支出（类）行政事业单位医疗（款）事业单位医疗（项）。</w:t>
      </w:r>
      <w:r>
        <w:rPr>
          <w:rFonts w:hint="eastAsia" w:ascii="仿宋_GB2312" w:hAnsi="仿宋_GB2312" w:eastAsia="仿宋_GB2312" w:cs="仿宋_GB2312"/>
          <w:color w:val="auto"/>
          <w:sz w:val="32"/>
          <w:szCs w:val="32"/>
        </w:rPr>
        <w:t>年初预算为0万元，支出决算为0.52万元。决算数与年初预算数存在差异的主要原因是预算科目调整。</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4．城乡社区支出（类）城乡社区管理事务（款）其他城乡社区管理事务支出（项）。</w:t>
      </w:r>
      <w:r>
        <w:rPr>
          <w:rFonts w:hint="eastAsia" w:ascii="仿宋_GB2312" w:hAnsi="仿宋_GB2312" w:eastAsia="仿宋_GB2312" w:cs="仿宋_GB2312"/>
          <w:color w:val="auto"/>
          <w:sz w:val="32"/>
          <w:szCs w:val="32"/>
        </w:rPr>
        <w:t>年初预算为135.66万元，支出决算为151.03万元，完成年初预算的111.33%。决算数与年初预算数存在差异的主要原因是预算科目调整，另本年度单位人员调出1人、新增2人，追加财政供养人员经费。</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152.86万元。其中：人员经费143.44万元，主要包括：基本工资、津贴补贴、绩效工资、机关事业单位基本养老保险缴费、职业年金缴费、职工基本医疗保险缴费、其他社会保障缴费、住房公积金；公用经费9.42万元，主要包括：办公费、印刷费、咨询费、邮电费、差旅费、维修（护）费、培训费、劳务费、工会经费、福利费。</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年度“三公”经费财政拨款支出预算为0.00万元，支出决算为0.00万元。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年度“三公”经费财政拨款支出决算中，因公出国（境）费支出决算0.00万元，占0.00%；公务用车购置及运行费支出决算0.00万元，占0.00%；公务接待费支出决算0.00万元，占0.00%。具体情况如下：</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预算为0.00万元，支出决算为0.00万元。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预算为0.00万元，支出决算为0.00万元。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w:t>
      </w:r>
      <w:r>
        <w:rPr>
          <w:rFonts w:ascii="仿宋_GB2312" w:hAnsi="仿宋_GB2312" w:eastAsia="仿宋_GB2312" w:cs="仿宋_GB2312"/>
          <w:color w:val="auto"/>
          <w:sz w:val="32"/>
          <w:szCs w:val="32"/>
        </w:rPr>
        <w:t>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为0.00万元，购置车辆0台</w:t>
      </w:r>
      <w:r>
        <w:rPr>
          <w:rFonts w:ascii="仿宋_GB2312" w:hAnsi="仿宋_GB2312" w:eastAsia="仿宋_GB2312" w:cs="仿宋_GB2312"/>
          <w:color w:val="auto"/>
          <w:sz w:val="32"/>
          <w:szCs w:val="32"/>
        </w:rPr>
        <w:t>。</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w:t>
      </w:r>
      <w:r>
        <w:rPr>
          <w:rFonts w:ascii="仿宋_GB2312" w:hAnsi="仿宋_GB2312" w:eastAsia="仿宋_GB2312" w:cs="仿宋_GB2312"/>
          <w:color w:val="auto"/>
          <w:sz w:val="32"/>
          <w:szCs w:val="32"/>
        </w:rPr>
        <w:t>0辆</w:t>
      </w:r>
      <w:r>
        <w:rPr>
          <w:rFonts w:hint="eastAsia" w:ascii="仿宋_GB2312" w:hAnsi="仿宋_GB2312" w:eastAsia="仿宋_GB2312" w:cs="仿宋_GB2312"/>
          <w:color w:val="auto"/>
          <w:sz w:val="32"/>
          <w:szCs w:val="32"/>
        </w:rPr>
        <w:t>。</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预算为0.00万元，支出决算为0.00万元。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tabs>
          <w:tab w:val="left" w:pos="640"/>
        </w:tabs>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我单位按照《中共许昌市委 许昌市人民政府关于全面实施预算绩效管理的实施意见》（许发〔2021〕13号）文件要求，对单位整体支出和项目支出开展全过程预算绩效管理。2021年度我单位按照财政部门的要求，采取事前申报绩效目标和指标、事中开展绩效日常监督，事后进行绩效评价的方式，建立了贯穿支出全过程绩效监管等管理模式，并将每年绩效结果运用到以后预算编制，使单位所有收支纳入预算管理，财政资金支出严格履行完整的审批程序和手续，资金使用符合预算批复用途合理合规，严格遵守绩效管理各项制度，圆满完成2021年度预算绩效目标。 </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（二）单位整体和项目绩效自评结果。</w:t>
      </w:r>
    </w:p>
    <w:p>
      <w:pPr>
        <w:widowControl/>
        <w:spacing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2022〕1号）等文件精神，我单位对本单位整体绩效目标和项目支出绩效目标进行了自评。一是单位整体绩效自评情况。2021年市财政批复资金已全部到位并按照预期要求完成支付，资金管理情况良好。资金使用符合预算批复用途，严格遵守财务管理各项规章制度，财务制度健全，会计核算规范，依据既定的评价指标体系，科学、规范评价2021年度部门预算绩效目标的完成情况。二是项目绩效自评情况。我单位共有0个项目批复了绩效目标，项目金额0.00万元。</w:t>
      </w:r>
    </w:p>
    <w:p>
      <w:pPr>
        <w:widowControl/>
        <w:spacing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基于项目预期目标的实现程度，对2021年度项目绩效进行自评，其中，0个项目评价等级为“优”，0个项目评价等级为“良”，0个项目评价等级为“中”，0个项目评价等级为“差”，绩效自评平均得分为/分。</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spacing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2021年我单位没有开展重点绩效评价的项目。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ascii="黑体" w:hAnsi="黑体" w:eastAsia="黑体" w:cs="黑体"/>
          <w:color w:val="auto"/>
          <w:sz w:val="48"/>
          <w:szCs w:val="48"/>
        </w:rPr>
      </w:pPr>
    </w:p>
    <w:p>
      <w:pPr>
        <w:jc w:val="center"/>
        <w:outlineLvl w:val="0"/>
        <w:rPr>
          <w:rFonts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一、财政拨款收入：单位从同级政府财政部门取得的财政预算资金。</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二、事业收入：事业单位开展专业业务活动及其辅助活动取得的收入。</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三、上级补助收入：事业单位从主管部门和上级单位取得的非财政补助收入。</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四、附属单位上缴收入：事业单位取得附属独立核算单位根据有关规定上缴的收入。</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五、经营收入：事业单位在专业业务活动及其辅助活动之外开展非独立核算经营活动取得的收入。</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六、其他收入：单位取得的除“财政拨款收入”、“事业收入”、“上级补助收入”、“附属单位上缴收入”、“经营收入”以外的各项收入。</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八、基本支出：为保障机构正常运转、完成日常工作任务而发生的人员支出和公用支出。</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九、项目支出：基本支出之外为完成特定行政任务和事业发展目标所发生的支出。</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十二、工资福利支出：单位支付给在职职工和编制外长期聘用人员的各类劳动报酬，以及为上述人员缴纳的各项社会保险费等。</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十三、商品和服务支出：单位购买商品和服务的支出。</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十四、对个人和家庭的补助支出：单位用于对个人和家庭的补助支出。</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autoSpaceDE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ascii="仿宋_GB2312" w:hAnsi="仿宋_GB2312" w:eastAsia="仿宋_GB2312" w:cs="仿宋_GB2312"/>
          <w:color w:val="auto"/>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kNLM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5w5YenBzz9/nH/9Of/+zq6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uQ0s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4g6s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zt4m&#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4g6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B453D"/>
    <w:rsid w:val="001C32F0"/>
    <w:rsid w:val="001D61B1"/>
    <w:rsid w:val="001F5040"/>
    <w:rsid w:val="002006EB"/>
    <w:rsid w:val="00201ED2"/>
    <w:rsid w:val="00214AE1"/>
    <w:rsid w:val="00260D70"/>
    <w:rsid w:val="00281114"/>
    <w:rsid w:val="00282C7F"/>
    <w:rsid w:val="00287811"/>
    <w:rsid w:val="00292B4B"/>
    <w:rsid w:val="002A6352"/>
    <w:rsid w:val="002B3F94"/>
    <w:rsid w:val="002B5B7D"/>
    <w:rsid w:val="002C171D"/>
    <w:rsid w:val="002E6A86"/>
    <w:rsid w:val="002E7D35"/>
    <w:rsid w:val="00304D04"/>
    <w:rsid w:val="00305B88"/>
    <w:rsid w:val="00315FEB"/>
    <w:rsid w:val="0041489C"/>
    <w:rsid w:val="0042585F"/>
    <w:rsid w:val="00445CAC"/>
    <w:rsid w:val="00472E19"/>
    <w:rsid w:val="00487869"/>
    <w:rsid w:val="004902E1"/>
    <w:rsid w:val="004921FE"/>
    <w:rsid w:val="004D5275"/>
    <w:rsid w:val="004F63DB"/>
    <w:rsid w:val="00505190"/>
    <w:rsid w:val="00507364"/>
    <w:rsid w:val="005112AC"/>
    <w:rsid w:val="005222AF"/>
    <w:rsid w:val="00546F7C"/>
    <w:rsid w:val="00561966"/>
    <w:rsid w:val="00573E19"/>
    <w:rsid w:val="0058297F"/>
    <w:rsid w:val="00590A02"/>
    <w:rsid w:val="005A0C2F"/>
    <w:rsid w:val="005B1AE2"/>
    <w:rsid w:val="005C1872"/>
    <w:rsid w:val="005C58CC"/>
    <w:rsid w:val="005D1F9C"/>
    <w:rsid w:val="005D51AD"/>
    <w:rsid w:val="005E3397"/>
    <w:rsid w:val="00600BF6"/>
    <w:rsid w:val="00607D67"/>
    <w:rsid w:val="006228C4"/>
    <w:rsid w:val="0063639D"/>
    <w:rsid w:val="00636C37"/>
    <w:rsid w:val="006512DD"/>
    <w:rsid w:val="00656BEF"/>
    <w:rsid w:val="00656D75"/>
    <w:rsid w:val="00657E86"/>
    <w:rsid w:val="00673EF7"/>
    <w:rsid w:val="006841E9"/>
    <w:rsid w:val="0069449E"/>
    <w:rsid w:val="006C07F0"/>
    <w:rsid w:val="006C644A"/>
    <w:rsid w:val="006C7D84"/>
    <w:rsid w:val="0070723B"/>
    <w:rsid w:val="007148E8"/>
    <w:rsid w:val="00733DAA"/>
    <w:rsid w:val="00742BA0"/>
    <w:rsid w:val="00753545"/>
    <w:rsid w:val="00764156"/>
    <w:rsid w:val="007706D7"/>
    <w:rsid w:val="007879ED"/>
    <w:rsid w:val="007A48A3"/>
    <w:rsid w:val="007B3994"/>
    <w:rsid w:val="007C029F"/>
    <w:rsid w:val="007C7F49"/>
    <w:rsid w:val="007D2A21"/>
    <w:rsid w:val="007F6A82"/>
    <w:rsid w:val="0084158B"/>
    <w:rsid w:val="00843461"/>
    <w:rsid w:val="008651E7"/>
    <w:rsid w:val="00872946"/>
    <w:rsid w:val="0088023A"/>
    <w:rsid w:val="008858FB"/>
    <w:rsid w:val="00894B41"/>
    <w:rsid w:val="008B5427"/>
    <w:rsid w:val="008C7CD0"/>
    <w:rsid w:val="00903F6B"/>
    <w:rsid w:val="009173F9"/>
    <w:rsid w:val="009308CB"/>
    <w:rsid w:val="00950270"/>
    <w:rsid w:val="00962F58"/>
    <w:rsid w:val="00973488"/>
    <w:rsid w:val="00975A04"/>
    <w:rsid w:val="00987E71"/>
    <w:rsid w:val="009E7E13"/>
    <w:rsid w:val="009F0FBB"/>
    <w:rsid w:val="009F48B1"/>
    <w:rsid w:val="009F546E"/>
    <w:rsid w:val="00A079F0"/>
    <w:rsid w:val="00A42F43"/>
    <w:rsid w:val="00A50F7D"/>
    <w:rsid w:val="00A51982"/>
    <w:rsid w:val="00A57BF7"/>
    <w:rsid w:val="00A639B4"/>
    <w:rsid w:val="00A71DC1"/>
    <w:rsid w:val="00A83D8A"/>
    <w:rsid w:val="00A93E7D"/>
    <w:rsid w:val="00AA260E"/>
    <w:rsid w:val="00AA44CB"/>
    <w:rsid w:val="00AA67CD"/>
    <w:rsid w:val="00AB7E33"/>
    <w:rsid w:val="00AC1A3F"/>
    <w:rsid w:val="00AD6761"/>
    <w:rsid w:val="00AE2FEA"/>
    <w:rsid w:val="00AE487B"/>
    <w:rsid w:val="00AE600E"/>
    <w:rsid w:val="00AF0AF1"/>
    <w:rsid w:val="00AF6420"/>
    <w:rsid w:val="00B0083B"/>
    <w:rsid w:val="00B01B44"/>
    <w:rsid w:val="00B040BC"/>
    <w:rsid w:val="00B209B8"/>
    <w:rsid w:val="00B20BBC"/>
    <w:rsid w:val="00B249F3"/>
    <w:rsid w:val="00B274F9"/>
    <w:rsid w:val="00B649BE"/>
    <w:rsid w:val="00B653A5"/>
    <w:rsid w:val="00B710DD"/>
    <w:rsid w:val="00BD2D85"/>
    <w:rsid w:val="00BE5A85"/>
    <w:rsid w:val="00BF4E6A"/>
    <w:rsid w:val="00BF5718"/>
    <w:rsid w:val="00C13474"/>
    <w:rsid w:val="00C3106E"/>
    <w:rsid w:val="00C345EB"/>
    <w:rsid w:val="00C60609"/>
    <w:rsid w:val="00C91D37"/>
    <w:rsid w:val="00C95CC1"/>
    <w:rsid w:val="00CA3F44"/>
    <w:rsid w:val="00CB03ED"/>
    <w:rsid w:val="00CD756E"/>
    <w:rsid w:val="00CE212D"/>
    <w:rsid w:val="00CE4B38"/>
    <w:rsid w:val="00CF69EF"/>
    <w:rsid w:val="00D1321A"/>
    <w:rsid w:val="00D30ADF"/>
    <w:rsid w:val="00D33CF8"/>
    <w:rsid w:val="00D51D4A"/>
    <w:rsid w:val="00D6315E"/>
    <w:rsid w:val="00D652C2"/>
    <w:rsid w:val="00D74EE2"/>
    <w:rsid w:val="00D83E19"/>
    <w:rsid w:val="00D86CAD"/>
    <w:rsid w:val="00DA00C9"/>
    <w:rsid w:val="00DB200E"/>
    <w:rsid w:val="00DB65F5"/>
    <w:rsid w:val="00DC2550"/>
    <w:rsid w:val="00DE3A1D"/>
    <w:rsid w:val="00E01C3E"/>
    <w:rsid w:val="00E13099"/>
    <w:rsid w:val="00E4339F"/>
    <w:rsid w:val="00E60B05"/>
    <w:rsid w:val="00E629EA"/>
    <w:rsid w:val="00E6777C"/>
    <w:rsid w:val="00E85823"/>
    <w:rsid w:val="00E97AF4"/>
    <w:rsid w:val="00EA366D"/>
    <w:rsid w:val="00EA4718"/>
    <w:rsid w:val="00EB05A3"/>
    <w:rsid w:val="00ED38B7"/>
    <w:rsid w:val="00EE051D"/>
    <w:rsid w:val="00EE64B7"/>
    <w:rsid w:val="00F0131A"/>
    <w:rsid w:val="00F14C17"/>
    <w:rsid w:val="00F17041"/>
    <w:rsid w:val="00F218CF"/>
    <w:rsid w:val="00F33E5E"/>
    <w:rsid w:val="00F44937"/>
    <w:rsid w:val="00F61A47"/>
    <w:rsid w:val="00F84422"/>
    <w:rsid w:val="00F95455"/>
    <w:rsid w:val="00FA574D"/>
    <w:rsid w:val="00FC2588"/>
    <w:rsid w:val="00FE7AD9"/>
    <w:rsid w:val="01322275"/>
    <w:rsid w:val="01DC6F05"/>
    <w:rsid w:val="0292541B"/>
    <w:rsid w:val="02A3489A"/>
    <w:rsid w:val="02CA138D"/>
    <w:rsid w:val="033646FC"/>
    <w:rsid w:val="03C75F80"/>
    <w:rsid w:val="0478364D"/>
    <w:rsid w:val="053D4C0D"/>
    <w:rsid w:val="0557532E"/>
    <w:rsid w:val="0799329C"/>
    <w:rsid w:val="08397436"/>
    <w:rsid w:val="086F16A7"/>
    <w:rsid w:val="0A0F7225"/>
    <w:rsid w:val="0A2B7D82"/>
    <w:rsid w:val="0ADC40E9"/>
    <w:rsid w:val="0AE607F4"/>
    <w:rsid w:val="0B2D3993"/>
    <w:rsid w:val="0B386127"/>
    <w:rsid w:val="0B451598"/>
    <w:rsid w:val="0BEC73F4"/>
    <w:rsid w:val="0C392698"/>
    <w:rsid w:val="10BD36F6"/>
    <w:rsid w:val="11185D12"/>
    <w:rsid w:val="11A6321C"/>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B020AF"/>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BCE0E00"/>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7256FF4"/>
    <w:rsid w:val="395D59E7"/>
    <w:rsid w:val="39A93932"/>
    <w:rsid w:val="3A915562"/>
    <w:rsid w:val="3B8D4765"/>
    <w:rsid w:val="3C000DBA"/>
    <w:rsid w:val="3DC045D3"/>
    <w:rsid w:val="3E504FFB"/>
    <w:rsid w:val="3E615CD0"/>
    <w:rsid w:val="3E9C47F6"/>
    <w:rsid w:val="3F8B0112"/>
    <w:rsid w:val="3FAB3095"/>
    <w:rsid w:val="3FE45947"/>
    <w:rsid w:val="3FEFBE81"/>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1E47539"/>
    <w:rsid w:val="53906AE1"/>
    <w:rsid w:val="54F46F60"/>
    <w:rsid w:val="55A37BEA"/>
    <w:rsid w:val="55FAC8D8"/>
    <w:rsid w:val="56362CD2"/>
    <w:rsid w:val="5784687B"/>
    <w:rsid w:val="57846959"/>
    <w:rsid w:val="578E6A87"/>
    <w:rsid w:val="57FB5ACD"/>
    <w:rsid w:val="5A392331"/>
    <w:rsid w:val="5AC2203A"/>
    <w:rsid w:val="5CBB3334"/>
    <w:rsid w:val="5D115FAF"/>
    <w:rsid w:val="61045E8B"/>
    <w:rsid w:val="62811722"/>
    <w:rsid w:val="62E75A72"/>
    <w:rsid w:val="637D26B6"/>
    <w:rsid w:val="64571880"/>
    <w:rsid w:val="649125B6"/>
    <w:rsid w:val="64DA14CA"/>
    <w:rsid w:val="652F4C1A"/>
    <w:rsid w:val="666D37F1"/>
    <w:rsid w:val="67087D8F"/>
    <w:rsid w:val="671F687E"/>
    <w:rsid w:val="67BB6F55"/>
    <w:rsid w:val="67F415F8"/>
    <w:rsid w:val="682640D1"/>
    <w:rsid w:val="684B73E5"/>
    <w:rsid w:val="6A047A2A"/>
    <w:rsid w:val="6A7757B5"/>
    <w:rsid w:val="6EFB7548"/>
    <w:rsid w:val="6F3831C3"/>
    <w:rsid w:val="6F697ECC"/>
    <w:rsid w:val="6F8B71C1"/>
    <w:rsid w:val="6FF6F0B1"/>
    <w:rsid w:val="70753482"/>
    <w:rsid w:val="707B522A"/>
    <w:rsid w:val="717FCF0A"/>
    <w:rsid w:val="73194D05"/>
    <w:rsid w:val="73A83B0E"/>
    <w:rsid w:val="744D3EF9"/>
    <w:rsid w:val="74794411"/>
    <w:rsid w:val="75867C40"/>
    <w:rsid w:val="75B10B26"/>
    <w:rsid w:val="76432199"/>
    <w:rsid w:val="76F44829"/>
    <w:rsid w:val="77A267C0"/>
    <w:rsid w:val="78882278"/>
    <w:rsid w:val="78B118A6"/>
    <w:rsid w:val="79135044"/>
    <w:rsid w:val="797E1689"/>
    <w:rsid w:val="7A7D0F99"/>
    <w:rsid w:val="7BDF4D1C"/>
    <w:rsid w:val="7C7D5D19"/>
    <w:rsid w:val="7D7E6D6A"/>
    <w:rsid w:val="7DFEF254"/>
    <w:rsid w:val="7E071341"/>
    <w:rsid w:val="7E4A0E7C"/>
    <w:rsid w:val="7EFD449D"/>
    <w:rsid w:val="7EFDF2ED"/>
    <w:rsid w:val="7F3F4A70"/>
    <w:rsid w:val="7F48EE89"/>
    <w:rsid w:val="7FF68D04"/>
    <w:rsid w:val="7FFF92FD"/>
    <w:rsid w:val="8F760D9B"/>
    <w:rsid w:val="BB7B2742"/>
    <w:rsid w:val="BFC7432E"/>
    <w:rsid w:val="CDF9E5B0"/>
    <w:rsid w:val="D7EF0564"/>
    <w:rsid w:val="D7FB2388"/>
    <w:rsid w:val="D7FF1A8A"/>
    <w:rsid w:val="DEF7C484"/>
    <w:rsid w:val="DFFF1CF6"/>
    <w:rsid w:val="E7BBAFCC"/>
    <w:rsid w:val="E7BED38A"/>
    <w:rsid w:val="EFBF6D3B"/>
    <w:rsid w:val="F15F4BAB"/>
    <w:rsid w:val="F9FBC184"/>
    <w:rsid w:val="FEAE8786"/>
    <w:rsid w:val="FEEF96DF"/>
    <w:rsid w:val="FFBFAED4"/>
    <w:rsid w:val="FFEC3E70"/>
    <w:rsid w:val="FFEF3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7559</Words>
  <Characters>9005</Characters>
  <Lines>81</Lines>
  <Paragraphs>23</Paragraphs>
  <TotalTime>69</TotalTime>
  <ScaleCrop>false</ScaleCrop>
  <LinksUpToDate>false</LinksUpToDate>
  <CharactersWithSpaces>9737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2023-02-16T08:56:00Z</dcterms:created>
  <dc:creator>管理者</dc:creator>
  <cp:lastModifiedBy>悟の</cp:lastModifiedBy>
  <cp:lastPrinted>2022-09-11T01:54:00Z</cp:lastPrinted>
  <dcterms:modified xsi:type="dcterms:W3CDTF">2023-09-17T11:06:34Z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A827F6F6F07F4BEEA7E2FFF583545004_13</vt:lpwstr>
  </property>
</Properties>
</file>