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许昌市房产交易租赁管理处</w:t>
      </w:r>
      <w:r>
        <w:rPr>
          <w:rFonts w:hint="default"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ind w:firstLine="640" w:firstLineChars="200"/>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ind w:firstLine="720" w:firstLineChars="200"/>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许昌市房产交易租赁管理处</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ind w:firstLine="640" w:firstLineChars="20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ind w:firstLine="640" w:firstLineChars="20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第一部分</w:t>
      </w:r>
    </w:p>
    <w:p>
      <w:pPr>
        <w:widowControl/>
        <w:jc w:val="center"/>
        <w:outlineLvl w:val="0"/>
        <w:rPr>
          <w:rFonts w:hint="eastAsia" w:ascii="黑体" w:hAnsi="宋体" w:eastAsia="黑体" w:cs="宋体"/>
          <w:color w:val="auto"/>
          <w:kern w:val="0"/>
          <w:sz w:val="48"/>
          <w:szCs w:val="48"/>
          <w:highlight w:val="none"/>
        </w:rPr>
      </w:pPr>
      <w:r>
        <w:rPr>
          <w:rFonts w:hint="eastAsia" w:ascii="黑体" w:hAnsi="黑体" w:eastAsia="黑体" w:cs="黑体"/>
          <w:color w:val="auto"/>
          <w:sz w:val="48"/>
          <w:szCs w:val="48"/>
          <w:highlight w:val="none"/>
          <w:lang w:val="en-US" w:eastAsia="zh-CN"/>
        </w:rPr>
        <w:t>许昌市房产交易租赁</w:t>
      </w:r>
      <w:r>
        <w:rPr>
          <w:rFonts w:hint="default" w:ascii="黑体" w:hAnsi="黑体" w:eastAsia="黑体" w:cs="黑体"/>
          <w:color w:val="auto"/>
          <w:sz w:val="48"/>
          <w:szCs w:val="48"/>
          <w:highlight w:val="none"/>
          <w:lang w:eastAsia="zh-CN"/>
        </w:rPr>
        <w:t>管</w:t>
      </w:r>
      <w:r>
        <w:rPr>
          <w:rFonts w:hint="eastAsia" w:ascii="黑体" w:hAnsi="黑体" w:eastAsia="黑体" w:cs="黑体"/>
          <w:color w:val="auto"/>
          <w:sz w:val="48"/>
          <w:szCs w:val="48"/>
          <w:highlight w:val="none"/>
          <w:lang w:val="en-US" w:eastAsia="zh-CN"/>
        </w:rPr>
        <w:t>理处</w:t>
      </w:r>
      <w:r>
        <w:rPr>
          <w:rFonts w:hint="eastAsia" w:ascii="黑体" w:hAnsi="黑体" w:eastAsia="黑体" w:cs="黑体"/>
          <w:color w:val="auto"/>
          <w:sz w:val="48"/>
          <w:szCs w:val="48"/>
          <w:highlight w:val="none"/>
        </w:rPr>
        <w:t>概况</w:t>
      </w:r>
    </w:p>
    <w:p>
      <w:pPr>
        <w:widowControl/>
        <w:ind w:firstLine="960" w:firstLineChars="200"/>
        <w:jc w:val="left"/>
        <w:outlineLvl w:val="1"/>
        <w:rPr>
          <w:rFonts w:ascii="黑体" w:hAnsi="黑体" w:eastAsia="黑体" w:cs="黑体"/>
          <w:color w:val="auto"/>
          <w:kern w:val="0"/>
          <w:sz w:val="48"/>
          <w:szCs w:val="48"/>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根据许昌市机构编制委员会（许编[2005]38号）文件规定，许昌市房产交易租赁管理处为许昌市住房和城乡建设局下属单位，单位性质自收自支，主要负责贯彻房地产相关政策的法律法规，我单位主要职责为：</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1.负责贯彻执行国家房地产法律、法规和政策，制定房产交易管理的具体制度和办法并对房产交易市场进行指导、监督、管理和服务；</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2.负责市区房屋交易过户管理工作；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3.负责市区城市商品房预售管理及资金监管工作；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4.负责市区预售商品房合同备案管理工作；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5.负责市区房屋租赁登记备案工作以及房屋租赁登记档案管理和数据汇总上报等工作；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6.负责全市个人住房信息系统的运行以及数据发布和数据上报工作；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黑体" w:hAnsi="黑体" w:eastAsia="黑体" w:cs="黑体"/>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 xml:space="preserve"> 7.负责市区房地产中介机构备案及监督管理。</w:t>
      </w:r>
    </w:p>
    <w:p>
      <w:pPr>
        <w:widowControl/>
        <w:numPr>
          <w:ilvl w:val="0"/>
          <w:numId w:val="0"/>
        </w:numPr>
        <w:ind w:left="0" w:leftChars="0"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二、</w:t>
      </w:r>
      <w:r>
        <w:rPr>
          <w:rFonts w:hint="eastAsia" w:ascii="黑体" w:hAnsi="黑体" w:eastAsia="黑体" w:cs="黑体"/>
          <w:color w:val="auto"/>
          <w:kern w:val="0"/>
          <w:sz w:val="32"/>
          <w:szCs w:val="32"/>
          <w:highlight w:val="none"/>
        </w:rPr>
        <w:t>机构设置</w:t>
      </w:r>
    </w:p>
    <w:p>
      <w:pPr>
        <w:widowControl/>
        <w:numPr>
          <w:ilvl w:val="0"/>
          <w:numId w:val="0"/>
        </w:numPr>
        <w:ind w:left="0" w:leftChars="0" w:firstLine="640" w:firstLineChars="200"/>
        <w:jc w:val="left"/>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许昌市房产交易租赁管理处内设机构9个，包括：办公室、交易科、租赁办、预售科、法制科、信息科、财务科、稽核科、中介管理科。</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许昌市房产交易租赁管理处单位</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default" w:ascii="黑体" w:hAnsi="宋体" w:eastAsia="黑体" w:cs="宋体"/>
          <w:color w:val="auto"/>
          <w:kern w:val="0"/>
          <w:sz w:val="28"/>
          <w:szCs w:val="28"/>
          <w:highlight w:val="none"/>
          <w:lang w:val="en-US" w:eastAsia="zh-CN"/>
        </w:rPr>
        <w:sectPr>
          <w:footerReference r:id="rId3" w:type="default"/>
          <w:footerReference r:id="rId4" w:type="even"/>
          <w:pgSz w:w="11906" w:h="16838"/>
          <w:pgMar w:top="1440" w:right="1800" w:bottom="1440" w:left="1800" w:header="720" w:footer="720" w:gutter="0"/>
          <w:pgNumType w:fmt="numberInDash" w:start="2"/>
          <w:cols w:space="720" w:num="1"/>
          <w:docGrid w:type="lines" w:linePitch="312" w:charSpace="0"/>
        </w:sectPr>
      </w:pPr>
      <w:r>
        <w:rPr>
          <w:rFonts w:hint="eastAsia" w:ascii="仿宋_GB2312" w:hAnsi="仿宋_GB2312" w:eastAsia="仿宋_GB2312" w:cs="仿宋_GB2312"/>
          <w:color w:val="auto"/>
          <w:kern w:val="0"/>
          <w:sz w:val="32"/>
          <w:szCs w:val="32"/>
          <w:highlight w:val="none"/>
          <w:lang w:val="en-US" w:eastAsia="zh-CN"/>
        </w:rPr>
        <w:t>1.许昌市房产交易租赁管理处</w:t>
      </w:r>
    </w:p>
    <w:p>
      <w:pPr>
        <w:widowControl/>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5" w:type="default"/>
          <w:footerReference r:id="rId6" w:type="even"/>
          <w:pgSz w:w="11906" w:h="16838"/>
          <w:pgMar w:top="1440" w:right="1800" w:bottom="1440" w:left="1800" w:header="720" w:footer="720" w:gutter="0"/>
          <w:pgNumType w:fmt="numberInDash"/>
          <w:cols w:space="720" w:num="1"/>
          <w:docGrid w:type="lines" w:linePitch="312" w:charSpace="0"/>
        </w:sectPr>
      </w:pPr>
    </w:p>
    <w:tbl>
      <w:tblPr>
        <w:tblStyle w:val="5"/>
        <w:tblW w:w="4920" w:type="pct"/>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2"/>
        <w:gridCol w:w="817"/>
        <w:gridCol w:w="1386"/>
        <w:gridCol w:w="4413"/>
        <w:gridCol w:w="831"/>
        <w:gridCol w:w="1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5000" w:type="pct"/>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02" w:type="pct"/>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：许昌市房产交易租赁管理处</w:t>
            </w:r>
          </w:p>
        </w:tc>
        <w:tc>
          <w:tcPr>
            <w:tcW w:w="697"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2"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2577" w:type="pct"/>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49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6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9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9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6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9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867.13</w:t>
            </w: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6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6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6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6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6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6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6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6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6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6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6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49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6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9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867.13</w:t>
            </w: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6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495"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49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306.79</w:t>
            </w: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6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95"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8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69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293"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49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1,173.92</w:t>
            </w:r>
          </w:p>
        </w:tc>
        <w:tc>
          <w:tcPr>
            <w:tcW w:w="15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6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4920" w:type="pct"/>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5"/>
        <w:gridCol w:w="3911"/>
        <w:gridCol w:w="1043"/>
        <w:gridCol w:w="1541"/>
        <w:gridCol w:w="930"/>
        <w:gridCol w:w="1705"/>
        <w:gridCol w:w="860"/>
        <w:gridCol w:w="1212"/>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4429" w:type="pct"/>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：许昌市房产交易租赁管理处</w:t>
            </w:r>
          </w:p>
        </w:tc>
        <w:tc>
          <w:tcPr>
            <w:tcW w:w="57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6"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37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55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33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61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30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57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40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37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3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1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3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01"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7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3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1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3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4"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01"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7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3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1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3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6"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37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5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3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1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0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3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7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6"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867.13</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867.13</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工会事务</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144.04</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144.04</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144.04</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144.04</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事业单位离退休</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50.24</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50.24</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机关事业单位基本养老保险缴费支出</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62.29</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62.29</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2080506</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机关事业单位职业年金缴费支出</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31.51</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31.51</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27.07</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27.07</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27.07</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27.07</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事业单位医疗</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27.07</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27.07</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资源勘探工业信息等支出</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690.28</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690.28</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21503</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建筑业</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690.28</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690.28</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2150399</w:t>
            </w:r>
          </w:p>
        </w:tc>
        <w:tc>
          <w:tcPr>
            <w:tcW w:w="1401" w:type="pct"/>
            <w:tcBorders>
              <w:top w:val="nil"/>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其他建筑业支出</w:t>
            </w: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690.28</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690.28</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293" w:right="1440" w:bottom="1293" w:left="1440" w:header="720" w:footer="720" w:gutter="0"/>
          <w:pgNumType w:fmt="numberInDash"/>
          <w:cols w:space="720" w:num="1"/>
          <w:rtlGutter w:val="0"/>
          <w:docGrid w:type="lines" w:linePitch="312" w:charSpace="0"/>
        </w:sectPr>
      </w:pPr>
    </w:p>
    <w:tbl>
      <w:tblPr>
        <w:tblStyle w:val="5"/>
        <w:tblW w:w="4931" w:type="pct"/>
        <w:tblInd w:w="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0"/>
        <w:gridCol w:w="3802"/>
        <w:gridCol w:w="1580"/>
        <w:gridCol w:w="1186"/>
        <w:gridCol w:w="1155"/>
        <w:gridCol w:w="960"/>
        <w:gridCol w:w="1172"/>
        <w:gridCol w:w="2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000"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233" w:type="pct"/>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：许昌市房产交易租赁管理处</w:t>
            </w:r>
          </w:p>
        </w:tc>
        <w:tc>
          <w:tcPr>
            <w:tcW w:w="766"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68"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65"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42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41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34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419"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76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对附属单位</w:t>
            </w:r>
          </w:p>
          <w:p>
            <w:pPr>
              <w:keepNext w:val="0"/>
              <w:keepLines w:val="0"/>
              <w:widowControl/>
              <w:suppressLineNumbers w:val="0"/>
              <w:ind w:firstLine="440" w:firstLineChars="20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359"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ind w:firstLine="660" w:firstLineChars="30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56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6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59"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6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6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59"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6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6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68"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6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4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1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6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68"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1,167.12</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1,143.92</w:t>
            </w:r>
          </w:p>
        </w:tc>
        <w:tc>
          <w:tcPr>
            <w:tcW w:w="41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23.21</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13.30</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13.30</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工会事务</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20199</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其他一般公共服务支出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7.55</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7.55</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2019999</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其他一般公共服务支出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7.55</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7.55</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156.78</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156.78</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156.78</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156.78</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事业单位离退休</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56.55</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56.55</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机关事业单位基本养老保险缴费支出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68.72</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68.72</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2080506</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机关事业单位职业年金缴费支出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31.51</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31.51</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32.60</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32.60</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32.60</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32.60</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事业单位医疗</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32.60</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32.60</w:t>
            </w:r>
          </w:p>
        </w:tc>
        <w:tc>
          <w:tcPr>
            <w:tcW w:w="41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资源勘探工业信息等支出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964.45</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941.25</w:t>
            </w:r>
          </w:p>
        </w:tc>
        <w:tc>
          <w:tcPr>
            <w:tcW w:w="41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23.21</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21503</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建筑业</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964.45</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941.25</w:t>
            </w:r>
          </w:p>
        </w:tc>
        <w:tc>
          <w:tcPr>
            <w:tcW w:w="41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23.21</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2150399</w:t>
            </w:r>
          </w:p>
        </w:tc>
        <w:tc>
          <w:tcPr>
            <w:tcW w:w="13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其他建筑业支出</w:t>
            </w:r>
          </w:p>
        </w:tc>
        <w:tc>
          <w:tcPr>
            <w:tcW w:w="5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964.45</w:t>
            </w:r>
          </w:p>
        </w:tc>
        <w:tc>
          <w:tcPr>
            <w:tcW w:w="4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941.25</w:t>
            </w:r>
          </w:p>
        </w:tc>
        <w:tc>
          <w:tcPr>
            <w:tcW w:w="41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23.21</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463" w:right="1440" w:bottom="1463" w:left="1440" w:header="720" w:footer="720" w:gutter="0"/>
          <w:pgNumType w:fmt="numberInDash"/>
          <w:cols w:space="720" w:num="1"/>
          <w:rtlGutter w:val="0"/>
          <w:docGrid w:type="lines" w:linePitch="312" w:charSpace="0"/>
        </w:sectPr>
      </w:pPr>
    </w:p>
    <w:tbl>
      <w:tblPr>
        <w:tblStyle w:val="5"/>
        <w:tblW w:w="4915" w:type="pct"/>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57"/>
        <w:gridCol w:w="600"/>
        <w:gridCol w:w="1215"/>
        <w:gridCol w:w="3525"/>
        <w:gridCol w:w="555"/>
        <w:gridCol w:w="1169"/>
        <w:gridCol w:w="1081"/>
        <w:gridCol w:w="1087"/>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45" w:type="pct"/>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：许昌市房产交易租赁管理处</w:t>
            </w:r>
          </w:p>
        </w:tc>
        <w:tc>
          <w:tcPr>
            <w:tcW w:w="554"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84"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3215"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132"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21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43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126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9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419"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38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一般公共预</w:t>
            </w:r>
          </w:p>
          <w:p>
            <w:pPr>
              <w:keepNext w:val="0"/>
              <w:keepLines w:val="0"/>
              <w:widowControl/>
              <w:suppressLineNumbers w:val="0"/>
              <w:ind w:firstLine="440" w:firstLineChars="20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算财政拨款</w:t>
            </w:r>
          </w:p>
        </w:tc>
        <w:tc>
          <w:tcPr>
            <w:tcW w:w="39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55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3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1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3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6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9"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5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15"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9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8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5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867.13</w:t>
            </w: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4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13.30</w:t>
            </w:r>
          </w:p>
        </w:tc>
        <w:tc>
          <w:tcPr>
            <w:tcW w:w="38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13.30</w:t>
            </w: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156.78</w:t>
            </w:r>
          </w:p>
        </w:tc>
        <w:tc>
          <w:tcPr>
            <w:tcW w:w="38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156.78</w:t>
            </w: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4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32.60</w:t>
            </w:r>
          </w:p>
        </w:tc>
        <w:tc>
          <w:tcPr>
            <w:tcW w:w="38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32.60</w:t>
            </w: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4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964.45</w:t>
            </w:r>
          </w:p>
        </w:tc>
        <w:tc>
          <w:tcPr>
            <w:tcW w:w="38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964.45</w:t>
            </w: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4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ind w:firstLine="442" w:firstLineChars="20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867.13</w:t>
            </w: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4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1,167.12</w:t>
            </w:r>
          </w:p>
        </w:tc>
        <w:tc>
          <w:tcPr>
            <w:tcW w:w="38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1,167.12</w:t>
            </w: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306.79</w:t>
            </w: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6.80</w:t>
            </w:r>
          </w:p>
        </w:tc>
        <w:tc>
          <w:tcPr>
            <w:tcW w:w="38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6.80</w:t>
            </w: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306.79</w:t>
            </w:r>
          </w:p>
        </w:tc>
        <w:tc>
          <w:tcPr>
            <w:tcW w:w="126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35"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2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435"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6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41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215"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1,173.92</w:t>
            </w:r>
          </w:p>
        </w:tc>
        <w:tc>
          <w:tcPr>
            <w:tcW w:w="126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1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4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1,173.92</w:t>
            </w:r>
          </w:p>
        </w:tc>
        <w:tc>
          <w:tcPr>
            <w:tcW w:w="38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1,173.92</w:t>
            </w:r>
          </w:p>
        </w:tc>
        <w:tc>
          <w:tcPr>
            <w:tcW w:w="3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4930" w:type="pct"/>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8"/>
        <w:gridCol w:w="4277"/>
        <w:gridCol w:w="3159"/>
        <w:gridCol w:w="2686"/>
        <w:gridCol w:w="2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000" w:type="pct"/>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89" w:type="pct"/>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：许昌市房产交易租赁管理处</w:t>
            </w:r>
          </w:p>
        </w:tc>
        <w:tc>
          <w:tcPr>
            <w:tcW w:w="101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898"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3101"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530"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13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96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01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68"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0"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3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6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1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0"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3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6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1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98"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1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98"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1,167.12</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1,143.92</w:t>
            </w:r>
          </w:p>
        </w:tc>
        <w:tc>
          <w:tcPr>
            <w:tcW w:w="101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13.30</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13.30</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工会事务</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20199</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其他一般公共服务支出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7.55</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7.55</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2019999</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其他一般公共服务支出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7.55</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7.55</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156.78</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156.78</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156.78</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156.78</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事业单位离退休</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56.55</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56.55</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机关事业单位基本养老保险缴费支出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68.72</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68.72</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2080506</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机关事业单位职业年金缴费支出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31.51</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31.51</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32.60</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32.60</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32.60</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32.60</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事业单位医疗</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32.60</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32.60</w:t>
            </w:r>
          </w:p>
        </w:tc>
        <w:tc>
          <w:tcPr>
            <w:tcW w:w="101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资源勘探工业信息等支出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964.45</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941.25</w:t>
            </w:r>
          </w:p>
        </w:tc>
        <w:tc>
          <w:tcPr>
            <w:tcW w:w="101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21503</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建筑业</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964.45</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941.25</w:t>
            </w:r>
          </w:p>
        </w:tc>
        <w:tc>
          <w:tcPr>
            <w:tcW w:w="101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2150399</w:t>
            </w:r>
          </w:p>
        </w:tc>
        <w:tc>
          <w:tcPr>
            <w:tcW w:w="15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其他建筑业支出</w:t>
            </w:r>
          </w:p>
        </w:tc>
        <w:tc>
          <w:tcPr>
            <w:tcW w:w="11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964.45</w:t>
            </w:r>
          </w:p>
        </w:tc>
        <w:tc>
          <w:tcPr>
            <w:tcW w:w="96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941.25</w:t>
            </w:r>
          </w:p>
        </w:tc>
        <w:tc>
          <w:tcPr>
            <w:tcW w:w="101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406" w:right="1440" w:bottom="1803" w:left="1440" w:header="720" w:footer="720" w:gutter="0"/>
          <w:pgNumType w:fmt="numberInDash"/>
          <w:cols w:space="720" w:num="1"/>
          <w:rtlGutter w:val="0"/>
          <w:docGrid w:type="lines" w:linePitch="312" w:charSpace="0"/>
        </w:sectPr>
      </w:pPr>
    </w:p>
    <w:tbl>
      <w:tblPr>
        <w:tblStyle w:val="5"/>
        <w:tblW w:w="13995" w:type="dxa"/>
        <w:tblInd w:w="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9"/>
        <w:gridCol w:w="2776"/>
        <w:gridCol w:w="1102"/>
        <w:gridCol w:w="818"/>
        <w:gridCol w:w="2250"/>
        <w:gridCol w:w="899"/>
        <w:gridCol w:w="766"/>
        <w:gridCol w:w="2745"/>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399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w:t>
            </w:r>
            <w:r>
              <w:rPr>
                <w:rFonts w:hint="eastAsia" w:ascii="宋体" w:hAnsi="宋体" w:cs="宋体"/>
                <w:i w:val="0"/>
                <w:iCs w:val="0"/>
                <w:color w:val="auto"/>
                <w:kern w:val="0"/>
                <w:sz w:val="30"/>
                <w:szCs w:val="30"/>
                <w:highlight w:val="none"/>
                <w:u w:val="none"/>
                <w:lang w:val="en-US" w:eastAsia="zh-CN" w:bidi="ar"/>
              </w:rPr>
              <w:t>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95"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165" w:type="dxa"/>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：许昌市房产交易租赁管理处</w:t>
            </w:r>
          </w:p>
        </w:tc>
        <w:tc>
          <w:tcPr>
            <w:tcW w:w="183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9308"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7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10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8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89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7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8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7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7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993.98</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91.68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基本工资</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292.11</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办公费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津贴补贴</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280.87</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印刷费</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奖金</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51.07</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咨询费</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伙食补助费</w:t>
            </w:r>
          </w:p>
        </w:tc>
        <w:tc>
          <w:tcPr>
            <w:tcW w:w="11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手续费</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绩效工资</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149.05</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机关事业单位基本</w:t>
            </w:r>
          </w:p>
          <w:p>
            <w:pPr>
              <w:keepNext w:val="0"/>
              <w:keepLines w:val="0"/>
              <w:widowControl/>
              <w:suppressLineNumbers w:val="0"/>
              <w:ind w:firstLine="440" w:firstLineChars="20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养老保险缴费</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68.72</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职业年金缴费</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47.80</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邮电费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职工基本医疗保险缴费</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34.12</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取暖费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公务员医疗补助缴费</w:t>
            </w:r>
          </w:p>
        </w:tc>
        <w:tc>
          <w:tcPr>
            <w:tcW w:w="11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物业管理费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信息网络及软件购置更新</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其他社会保障缴费</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差旅费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住房公积金</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64.15</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因公出国（境）费用</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医疗费</w:t>
            </w:r>
          </w:p>
        </w:tc>
        <w:tc>
          <w:tcPr>
            <w:tcW w:w="11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维修（护）费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其他工资福利支出</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租赁费</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58.26</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会议费</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离休费</w:t>
            </w:r>
          </w:p>
        </w:tc>
        <w:tc>
          <w:tcPr>
            <w:tcW w:w="11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培训费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退休费</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56.55</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89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其他交通工具购置</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退职（役）费</w:t>
            </w: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专用材料费</w:t>
            </w:r>
          </w:p>
        </w:tc>
        <w:tc>
          <w:tcPr>
            <w:tcW w:w="89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文物和陈列品购置</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抚恤金</w:t>
            </w: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被装购置费</w:t>
            </w:r>
          </w:p>
        </w:tc>
        <w:tc>
          <w:tcPr>
            <w:tcW w:w="89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无形资产购置</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生活补助</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专用燃料费</w:t>
            </w:r>
          </w:p>
        </w:tc>
        <w:tc>
          <w:tcPr>
            <w:tcW w:w="89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其他资本性支出</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救济费</w:t>
            </w: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劳务费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30.66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医疗费补助</w:t>
            </w: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委托业务费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赠与</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助学金</w:t>
            </w: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工会经费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国家赔偿费用支出</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奖励金</w:t>
            </w: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福利费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对民间非营利组织和群众性自治组织补贴</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个人农业生产补贴</w:t>
            </w: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公务用车运行维护费</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代缴社会保险费</w:t>
            </w: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其他交通费用</w:t>
            </w:r>
          </w:p>
        </w:tc>
        <w:tc>
          <w:tcPr>
            <w:tcW w:w="89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4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27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其他对个人和家庭的补助</w:t>
            </w: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税金及附加费用</w:t>
            </w:r>
          </w:p>
        </w:tc>
        <w:tc>
          <w:tcPr>
            <w:tcW w:w="89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4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7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10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其他商品和服务支出</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3.27</w:t>
            </w: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4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11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1,052.24</w:t>
            </w:r>
          </w:p>
        </w:tc>
        <w:tc>
          <w:tcPr>
            <w:tcW w:w="7478"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5"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4920" w:type="pct"/>
        <w:tblInd w:w="1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6"/>
        <w:gridCol w:w="1046"/>
        <w:gridCol w:w="1338"/>
        <w:gridCol w:w="1099"/>
        <w:gridCol w:w="1347"/>
        <w:gridCol w:w="1096"/>
        <w:gridCol w:w="969"/>
        <w:gridCol w:w="1016"/>
        <w:gridCol w:w="1338"/>
        <w:gridCol w:w="964"/>
        <w:gridCol w:w="1068"/>
        <w:gridCol w:w="1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000" w:type="pct"/>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1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43" w:type="pct"/>
            <w:gridSpan w:val="11"/>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：许昌市房产交易租赁管理处</w:t>
            </w:r>
          </w:p>
        </w:tc>
        <w:tc>
          <w:tcPr>
            <w:tcW w:w="556"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9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2501"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38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1374"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39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35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36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1223"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55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39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48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39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6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35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38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55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8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8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9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8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9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35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36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8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35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38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55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3.29</w:t>
            </w:r>
          </w:p>
        </w:tc>
        <w:tc>
          <w:tcPr>
            <w:tcW w:w="38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8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39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8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39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3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36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8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35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8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55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7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5"/>
        <w:gridCol w:w="1272"/>
        <w:gridCol w:w="1163"/>
        <w:gridCol w:w="1618"/>
        <w:gridCol w:w="1367"/>
        <w:gridCol w:w="1294"/>
        <w:gridCol w:w="2276"/>
        <w:gridCol w:w="3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397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70" w:type="dxa"/>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205"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：许昌市房产交易租赁管理处</w:t>
            </w:r>
          </w:p>
        </w:tc>
        <w:tc>
          <w:tcPr>
            <w:tcW w:w="376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16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61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4937"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37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272"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1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6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29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2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37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2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7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2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7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7"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16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2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7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7"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6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3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22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37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27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2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27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2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27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2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27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2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70"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i w:val="0"/>
          <w:iCs w:val="0"/>
          <w:color w:val="auto"/>
          <w:kern w:val="0"/>
          <w:sz w:val="32"/>
          <w:szCs w:val="32"/>
          <w:highlight w:val="none"/>
          <w:u w:val="none"/>
          <w:lang w:val="en-US" w:eastAsia="zh-CN" w:bidi="ar"/>
        </w:rPr>
        <w:t>说明：我单位没有政府性基金收入，也没有使用政府性基金安排的支出，故本表无数据。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both"/>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黑体" w:hAnsi="黑体" w:eastAsia="黑体" w:cs="黑体"/>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1173.92</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491.03</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29.49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1、在职人员转退休，人员经费减少；2、严控经费支出，2021年我单位未安排项目支出。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867.13</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867.13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1167.12</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1143.92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98.01</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23.21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1.99</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1173.92</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480.48</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29.04</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1、在职人员转退休，人员经费减少；2、严控经费支出，2021年我单位未安排项目支出。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1167.12</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%。与上年度相比，一般公共预算财政拨款支出减少</w:t>
      </w:r>
      <w:r>
        <w:rPr>
          <w:rFonts w:hint="eastAsia" w:ascii="仿宋_GB2312" w:hAnsi="仿宋_GB2312" w:eastAsia="仿宋_GB2312" w:cs="仿宋_GB2312"/>
          <w:color w:val="auto"/>
          <w:sz w:val="32"/>
          <w:szCs w:val="32"/>
          <w:highlight w:val="none"/>
          <w:lang w:val="en-US" w:eastAsia="zh-CN"/>
        </w:rPr>
        <w:t>186.36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13.77</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严控经费支出，2021年我单位未安排项目支出。</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1167.12</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13.30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1.14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156.78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13.43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卫生健康</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32.60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2.79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资源勘探工业信息等</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964.45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82.64</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1103.96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1167.12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105.72</w:t>
      </w:r>
      <w:r>
        <w:rPr>
          <w:rFonts w:hint="eastAsia" w:ascii="仿宋_GB2312" w:hAnsi="仿宋_GB2312" w:eastAsia="仿宋_GB2312" w:cs="仿宋_GB2312"/>
          <w:color w:val="auto"/>
          <w:sz w:val="32"/>
          <w:szCs w:val="32"/>
          <w:highlight w:val="none"/>
        </w:rPr>
        <w:t>%。其中：</w:t>
      </w:r>
    </w:p>
    <w:p>
      <w:pPr>
        <w:widowControl/>
        <w:numPr>
          <w:ilvl w:val="0"/>
          <w:numId w:val="2"/>
        </w:numPr>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一般公共服务支出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群众团体事务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工会事务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5.75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5.75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p>
    <w:p>
      <w:pPr>
        <w:widowControl/>
        <w:numPr>
          <w:ilvl w:val="0"/>
          <w:numId w:val="2"/>
        </w:numPr>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一般公共服务支出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其他一般公共服务支出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其他一般公共服务支出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7.55</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w:t>
      </w:r>
      <w:r>
        <w:rPr>
          <w:rFonts w:hint="eastAsia" w:ascii="仿宋_GB2312" w:hAnsi="仿宋_GB2312" w:eastAsia="仿宋_GB2312" w:cs="仿宋_GB2312"/>
          <w:color w:val="auto"/>
          <w:sz w:val="32"/>
          <w:szCs w:val="32"/>
          <w:highlight w:val="none"/>
          <w:lang w:val="en-US" w:eastAsia="zh-CN"/>
        </w:rPr>
        <w:t>的主要原因是我单位统筹使用上年度结转资金列支当年支出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事业单位离退休</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44.18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56.55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128.00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在职转退休，退休人员增加，2021年统筹使用以前年度结转资金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68.72</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2021年中预算功能科目调整，由资源勘探工业信息等支出（类）建筑业（款）其他建筑业（项）调整为社会保障和就业支出（类）行政事业单位养老支出（款）机关事业单位基本养老保险缴费支出（项）。</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机关事业单位职业年金缴费支出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35.10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31.51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89.77</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2021年我单位根据实际经费需求结算款项。</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事业单位医疗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32.60</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2021年中预算功能科目调整，由资源勘探工业信息等支出（类）建筑业（款）其他建筑业（项）调整为卫生健康支出（类）行政事业单位医疗（款）事业单位医疗（项）。</w:t>
      </w:r>
    </w:p>
    <w:p>
      <w:pPr>
        <w:widowControl/>
        <w:spacing w:line="59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资源勘探工业信息等支出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建筑业</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其他建筑业支出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1018.93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964.45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94.65</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:1、在职人员转退休，人员经费减少；2、该功能科目年中调整其他功能科目。</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1143.92</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1052.24</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val="en-US" w:eastAsia="zh-CN"/>
        </w:rPr>
        <w:t>奖金、</w:t>
      </w:r>
      <w:r>
        <w:rPr>
          <w:rFonts w:hint="eastAsia" w:ascii="仿宋_GB2312" w:hAnsi="仿宋_GB2312" w:eastAsia="仿宋_GB2312" w:cs="仿宋_GB2312"/>
          <w:color w:val="auto"/>
          <w:sz w:val="32"/>
          <w:szCs w:val="32"/>
          <w:highlight w:val="none"/>
        </w:rPr>
        <w:t>绩效工资、机关事业单位基本养老保险缴费、职业年金缴费、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其他社会保障缴费、其他工资福利支出、退休费、生活补助、住房公积金；公用经费</w:t>
      </w:r>
      <w:r>
        <w:rPr>
          <w:rFonts w:hint="eastAsia" w:ascii="仿宋_GB2312" w:hAnsi="仿宋_GB2312" w:eastAsia="仿宋_GB2312" w:cs="仿宋_GB2312"/>
          <w:color w:val="auto"/>
          <w:sz w:val="32"/>
          <w:szCs w:val="32"/>
          <w:highlight w:val="none"/>
          <w:lang w:val="en-US" w:eastAsia="zh-CN"/>
        </w:rPr>
        <w:t>91.68</w:t>
      </w:r>
      <w:r>
        <w:rPr>
          <w:rFonts w:hint="eastAsia" w:ascii="仿宋_GB2312" w:hAnsi="仿宋_GB2312" w:eastAsia="仿宋_GB2312" w:cs="仿宋_GB2312"/>
          <w:color w:val="auto"/>
          <w:sz w:val="32"/>
          <w:szCs w:val="32"/>
          <w:highlight w:val="none"/>
        </w:rPr>
        <w:t>万元，主要包括：办公费、水费、电费、邮电费、取暖费、物业管理费、差旅费、维修（护）费、培训费、劳务费、委托业务费、工会经费、福利费、公务用车运行维护费、其他商品和服务支出。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3.29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2.29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69.60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厉行节约，严控经费支出，实现三公经费只减不增</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2.29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u w:val="none"/>
          <w:lang w:val="en-US" w:eastAsia="zh-CN"/>
        </w:rPr>
        <w:t>全年因公出国（境）团组0个，累计0人次。</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2.29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2.29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2.29</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zh-CN" w:eastAsia="zh-CN"/>
        </w:rPr>
        <w:t>机要文件交换，应急公务出行和工作督查等项工作所需的公务用车的燃油和维修费用</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2辆</w:t>
      </w:r>
      <w:r>
        <w:rPr>
          <w:rFonts w:hint="eastAsia" w:ascii="仿宋_GB2312" w:hAnsi="仿宋_GB2312" w:eastAsia="仿宋_GB2312" w:cs="仿宋_GB2312"/>
          <w:color w:val="auto"/>
          <w:sz w:val="32"/>
          <w:szCs w:val="32"/>
          <w:highlight w:val="none"/>
        </w:rPr>
        <w:t>。</w:t>
      </w:r>
    </w:p>
    <w:p>
      <w:pPr>
        <w:widowControl/>
        <w:numPr>
          <w:ilvl w:val="0"/>
          <w:numId w:val="2"/>
        </w:numPr>
        <w:spacing w:line="590" w:lineRule="exact"/>
        <w:ind w:left="0" w:leftChars="0"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万元。决算数与预算数存在差异的主要原因是</w:t>
      </w:r>
      <w:r>
        <w:rPr>
          <w:rFonts w:hint="eastAsia" w:ascii="仿宋_GB2312" w:hAnsi="仿宋_GB2312" w:eastAsia="仿宋_GB2312" w:cs="仿宋_GB2312"/>
          <w:color w:val="auto"/>
          <w:sz w:val="32"/>
          <w:szCs w:val="32"/>
          <w:highlight w:val="none"/>
          <w:lang w:val="en-US" w:eastAsia="zh-CN"/>
        </w:rPr>
        <w:t>单位严控经费支出的前提下,2021年未发生公务接待费支出</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b/>
          <w:bCs/>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b/>
          <w:bCs/>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情况说明:我</w:t>
      </w:r>
      <w:r>
        <w:rPr>
          <w:rFonts w:hint="default"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许昌市人民政府关于全面实施预算绩效管理的实施意见》（许发〔2021〕13号）文件要求，对本单位整体支出和项目支出开展全过程预算绩效管理。我单位2021年绩效工作的组织和开展情况如下：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单位健全了内部管理制度机制，由财务科牵头，业务科室配合，同时召开专题会议，加强全处职工对预算执行及绩效目标等相关政策的学习，并根据预算进度，定期分析预算执行结果，将预算执行结果用于预算指标调整的依据，为领导提供决策的同时督促业务科室加快预算执行进度。</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通过开展2021年整体绩效自评，认为我单位预算绩效目标设置合理，资金分配和使用按预算执行，在资金使用和管理方面，进一步强化资金统筹，优化资金结构，明确开支范围，细化资金用途，确保我单位当年主要工作和任务顺利完成，并把自评结果用于以后年度编制预算的依据和参考；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default" w:ascii="黑体" w:hAnsi="宋体" w:eastAsia="黑体" w:cs="宋体"/>
          <w:color w:val="auto"/>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jCuc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nKMK5yQEAAJoDAAAOAAAAAAAAAAEAIAAAAB4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0sHaMkBAACa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PSwdoyQEAAJoDAAAOAAAAAAAAAAEAIAAAAB4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jgUVN8BAADBAwAADgAAAAAA&#10;AAABACAAAAAeAQAAZHJzL2Uyb0RvYy54bWx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86Rgk4QEAAMEDAAAOAAAA&#10;AAAAAAEAIAAAAB4BAABkcnMvZTJvRG9jLnhtbFBLBQYAAAAABgAGAFkBAABx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2E49E"/>
    <w:multiLevelType w:val="singleLevel"/>
    <w:tmpl w:val="28A2E49E"/>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B7E60"/>
    <w:rsid w:val="00ED38B7"/>
    <w:rsid w:val="00EE051D"/>
    <w:rsid w:val="00F0131A"/>
    <w:rsid w:val="00F14C17"/>
    <w:rsid w:val="00F17041"/>
    <w:rsid w:val="00F218CF"/>
    <w:rsid w:val="00F44937"/>
    <w:rsid w:val="00F61A47"/>
    <w:rsid w:val="00F84422"/>
    <w:rsid w:val="00F95455"/>
    <w:rsid w:val="00FA574D"/>
    <w:rsid w:val="00FC2588"/>
    <w:rsid w:val="00FE7AD9"/>
    <w:rsid w:val="01322275"/>
    <w:rsid w:val="01900C44"/>
    <w:rsid w:val="01DC6F05"/>
    <w:rsid w:val="02A3489A"/>
    <w:rsid w:val="02CA138D"/>
    <w:rsid w:val="033646FC"/>
    <w:rsid w:val="037B196F"/>
    <w:rsid w:val="03C75F80"/>
    <w:rsid w:val="0478364D"/>
    <w:rsid w:val="04B67B25"/>
    <w:rsid w:val="053D4C0D"/>
    <w:rsid w:val="05504736"/>
    <w:rsid w:val="0557532E"/>
    <w:rsid w:val="0799329C"/>
    <w:rsid w:val="08397436"/>
    <w:rsid w:val="086F16A7"/>
    <w:rsid w:val="08CB2908"/>
    <w:rsid w:val="096B3256"/>
    <w:rsid w:val="09F05529"/>
    <w:rsid w:val="0A0F7225"/>
    <w:rsid w:val="0A2B7D82"/>
    <w:rsid w:val="0ADC40E9"/>
    <w:rsid w:val="0AE607F4"/>
    <w:rsid w:val="0B386127"/>
    <w:rsid w:val="0B451598"/>
    <w:rsid w:val="0BEC73F4"/>
    <w:rsid w:val="0C392698"/>
    <w:rsid w:val="0CEF4604"/>
    <w:rsid w:val="0E3A41D5"/>
    <w:rsid w:val="0E555C6B"/>
    <w:rsid w:val="0F136F00"/>
    <w:rsid w:val="0F20466E"/>
    <w:rsid w:val="0F6B593E"/>
    <w:rsid w:val="0F772119"/>
    <w:rsid w:val="0FFA1BAC"/>
    <w:rsid w:val="10BD36F6"/>
    <w:rsid w:val="119012A7"/>
    <w:rsid w:val="11BF0649"/>
    <w:rsid w:val="12151DE3"/>
    <w:rsid w:val="123E3E08"/>
    <w:rsid w:val="1270692A"/>
    <w:rsid w:val="133212F4"/>
    <w:rsid w:val="13D22E22"/>
    <w:rsid w:val="14490B4A"/>
    <w:rsid w:val="14A36AD8"/>
    <w:rsid w:val="15063063"/>
    <w:rsid w:val="15717AF1"/>
    <w:rsid w:val="15A16F7B"/>
    <w:rsid w:val="161C2DFF"/>
    <w:rsid w:val="16373578"/>
    <w:rsid w:val="16D3336B"/>
    <w:rsid w:val="16E25D06"/>
    <w:rsid w:val="17200028"/>
    <w:rsid w:val="17806C36"/>
    <w:rsid w:val="17A74F62"/>
    <w:rsid w:val="1851639A"/>
    <w:rsid w:val="18A47774"/>
    <w:rsid w:val="1A843EEE"/>
    <w:rsid w:val="1A8D28EB"/>
    <w:rsid w:val="1A976B2D"/>
    <w:rsid w:val="1A9F2D78"/>
    <w:rsid w:val="1B290878"/>
    <w:rsid w:val="1B2E6FD8"/>
    <w:rsid w:val="1B841933"/>
    <w:rsid w:val="1B877D21"/>
    <w:rsid w:val="1B8D31E7"/>
    <w:rsid w:val="1C4319A9"/>
    <w:rsid w:val="1C7F72AE"/>
    <w:rsid w:val="1E443B4B"/>
    <w:rsid w:val="1E9170CD"/>
    <w:rsid w:val="1E994F4A"/>
    <w:rsid w:val="1EAF0224"/>
    <w:rsid w:val="1EF30E63"/>
    <w:rsid w:val="1F2230A4"/>
    <w:rsid w:val="200645AA"/>
    <w:rsid w:val="20102EB5"/>
    <w:rsid w:val="20210932"/>
    <w:rsid w:val="202448E0"/>
    <w:rsid w:val="2078262A"/>
    <w:rsid w:val="20F614FE"/>
    <w:rsid w:val="21302EEA"/>
    <w:rsid w:val="221C49E1"/>
    <w:rsid w:val="22376FB5"/>
    <w:rsid w:val="23B63BBF"/>
    <w:rsid w:val="23E152D7"/>
    <w:rsid w:val="23EE2489"/>
    <w:rsid w:val="254B7FB0"/>
    <w:rsid w:val="255D43C8"/>
    <w:rsid w:val="26714EF8"/>
    <w:rsid w:val="26876BDD"/>
    <w:rsid w:val="2714632A"/>
    <w:rsid w:val="27541E73"/>
    <w:rsid w:val="27B0539E"/>
    <w:rsid w:val="2800607E"/>
    <w:rsid w:val="2828324D"/>
    <w:rsid w:val="282E6453"/>
    <w:rsid w:val="29365CF8"/>
    <w:rsid w:val="293A3759"/>
    <w:rsid w:val="299469B3"/>
    <w:rsid w:val="2A805789"/>
    <w:rsid w:val="2ADC0D75"/>
    <w:rsid w:val="2B020458"/>
    <w:rsid w:val="2B147E30"/>
    <w:rsid w:val="2B215DA9"/>
    <w:rsid w:val="2B4A0E52"/>
    <w:rsid w:val="2B5B3249"/>
    <w:rsid w:val="2C975890"/>
    <w:rsid w:val="2CB5119F"/>
    <w:rsid w:val="2D576F0A"/>
    <w:rsid w:val="2DAD32DC"/>
    <w:rsid w:val="2DEF21BB"/>
    <w:rsid w:val="2E4A2F05"/>
    <w:rsid w:val="2E884A55"/>
    <w:rsid w:val="2ECC1061"/>
    <w:rsid w:val="2FA476AD"/>
    <w:rsid w:val="303F7540"/>
    <w:rsid w:val="31DA4319"/>
    <w:rsid w:val="31DD00BF"/>
    <w:rsid w:val="31F52144"/>
    <w:rsid w:val="32377E9E"/>
    <w:rsid w:val="3293174C"/>
    <w:rsid w:val="32BB38D4"/>
    <w:rsid w:val="32C9376D"/>
    <w:rsid w:val="33780472"/>
    <w:rsid w:val="33AF0905"/>
    <w:rsid w:val="33CF4883"/>
    <w:rsid w:val="34B82ACB"/>
    <w:rsid w:val="355932F4"/>
    <w:rsid w:val="35611882"/>
    <w:rsid w:val="35EB7C23"/>
    <w:rsid w:val="36746FC3"/>
    <w:rsid w:val="368763AE"/>
    <w:rsid w:val="372E0708"/>
    <w:rsid w:val="38105839"/>
    <w:rsid w:val="39405200"/>
    <w:rsid w:val="395D59E7"/>
    <w:rsid w:val="39A93932"/>
    <w:rsid w:val="3A915562"/>
    <w:rsid w:val="3ABF2560"/>
    <w:rsid w:val="3ADD73B7"/>
    <w:rsid w:val="3B8D4765"/>
    <w:rsid w:val="3C000DBA"/>
    <w:rsid w:val="3C10550D"/>
    <w:rsid w:val="3C863652"/>
    <w:rsid w:val="3DC045D3"/>
    <w:rsid w:val="3E504FFB"/>
    <w:rsid w:val="3E615CD0"/>
    <w:rsid w:val="3E9C47F6"/>
    <w:rsid w:val="3F2E64C6"/>
    <w:rsid w:val="3F591E5E"/>
    <w:rsid w:val="3F8B0112"/>
    <w:rsid w:val="3FAB3095"/>
    <w:rsid w:val="3FE45947"/>
    <w:rsid w:val="41091D7D"/>
    <w:rsid w:val="41242965"/>
    <w:rsid w:val="4224329E"/>
    <w:rsid w:val="42C77671"/>
    <w:rsid w:val="43105186"/>
    <w:rsid w:val="435671EA"/>
    <w:rsid w:val="440809E9"/>
    <w:rsid w:val="442407A6"/>
    <w:rsid w:val="443469F5"/>
    <w:rsid w:val="44805EA1"/>
    <w:rsid w:val="44E31CF9"/>
    <w:rsid w:val="45710696"/>
    <w:rsid w:val="458D06C8"/>
    <w:rsid w:val="46142B1B"/>
    <w:rsid w:val="475812B1"/>
    <w:rsid w:val="47D66EEB"/>
    <w:rsid w:val="47E60DD0"/>
    <w:rsid w:val="48110DC4"/>
    <w:rsid w:val="48735039"/>
    <w:rsid w:val="492C684B"/>
    <w:rsid w:val="49500594"/>
    <w:rsid w:val="49E7604E"/>
    <w:rsid w:val="4B741F25"/>
    <w:rsid w:val="4BE07B10"/>
    <w:rsid w:val="4BF67CDD"/>
    <w:rsid w:val="4D173441"/>
    <w:rsid w:val="4D2E134D"/>
    <w:rsid w:val="4D603DD6"/>
    <w:rsid w:val="4D916C25"/>
    <w:rsid w:val="4DD3102D"/>
    <w:rsid w:val="4E680619"/>
    <w:rsid w:val="4EBF010F"/>
    <w:rsid w:val="4F1E3372"/>
    <w:rsid w:val="4F324E19"/>
    <w:rsid w:val="4F471EB0"/>
    <w:rsid w:val="4F4977F9"/>
    <w:rsid w:val="4FE30A54"/>
    <w:rsid w:val="51331326"/>
    <w:rsid w:val="51740A7F"/>
    <w:rsid w:val="51A5541E"/>
    <w:rsid w:val="51C96242"/>
    <w:rsid w:val="51CE172F"/>
    <w:rsid w:val="53906AE1"/>
    <w:rsid w:val="53AB1B42"/>
    <w:rsid w:val="54A46866"/>
    <w:rsid w:val="54F46F60"/>
    <w:rsid w:val="5539030F"/>
    <w:rsid w:val="55A37BEA"/>
    <w:rsid w:val="56362CD2"/>
    <w:rsid w:val="56B57E6A"/>
    <w:rsid w:val="5719008F"/>
    <w:rsid w:val="574D1E50"/>
    <w:rsid w:val="5784687B"/>
    <w:rsid w:val="57846959"/>
    <w:rsid w:val="578E6A87"/>
    <w:rsid w:val="580823F5"/>
    <w:rsid w:val="5812664C"/>
    <w:rsid w:val="586C6806"/>
    <w:rsid w:val="588F594F"/>
    <w:rsid w:val="58F1205C"/>
    <w:rsid w:val="5ABB646C"/>
    <w:rsid w:val="5AC2203A"/>
    <w:rsid w:val="5B451BAB"/>
    <w:rsid w:val="5C5968D4"/>
    <w:rsid w:val="5C87629E"/>
    <w:rsid w:val="5C8D32A6"/>
    <w:rsid w:val="5CBB3334"/>
    <w:rsid w:val="5CFC5A70"/>
    <w:rsid w:val="5D047455"/>
    <w:rsid w:val="5D115FAF"/>
    <w:rsid w:val="5DCD204C"/>
    <w:rsid w:val="5E6A3CAA"/>
    <w:rsid w:val="5EAC3E3A"/>
    <w:rsid w:val="5F617BEE"/>
    <w:rsid w:val="621C64A7"/>
    <w:rsid w:val="62811722"/>
    <w:rsid w:val="62B31701"/>
    <w:rsid w:val="62E5517A"/>
    <w:rsid w:val="62E75A72"/>
    <w:rsid w:val="633640E0"/>
    <w:rsid w:val="63973064"/>
    <w:rsid w:val="64571880"/>
    <w:rsid w:val="649125B6"/>
    <w:rsid w:val="64E65BCE"/>
    <w:rsid w:val="652F4C1A"/>
    <w:rsid w:val="657D1804"/>
    <w:rsid w:val="666D37F1"/>
    <w:rsid w:val="667123C4"/>
    <w:rsid w:val="668D72D5"/>
    <w:rsid w:val="66F2676D"/>
    <w:rsid w:val="67087D8F"/>
    <w:rsid w:val="671F687E"/>
    <w:rsid w:val="67F415F8"/>
    <w:rsid w:val="682640D1"/>
    <w:rsid w:val="684B73E5"/>
    <w:rsid w:val="69375BD4"/>
    <w:rsid w:val="6A047A2A"/>
    <w:rsid w:val="6A937847"/>
    <w:rsid w:val="6AD01020"/>
    <w:rsid w:val="6B481BA2"/>
    <w:rsid w:val="6D6B075E"/>
    <w:rsid w:val="6EEE4901"/>
    <w:rsid w:val="6EFB7548"/>
    <w:rsid w:val="6F3831C3"/>
    <w:rsid w:val="6F624286"/>
    <w:rsid w:val="6F8B71C1"/>
    <w:rsid w:val="6FC37050"/>
    <w:rsid w:val="705E1485"/>
    <w:rsid w:val="70753482"/>
    <w:rsid w:val="707B522A"/>
    <w:rsid w:val="70A44806"/>
    <w:rsid w:val="72CD6EBE"/>
    <w:rsid w:val="73194D05"/>
    <w:rsid w:val="73A83B0E"/>
    <w:rsid w:val="744D3EF9"/>
    <w:rsid w:val="74794411"/>
    <w:rsid w:val="7545775C"/>
    <w:rsid w:val="75867C40"/>
    <w:rsid w:val="75B10B26"/>
    <w:rsid w:val="75D10582"/>
    <w:rsid w:val="75F73A71"/>
    <w:rsid w:val="76432199"/>
    <w:rsid w:val="76F44829"/>
    <w:rsid w:val="770340C8"/>
    <w:rsid w:val="77A267C0"/>
    <w:rsid w:val="780E3A28"/>
    <w:rsid w:val="78694F99"/>
    <w:rsid w:val="78882278"/>
    <w:rsid w:val="78B118A6"/>
    <w:rsid w:val="78ED543D"/>
    <w:rsid w:val="79135044"/>
    <w:rsid w:val="7943477D"/>
    <w:rsid w:val="79A42703"/>
    <w:rsid w:val="7A7D0F99"/>
    <w:rsid w:val="7AF52BA3"/>
    <w:rsid w:val="7B748201"/>
    <w:rsid w:val="7BFA5853"/>
    <w:rsid w:val="7C8415C1"/>
    <w:rsid w:val="7DF9835E"/>
    <w:rsid w:val="7E4A0E7C"/>
    <w:rsid w:val="7E9D7B39"/>
    <w:rsid w:val="7EF901E1"/>
    <w:rsid w:val="7EFD449D"/>
    <w:rsid w:val="7FD4CEBF"/>
    <w:rsid w:val="CEBB90FD"/>
    <w:rsid w:val="D3B59005"/>
    <w:rsid w:val="D90FE83B"/>
    <w:rsid w:val="FFFF50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8586</Words>
  <Characters>10504</Characters>
  <Lines>60</Lines>
  <Paragraphs>16</Paragraphs>
  <TotalTime>144</TotalTime>
  <ScaleCrop>false</ScaleCrop>
  <LinksUpToDate>false</LinksUpToDate>
  <CharactersWithSpaces>10567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悟の</cp:lastModifiedBy>
  <cp:lastPrinted>2023-05-09T00:18:00Z</cp:lastPrinted>
  <dcterms:modified xsi:type="dcterms:W3CDTF">2023-09-17T11:21:50Z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D53C4E2A20894B9BBD1169D38CF4A9EA_13</vt:lpwstr>
  </property>
</Properties>
</file>