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center"/>
        <w:rPr>
          <w:rFonts w:hint="eastAsia" w:ascii="黑体" w:hAnsi="宋体" w:eastAsia="黑体" w:cs="宋体"/>
          <w:color w:val="auto"/>
          <w:kern w:val="0"/>
          <w:sz w:val="28"/>
          <w:szCs w:val="28"/>
          <w:highlight w:val="none"/>
        </w:rPr>
      </w:pPr>
      <w:r>
        <w:rPr>
          <w:rFonts w:hint="eastAsia" w:ascii="黑体" w:hAnsi="黑体" w:eastAsia="黑体" w:cs="黑体"/>
          <w:color w:val="auto"/>
          <w:sz w:val="52"/>
          <w:szCs w:val="52"/>
          <w:highlight w:val="none"/>
        </w:rPr>
        <w:t>2021年度</w:t>
      </w:r>
    </w:p>
    <w:p>
      <w:pPr>
        <w:widowControl/>
        <w:jc w:val="left"/>
        <w:rPr>
          <w:rFonts w:hint="eastAsia" w:ascii="黑体" w:hAnsi="宋体" w:eastAsia="黑体" w:cs="宋体"/>
          <w:color w:val="auto"/>
          <w:kern w:val="0"/>
          <w:sz w:val="28"/>
          <w:szCs w:val="28"/>
          <w:highlight w:val="none"/>
        </w:rPr>
      </w:pPr>
      <w:r>
        <w:rPr>
          <w:rFonts w:hint="eastAsia" w:ascii="黑体" w:hAnsi="黑体" w:eastAsia="黑体" w:cs="黑体"/>
          <w:color w:val="auto"/>
          <w:sz w:val="52"/>
          <w:szCs w:val="52"/>
          <w:highlight w:val="none"/>
        </w:rPr>
        <w:t>许昌市建设工程质量监督站</w:t>
      </w: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spacing w:line="360" w:lineRule="auto"/>
        <w:jc w:val="center"/>
        <w:rPr>
          <w:rFonts w:ascii="黑体" w:hAnsi="黑体" w:eastAsia="黑体" w:cs="黑体"/>
          <w:color w:val="auto"/>
          <w:sz w:val="52"/>
          <w:szCs w:val="52"/>
          <w:highlight w:val="none"/>
        </w:rPr>
      </w:pPr>
    </w:p>
    <w:p>
      <w:pPr>
        <w:spacing w:line="360" w:lineRule="auto"/>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spacing w:line="360" w:lineRule="auto"/>
        <w:jc w:val="left"/>
        <w:rPr>
          <w:rFonts w:ascii="楷体" w:hAnsi="楷体" w:eastAsia="楷体" w:cs="楷体"/>
          <w:color w:val="auto"/>
          <w:sz w:val="32"/>
          <w:szCs w:val="32"/>
          <w:highlight w:val="none"/>
        </w:rPr>
      </w:pPr>
      <w:r>
        <w:rPr>
          <w:rFonts w:hint="eastAsia" w:ascii="黑体" w:hAnsi="黑体" w:eastAsia="黑体" w:cs="黑体"/>
          <w:color w:val="auto"/>
          <w:sz w:val="32"/>
          <w:szCs w:val="32"/>
          <w:highlight w:val="none"/>
        </w:rPr>
        <w:t>第一部分</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许昌市建设工程质量监督站概况</w:t>
      </w:r>
    </w:p>
    <w:p>
      <w:pPr>
        <w:numPr>
          <w:ilvl w:val="0"/>
          <w:numId w:val="0"/>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一、单位</w:t>
      </w:r>
      <w:r>
        <w:rPr>
          <w:rFonts w:hint="eastAsia" w:ascii="宋体" w:hAnsi="宋体" w:cs="宋体"/>
          <w:color w:val="auto"/>
          <w:sz w:val="32"/>
          <w:szCs w:val="32"/>
          <w:highlight w:val="none"/>
        </w:rPr>
        <w:t>职责</w:t>
      </w:r>
    </w:p>
    <w:p>
      <w:pPr>
        <w:numPr>
          <w:ilvl w:val="0"/>
          <w:numId w:val="0"/>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二、</w:t>
      </w:r>
      <w:r>
        <w:rPr>
          <w:rFonts w:hint="eastAsia" w:ascii="宋体" w:hAnsi="宋体" w:cs="宋体"/>
          <w:color w:val="auto"/>
          <w:sz w:val="32"/>
          <w:szCs w:val="32"/>
          <w:highlight w:val="none"/>
        </w:rPr>
        <w:t>机构设置</w:t>
      </w:r>
    </w:p>
    <w:p>
      <w:pPr>
        <w:spacing w:line="360" w:lineRule="auto"/>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第二部分  </w:t>
      </w:r>
      <w:r>
        <w:rPr>
          <w:rFonts w:hint="eastAsia" w:ascii="黑体" w:hAnsi="黑体" w:eastAsia="黑体" w:cs="黑体"/>
          <w:color w:val="auto"/>
          <w:sz w:val="32"/>
          <w:szCs w:val="32"/>
          <w:highlight w:val="none"/>
        </w:rPr>
        <w:t>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48"/>
          <w:szCs w:val="48"/>
          <w:highlight w:val="none"/>
        </w:rPr>
      </w:pPr>
      <w:r>
        <w:rPr>
          <w:rFonts w:hint="eastAsia" w:ascii="黑体" w:hAnsi="黑体" w:eastAsia="黑体" w:cs="黑体"/>
          <w:color w:val="auto"/>
          <w:sz w:val="48"/>
          <w:szCs w:val="48"/>
          <w:highlight w:val="none"/>
        </w:rPr>
        <w:t xml:space="preserve">第一部分  </w:t>
      </w:r>
      <w:r>
        <w:rPr>
          <w:rFonts w:hint="default" w:ascii="黑体" w:hAnsi="黑体" w:eastAsia="黑体" w:cs="黑体"/>
          <w:color w:val="auto"/>
          <w:sz w:val="48"/>
          <w:szCs w:val="48"/>
          <w:highlight w:val="none"/>
        </w:rPr>
        <w:t>许昌市建设工程质量监督站</w:t>
      </w:r>
      <w:r>
        <w:rPr>
          <w:rFonts w:hint="eastAsia" w:ascii="黑体" w:hAnsi="黑体" w:eastAsia="黑体" w:cs="黑体"/>
          <w:color w:val="auto"/>
          <w:sz w:val="48"/>
          <w:szCs w:val="48"/>
          <w:highlight w:val="none"/>
        </w:rPr>
        <w:t>概况</w:t>
      </w:r>
    </w:p>
    <w:p>
      <w:pPr>
        <w:widowControl/>
        <w:ind w:firstLine="960" w:firstLineChars="200"/>
        <w:jc w:val="left"/>
        <w:outlineLvl w:val="1"/>
        <w:rPr>
          <w:rFonts w:ascii="黑体" w:hAnsi="黑体" w:eastAsia="黑体" w:cs="黑体"/>
          <w:color w:val="auto"/>
          <w:kern w:val="0"/>
          <w:sz w:val="48"/>
          <w:szCs w:val="48"/>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widowControl/>
        <w:spacing w:line="59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市建设工程质量监督站主要职责：承担对全市建设工程与市政基础设施工程项目的质量监督管理；把握全市建设工程质量动态；负责受理工程质量方面的投诉和参与建设工程质量事故处理；负责建设系统工程质量检查及各县(市)质量监督机构人员考核管理；负责对商砼生产企业，预拌砂浆生产企业，工程质量检测机构的管理；负责工程质量管理人员的业务培训。</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许昌市建设工程质量监督站</w:t>
      </w:r>
      <w:r>
        <w:rPr>
          <w:rFonts w:hint="eastAsia" w:ascii="仿宋_GB2312" w:hAnsi="仿宋_GB2312" w:eastAsia="仿宋_GB2312" w:cs="仿宋_GB2312"/>
          <w:color w:val="auto"/>
          <w:kern w:val="0"/>
          <w:sz w:val="32"/>
          <w:szCs w:val="32"/>
          <w:highlight w:val="none"/>
        </w:rPr>
        <w:t>内设机构8个，包括：</w:t>
      </w:r>
      <w:r>
        <w:rPr>
          <w:rFonts w:hint="eastAsia" w:ascii="仿宋_GB2312" w:hAnsi="仿宋_GB2312" w:eastAsia="仿宋_GB2312" w:cs="仿宋_GB2312"/>
          <w:color w:val="auto"/>
          <w:sz w:val="32"/>
          <w:szCs w:val="32"/>
          <w:highlight w:val="none"/>
        </w:rPr>
        <w:t>办公室、房屋工程监督一科、房屋工程监督二科、房屋工程监督三科、市政工程科、设备安装科、检测一科、检测二科。</w:t>
      </w:r>
    </w:p>
    <w:p>
      <w:pPr>
        <w:widowControl/>
        <w:spacing w:line="59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从决算单位构成看，</w:t>
      </w:r>
      <w:r>
        <w:rPr>
          <w:rFonts w:hint="eastAsia" w:ascii="仿宋_GB2312" w:hAnsi="仿宋_GB2312" w:eastAsia="仿宋_GB2312" w:cs="仿宋_GB2312"/>
          <w:color w:val="auto"/>
          <w:sz w:val="32"/>
          <w:szCs w:val="32"/>
          <w:highlight w:val="none"/>
        </w:rPr>
        <w:t>许昌市建设工程质量监督站决算包括：本级决算</w:t>
      </w:r>
      <w:r>
        <w:rPr>
          <w:rFonts w:hint="eastAsia" w:ascii="仿宋_GB2312" w:hAnsi="仿宋_GB2312" w:eastAsia="仿宋_GB2312" w:cs="仿宋_GB2312"/>
          <w:color w:val="auto"/>
          <w:sz w:val="32"/>
          <w:szCs w:val="32"/>
          <w:highlight w:val="none"/>
          <w:lang w:val="en-US" w:eastAsia="zh-CN"/>
        </w:rPr>
        <w:t>(1个)</w:t>
      </w:r>
      <w:r>
        <w:rPr>
          <w:rFonts w:hint="eastAsia" w:ascii="仿宋_GB2312" w:hAnsi="仿宋_GB2312" w:eastAsia="仿宋_GB2312" w:cs="仿宋_GB2312"/>
          <w:color w:val="auto"/>
          <w:sz w:val="32"/>
          <w:szCs w:val="32"/>
          <w:highlight w:val="none"/>
        </w:rPr>
        <w:t>。</w:t>
      </w:r>
    </w:p>
    <w:p>
      <w:pPr>
        <w:spacing w:line="600" w:lineRule="exact"/>
        <w:ind w:firstLine="640" w:firstLineChars="200"/>
        <w:rPr>
          <w:rFonts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纳入本</w:t>
      </w:r>
      <w:r>
        <w:rPr>
          <w:rFonts w:hint="eastAsia" w:ascii="仿宋_GB2312" w:hAnsi="宋体" w:eastAsia="仿宋_GB2312" w:cs="仿宋_GB2312"/>
          <w:color w:val="auto"/>
          <w:sz w:val="32"/>
          <w:szCs w:val="32"/>
          <w:highlight w:val="none"/>
          <w:lang w:eastAsia="zh-CN"/>
        </w:rPr>
        <w:t>单位</w:t>
      </w:r>
      <w:r>
        <w:rPr>
          <w:rFonts w:hint="eastAsia" w:ascii="仿宋_GB2312" w:hAnsi="宋体" w:eastAsia="仿宋_GB2312" w:cs="仿宋_GB2312"/>
          <w:color w:val="auto"/>
          <w:sz w:val="32"/>
          <w:szCs w:val="32"/>
          <w:highlight w:val="none"/>
        </w:rPr>
        <w:t>2021年度</w:t>
      </w:r>
      <w:r>
        <w:rPr>
          <w:rFonts w:hint="eastAsia" w:ascii="仿宋_GB2312" w:hAnsi="宋体" w:eastAsia="仿宋_GB2312" w:cs="仿宋_GB2312"/>
          <w:color w:val="auto"/>
          <w:sz w:val="32"/>
          <w:szCs w:val="32"/>
          <w:highlight w:val="none"/>
          <w:lang w:eastAsia="zh-CN"/>
        </w:rPr>
        <w:t>单位</w:t>
      </w:r>
      <w:r>
        <w:rPr>
          <w:rFonts w:hint="eastAsia" w:ascii="仿宋_GB2312" w:hAnsi="宋体" w:eastAsia="仿宋_GB2312" w:cs="仿宋_GB2312"/>
          <w:color w:val="auto"/>
          <w:sz w:val="32"/>
          <w:szCs w:val="32"/>
          <w:highlight w:val="none"/>
        </w:rPr>
        <w:t>决算编制范围的单位共1个，具体是：</w:t>
      </w:r>
    </w:p>
    <w:p>
      <w:pPr>
        <w:widowControl/>
        <w:spacing w:line="590" w:lineRule="exact"/>
        <w:ind w:firstLine="640" w:firstLineChars="200"/>
        <w:outlineLvl w:val="2"/>
        <w:rPr>
          <w:rFonts w:ascii="仿宋_GB2312" w:hAnsi="仿宋_GB2312" w:eastAsia="仿宋_GB2312" w:cs="仿宋_GB2312"/>
          <w:color w:val="auto"/>
          <w:sz w:val="32"/>
          <w:szCs w:val="32"/>
          <w:highlight w:val="none"/>
        </w:rPr>
      </w:pPr>
      <w:r>
        <w:rPr>
          <w:rFonts w:hint="eastAsia" w:ascii="仿宋_GB2312" w:hAnsi="宋体" w:eastAsia="仿宋_GB2312" w:cs="仿宋_GB2312"/>
          <w:color w:val="auto"/>
          <w:sz w:val="32"/>
          <w:szCs w:val="32"/>
          <w:highlight w:val="none"/>
          <w:lang w:val="en-US" w:eastAsia="zh-CN"/>
        </w:rPr>
        <w:t>1.</w:t>
      </w:r>
      <w:r>
        <w:rPr>
          <w:rFonts w:hint="eastAsia" w:ascii="仿宋_GB2312" w:hAnsi="宋体" w:eastAsia="仿宋_GB2312" w:cs="仿宋_GB2312"/>
          <w:color w:val="auto"/>
          <w:sz w:val="32"/>
          <w:szCs w:val="32"/>
          <w:highlight w:val="none"/>
        </w:rPr>
        <w:t>许昌市</w:t>
      </w:r>
      <w:r>
        <w:rPr>
          <w:rFonts w:hint="eastAsia" w:ascii="仿宋_GB2312" w:hAnsi="仿宋_GB2312" w:eastAsia="仿宋_GB2312" w:cs="仿宋_GB2312"/>
          <w:color w:val="auto"/>
          <w:sz w:val="32"/>
          <w:szCs w:val="32"/>
          <w:highlight w:val="none"/>
        </w:rPr>
        <w:t>建设工程质量监督站</w:t>
      </w:r>
    </w:p>
    <w:p>
      <w:pPr>
        <w:widowControl/>
        <w:jc w:val="left"/>
        <w:rPr>
          <w:rFonts w:ascii="黑体" w:hAnsi="宋体" w:eastAsia="黑体" w:cs="宋体"/>
          <w:color w:val="auto"/>
          <w:kern w:val="0"/>
          <w:sz w:val="28"/>
          <w:szCs w:val="28"/>
          <w:highlight w:val="none"/>
        </w:rPr>
      </w:pP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center"/>
        <w:rPr>
          <w:rFonts w:hint="eastAsia" w:ascii="黑体" w:hAnsi="宋体" w:eastAsia="黑体" w:cs="宋体"/>
          <w:color w:val="auto"/>
          <w:kern w:val="0"/>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48"/>
          <w:szCs w:val="4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4"/>
        <w:gridCol w:w="780"/>
        <w:gridCol w:w="1350"/>
        <w:gridCol w:w="4950"/>
        <w:gridCol w:w="1200"/>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84" w:type="dxa"/>
            <w:gridSpan w:val="6"/>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84" w:type="dxa"/>
            <w:gridSpan w:val="6"/>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424" w:type="dxa"/>
            <w:gridSpan w:val="5"/>
            <w:tcBorders>
              <w:top w:val="nil"/>
              <w:left w:val="nil"/>
              <w:bottom w:val="single" w:color="auto" w:sz="4" w:space="0"/>
              <w:right w:val="nil"/>
            </w:tcBorders>
            <w:noWrap/>
            <w:vAlign w:val="bottom"/>
          </w:tcPr>
          <w:p>
            <w:pPr>
              <w:keepNext w:val="0"/>
              <w:keepLines w:val="0"/>
              <w:pageBreakBefore w:val="0"/>
              <w:widowControl/>
              <w:kinsoku/>
              <w:wordWrap/>
              <w:overflowPunct/>
              <w:topLinePunct w:val="0"/>
              <w:autoSpaceDE/>
              <w:autoSpaceDN/>
              <w:bidi w:val="0"/>
              <w:adjustRightInd/>
              <w:snapToGrid w:val="0"/>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：许昌市建设工程质量监督站</w:t>
            </w:r>
          </w:p>
        </w:tc>
        <w:tc>
          <w:tcPr>
            <w:tcW w:w="1560" w:type="dxa"/>
            <w:tcBorders>
              <w:top w:val="nil"/>
              <w:left w:val="nil"/>
              <w:bottom w:val="single" w:color="auto" w:sz="4" w:space="0"/>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27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771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3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4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2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5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2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78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5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564.67</w:t>
            </w:r>
          </w:p>
        </w:tc>
        <w:tc>
          <w:tcPr>
            <w:tcW w:w="495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120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56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0"/>
                <w:szCs w:val="20"/>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0"/>
                <w:szCs w:val="20"/>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0"/>
                <w:szCs w:val="20"/>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564.67</w:t>
            </w: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78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35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106.19</w:t>
            </w:r>
          </w:p>
        </w:tc>
        <w:tc>
          <w:tcPr>
            <w:tcW w:w="495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120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56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3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4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12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5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3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670.86</w:t>
            </w:r>
          </w:p>
        </w:tc>
        <w:tc>
          <w:tcPr>
            <w:tcW w:w="4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12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5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84" w:type="dxa"/>
            <w:gridSpan w:val="6"/>
            <w:tcBorders>
              <w:top w:val="single" w:color="auto" w:sz="4" w:space="0"/>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pPr w:leftFromText="180" w:rightFromText="180" w:vertAnchor="text" w:horzAnchor="page" w:tblpX="1539" w:tblpY="12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3"/>
        <w:gridCol w:w="3846"/>
        <w:gridCol w:w="1536"/>
        <w:gridCol w:w="1536"/>
        <w:gridCol w:w="1143"/>
        <w:gridCol w:w="1125"/>
        <w:gridCol w:w="1155"/>
        <w:gridCol w:w="96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417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644" w:type="dxa"/>
            <w:gridSpan w:val="8"/>
            <w:tcBorders>
              <w:top w:val="nil"/>
              <w:left w:val="nil"/>
              <w:bottom w:val="nil"/>
              <w:right w:val="nil"/>
            </w:tcBorders>
            <w:noWrap/>
            <w:vAlign w:val="bottom"/>
          </w:tcPr>
          <w:p>
            <w:pPr>
              <w:jc w:val="center"/>
              <w:rPr>
                <w:rFonts w:hint="eastAsia" w:ascii="Arial" w:hAnsi="Arial" w:cs="Arial"/>
                <w:i w:val="0"/>
                <w:iCs w:val="0"/>
                <w:color w:val="auto"/>
                <w:sz w:val="20"/>
                <w:szCs w:val="20"/>
                <w:highlight w:val="none"/>
                <w:u w:val="none"/>
              </w:rPr>
            </w:pPr>
          </w:p>
        </w:tc>
        <w:tc>
          <w:tcPr>
            <w:tcW w:w="153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684" w:type="dxa"/>
            <w:gridSpan w:val="7"/>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：许昌市建设工程质量监督站</w:t>
            </w:r>
          </w:p>
        </w:tc>
        <w:tc>
          <w:tcPr>
            <w:tcW w:w="960" w:type="dxa"/>
            <w:tcBorders>
              <w:top w:val="nil"/>
              <w:left w:val="nil"/>
              <w:bottom w:val="single" w:color="auto" w:sz="4" w:space="0"/>
              <w:right w:val="nil"/>
            </w:tcBorders>
            <w:noWrap/>
            <w:vAlign w:val="bottom"/>
          </w:tcPr>
          <w:p>
            <w:pPr>
              <w:keepNext w:val="0"/>
              <w:keepLines w:val="0"/>
              <w:widowControl/>
              <w:suppressLineNumbers w:val="0"/>
              <w:jc w:val="both"/>
              <w:textAlignment w:val="bottom"/>
              <w:rPr>
                <w:color w:val="auto"/>
                <w:highlight w:val="none"/>
              </w:rPr>
            </w:pPr>
            <w:r>
              <w:rPr>
                <w:rFonts w:hint="default" w:ascii="Arial" w:hAnsi="Arial" w:eastAsia="宋体" w:cs="Arial"/>
                <w:i w:val="0"/>
                <w:iCs w:val="0"/>
                <w:color w:val="auto"/>
                <w:kern w:val="0"/>
                <w:sz w:val="20"/>
                <w:szCs w:val="20"/>
                <w:highlight w:val="none"/>
                <w:u w:val="none"/>
                <w:lang w:val="en-US" w:eastAsia="zh-CN" w:bidi="ar"/>
              </w:rPr>
              <w:t>　</w:t>
            </w:r>
          </w:p>
        </w:tc>
        <w:tc>
          <w:tcPr>
            <w:tcW w:w="1530" w:type="dxa"/>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项目</w:t>
            </w:r>
          </w:p>
        </w:tc>
        <w:tc>
          <w:tcPr>
            <w:tcW w:w="153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53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1143"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1125"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15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53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53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2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栏次</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合计</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564.67</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564.67</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201</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20129</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2012906</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208</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87.53</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87.53</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20805</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82.08</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82.08</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2080502</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32.09</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32.09</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2080505</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49.98</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49.98</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20808</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抚恤</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5.45</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5.45</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2080801</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5.45</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5.45</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210</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20.65</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20.65</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21011</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20.65</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20.65</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2101102</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20.65</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20.65</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212</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453.19</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453.19</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21206</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建设市场管理与监督</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453.19</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453.19</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2120601</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建设市场管理与监督</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453.19</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453.19</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174" w:type="dxa"/>
            <w:gridSpan w:val="9"/>
            <w:tcBorders>
              <w:top w:val="single" w:color="auto" w:sz="4" w:space="0"/>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70"/>
        <w:gridCol w:w="3843"/>
        <w:gridCol w:w="1784"/>
        <w:gridCol w:w="1305"/>
        <w:gridCol w:w="1125"/>
        <w:gridCol w:w="1290"/>
        <w:gridCol w:w="1140"/>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14190"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4190" w:type="dxa"/>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14190" w:type="dxa"/>
            <w:gridSpan w:val="8"/>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 xml:space="preserve">：许昌市建设工程质量监督站                                                                                             </w:t>
            </w:r>
            <w:r>
              <w:rPr>
                <w:rFonts w:hint="default" w:ascii="宋体" w:hAnsi="宋体" w:cs="宋体"/>
                <w:i w:val="0"/>
                <w:iCs w:val="0"/>
                <w:color w:val="auto"/>
                <w:kern w:val="0"/>
                <w:sz w:val="20"/>
                <w:szCs w:val="20"/>
                <w:highlight w:val="none"/>
                <w:u w:val="none"/>
                <w:lang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81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项目</w:t>
            </w:r>
          </w:p>
        </w:tc>
        <w:tc>
          <w:tcPr>
            <w:tcW w:w="1784"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305"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1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29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11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173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3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784"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0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7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8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栏次</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合计</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670.86</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670.86</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201</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20129</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2012906</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208</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100.1</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100.1</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20805</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94.65</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94.65</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2080502</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33.8</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33.8</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2080505</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机关事业单位基本养老保险缴费支出</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60.86</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60.86</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20808</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抚恤</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5.45</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5.45</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2080801</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5.45</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5.45</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210</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25.42</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25.42</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21011</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25.42</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25.42</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2101102</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25.42</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25.42</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212</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542.04</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542.04</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21206</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建设市场管理与监督</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542.04</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542.04</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2120601</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建设市场管理与监督</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542.04</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542.04</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190" w:type="dxa"/>
            <w:gridSpan w:val="8"/>
            <w:tcBorders>
              <w:top w:val="single" w:color="auto" w:sz="4" w:space="0"/>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bl>
    <w:tbl>
      <w:tblPr>
        <w:tblStyle w:val="5"/>
        <w:tblpPr w:leftFromText="180" w:rightFromText="180" w:vertAnchor="text" w:horzAnchor="page" w:tblpX="1584" w:tblpY="-74"/>
        <w:tblOverlap w:val="never"/>
        <w:tblW w:w="13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6"/>
        <w:gridCol w:w="443"/>
        <w:gridCol w:w="1141"/>
        <w:gridCol w:w="3440"/>
        <w:gridCol w:w="705"/>
        <w:gridCol w:w="930"/>
        <w:gridCol w:w="1125"/>
        <w:gridCol w:w="1035"/>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384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3845"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3845" w:type="dxa"/>
            <w:gridSpan w:val="9"/>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：许昌市建设工程质量监督站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6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9185"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07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44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14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4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0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93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19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3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44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9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1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564.67</w:t>
            </w: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w:t>
            </w: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100.10</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100.10</w:t>
            </w: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25.42</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25.42</w:t>
            </w: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542.04</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542.04</w:t>
            </w: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auto"/>
                <w:sz w:val="20"/>
                <w:szCs w:val="20"/>
                <w:highlight w:val="none"/>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0"/>
                <w:szCs w:val="20"/>
                <w:highlight w:val="none"/>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564.67</w:t>
            </w: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670.86</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670.86</w:t>
            </w: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106.19</w:t>
            </w: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106.19</w:t>
            </w: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670.86</w:t>
            </w: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670.86</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670.86</w:t>
            </w: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3845" w:type="dxa"/>
            <w:gridSpan w:val="9"/>
            <w:tcBorders>
              <w:top w:val="single" w:color="auto" w:sz="4"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9"/>
        <w:gridCol w:w="4020"/>
        <w:gridCol w:w="2220"/>
        <w:gridCol w:w="2460"/>
        <w:gridCol w:w="2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39"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939" w:type="dxa"/>
            <w:gridSpan w:val="4"/>
            <w:tcBorders>
              <w:top w:val="nil"/>
              <w:left w:val="nil"/>
              <w:bottom w:val="nil"/>
              <w:right w:val="nil"/>
            </w:tcBorders>
            <w:noWrap/>
            <w:vAlign w:val="bottom"/>
          </w:tcPr>
          <w:p>
            <w:pPr>
              <w:jc w:val="center"/>
              <w:rPr>
                <w:rFonts w:hint="eastAsia" w:ascii="Arial" w:hAnsi="Arial" w:cs="Arial"/>
                <w:i w:val="0"/>
                <w:iCs w:val="0"/>
                <w:color w:val="auto"/>
                <w:sz w:val="20"/>
                <w:szCs w:val="20"/>
                <w:highlight w:val="none"/>
                <w:u w:val="none"/>
              </w:rPr>
            </w:pPr>
          </w:p>
        </w:tc>
        <w:tc>
          <w:tcPr>
            <w:tcW w:w="270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939" w:type="dxa"/>
            <w:gridSpan w:val="4"/>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：许昌市建设工程质量监督站</w:t>
            </w:r>
          </w:p>
        </w:tc>
        <w:tc>
          <w:tcPr>
            <w:tcW w:w="2700" w:type="dxa"/>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25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3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02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22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24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27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22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402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2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24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402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2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24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25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25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670.86</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670.86</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100.10</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100.10</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94.65</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94.65</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33.80</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33.80</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60.86</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60.86</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5.45</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5.45</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5.45</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5.45</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25.42</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25.42</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25.42</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25.42</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25.42</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25.42</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542.04</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542.04</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21206</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建设市场管理与监督</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542.04</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542.04</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2120601</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建设市场管理与监督</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542.04</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542.04</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639" w:type="dxa"/>
            <w:gridSpan w:val="5"/>
            <w:tcBorders>
              <w:top w:val="single" w:color="auto" w:sz="4" w:space="0"/>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4"/>
        <w:gridCol w:w="3345"/>
        <w:gridCol w:w="945"/>
        <w:gridCol w:w="825"/>
        <w:gridCol w:w="2295"/>
        <w:gridCol w:w="1065"/>
        <w:gridCol w:w="870"/>
        <w:gridCol w:w="2865"/>
        <w:gridCol w:w="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w:t>
            </w:r>
            <w:r>
              <w:rPr>
                <w:rFonts w:hint="eastAsia" w:ascii="宋体" w:hAnsi="宋体" w:cs="宋体"/>
                <w:i w:val="0"/>
                <w:iCs w:val="0"/>
                <w:color w:val="auto"/>
                <w:kern w:val="0"/>
                <w:sz w:val="30"/>
                <w:szCs w:val="30"/>
                <w:highlight w:val="none"/>
                <w:u w:val="none"/>
                <w:lang w:val="en-US" w:eastAsia="zh-CN" w:bidi="ar"/>
              </w:rPr>
              <w:t>明细</w:t>
            </w:r>
            <w:r>
              <w:rPr>
                <w:rFonts w:hint="eastAsia" w:ascii="宋体" w:hAnsi="宋体" w:eastAsia="宋体" w:cs="宋体"/>
                <w:i w:val="0"/>
                <w:iCs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081"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w:t>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081" w:type="dxa"/>
            <w:gridSpan w:val="9"/>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：许昌市建设工程质量监督站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6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8917"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334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94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8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2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8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99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334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22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28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591.64</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38.01</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87.81</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4.43</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191.62</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32.51</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0.96</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90.79</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机关事业单位基本养老保险缴费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60.86</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10.14</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0.44</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25.42</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信息网络及软件购置更新</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5.39</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0.55</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86.75</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因公出国（境）费用</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0.14</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41.21</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5.57</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33.80</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5.45</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3.24</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9.00</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4.66</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对民间非营利组织和群众性自治组织补贴</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公务用车运行维护费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0.28</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0.32</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其他商品和服务支出</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0.05</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1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632.85</w:t>
            </w:r>
          </w:p>
        </w:tc>
        <w:tc>
          <w:tcPr>
            <w:tcW w:w="7920"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81" w:type="dxa"/>
            <w:gridSpan w:val="9"/>
            <w:tcBorders>
              <w:top w:val="single" w:color="auto" w:sz="4" w:space="0"/>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6"/>
        <w:gridCol w:w="1096"/>
        <w:gridCol w:w="902"/>
        <w:gridCol w:w="1110"/>
        <w:gridCol w:w="1152"/>
        <w:gridCol w:w="972"/>
        <w:gridCol w:w="1096"/>
        <w:gridCol w:w="1096"/>
        <w:gridCol w:w="1096"/>
        <w:gridCol w:w="1188"/>
        <w:gridCol w:w="122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646"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030" w:type="dxa"/>
            <w:gridSpan w:val="11"/>
            <w:tcBorders>
              <w:top w:val="nil"/>
              <w:left w:val="nil"/>
              <w:bottom w:val="nil"/>
              <w:right w:val="nil"/>
            </w:tcBorders>
            <w:noWrap/>
            <w:vAlign w:val="bottom"/>
          </w:tcPr>
          <w:p>
            <w:pPr>
              <w:jc w:val="center"/>
              <w:rPr>
                <w:rFonts w:hint="eastAsia" w:ascii="Arial" w:hAnsi="Arial" w:cs="Arial"/>
                <w:i w:val="0"/>
                <w:iCs w:val="0"/>
                <w:color w:val="auto"/>
                <w:sz w:val="20"/>
                <w:szCs w:val="20"/>
                <w:highlight w:val="none"/>
                <w:u w:val="none"/>
              </w:rPr>
            </w:pPr>
          </w:p>
        </w:tc>
        <w:tc>
          <w:tcPr>
            <w:tcW w:w="161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804" w:type="dxa"/>
            <w:gridSpan w:val="10"/>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：许昌市建设工程质量监督站</w:t>
            </w:r>
          </w:p>
        </w:tc>
        <w:tc>
          <w:tcPr>
            <w:tcW w:w="1226" w:type="dxa"/>
            <w:tcBorders>
              <w:top w:val="nil"/>
              <w:left w:val="nil"/>
              <w:bottom w:val="single" w:color="auto" w:sz="4" w:space="0"/>
              <w:right w:val="nil"/>
            </w:tcBorders>
            <w:noWrap/>
            <w:vAlign w:val="bottom"/>
          </w:tcPr>
          <w:p>
            <w:pPr>
              <w:rPr>
                <w:rFonts w:hint="default" w:ascii="Arial" w:hAnsi="Arial" w:cs="Arial"/>
                <w:i w:val="0"/>
                <w:iCs w:val="0"/>
                <w:color w:val="auto"/>
                <w:sz w:val="20"/>
                <w:szCs w:val="20"/>
                <w:highlight w:val="none"/>
                <w:u w:val="none"/>
              </w:rPr>
            </w:pPr>
          </w:p>
        </w:tc>
        <w:tc>
          <w:tcPr>
            <w:tcW w:w="1616" w:type="dxa"/>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328"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7318"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09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16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97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109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09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51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61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9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09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97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09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09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61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6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10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auto"/>
                <w:sz w:val="22"/>
                <w:szCs w:val="22"/>
                <w:highlight w:val="none"/>
                <w:u w:val="none"/>
              </w:rPr>
            </w:pPr>
          </w:p>
        </w:tc>
        <w:tc>
          <w:tcPr>
            <w:tcW w:w="90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11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auto"/>
                <w:sz w:val="22"/>
                <w:szCs w:val="22"/>
                <w:highlight w:val="none"/>
                <w:u w:val="none"/>
              </w:rPr>
            </w:pPr>
          </w:p>
        </w:tc>
        <w:tc>
          <w:tcPr>
            <w:tcW w:w="11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9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auto"/>
                <w:sz w:val="22"/>
                <w:szCs w:val="22"/>
                <w:highlight w:val="none"/>
                <w:u w:val="none"/>
              </w:rPr>
            </w:pPr>
          </w:p>
        </w:tc>
        <w:tc>
          <w:tcPr>
            <w:tcW w:w="10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10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auto"/>
                <w:sz w:val="22"/>
                <w:szCs w:val="22"/>
                <w:highlight w:val="none"/>
                <w:u w:val="none"/>
              </w:rPr>
            </w:pPr>
          </w:p>
        </w:tc>
        <w:tc>
          <w:tcPr>
            <w:tcW w:w="10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11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auto"/>
                <w:sz w:val="22"/>
                <w:szCs w:val="22"/>
                <w:highlight w:val="none"/>
                <w:u w:val="none"/>
              </w:rPr>
            </w:pPr>
          </w:p>
        </w:tc>
        <w:tc>
          <w:tcPr>
            <w:tcW w:w="12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16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3646" w:type="dxa"/>
            <w:gridSpan w:val="12"/>
            <w:tcBorders>
              <w:top w:val="single" w:color="auto" w:sz="4"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25"/>
        <w:gridCol w:w="1193"/>
        <w:gridCol w:w="912"/>
        <w:gridCol w:w="1055"/>
        <w:gridCol w:w="1305"/>
        <w:gridCol w:w="975"/>
        <w:gridCol w:w="1905"/>
        <w:gridCol w:w="2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70" w:type="dxa"/>
            <w:gridSpan w:val="7"/>
            <w:tcBorders>
              <w:top w:val="nil"/>
              <w:left w:val="nil"/>
              <w:bottom w:val="nil"/>
              <w:right w:val="nil"/>
            </w:tcBorders>
            <w:noWrap/>
            <w:vAlign w:val="bottom"/>
          </w:tcPr>
          <w:p>
            <w:pPr>
              <w:jc w:val="center"/>
              <w:rPr>
                <w:rFonts w:hint="eastAsia" w:ascii="Arial" w:hAnsi="Arial" w:cs="Arial"/>
                <w:i w:val="0"/>
                <w:iCs w:val="0"/>
                <w:color w:val="auto"/>
                <w:sz w:val="20"/>
                <w:szCs w:val="20"/>
                <w:highlight w:val="none"/>
                <w:u w:val="none"/>
              </w:rPr>
            </w:pPr>
          </w:p>
        </w:tc>
        <w:tc>
          <w:tcPr>
            <w:tcW w:w="2511"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70" w:type="dxa"/>
            <w:gridSpan w:val="7"/>
            <w:tcBorders>
              <w:top w:val="nil"/>
              <w:left w:val="nil"/>
              <w:bottom w:val="single" w:color="auto" w:sz="4" w:space="0"/>
              <w:right w:val="nil"/>
            </w:tcBorders>
            <w:noWrap/>
            <w:vAlign w:val="bottom"/>
          </w:tcPr>
          <w:p>
            <w:pPr>
              <w:jc w:val="left"/>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：许昌市建设工程质量监督站</w:t>
            </w:r>
          </w:p>
        </w:tc>
        <w:tc>
          <w:tcPr>
            <w:tcW w:w="2511" w:type="dxa"/>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41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91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10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251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193"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9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90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251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19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9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9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251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19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9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19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c>
          <w:tcPr>
            <w:tcW w:w="251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41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9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9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41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9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auto"/>
                <w:sz w:val="22"/>
                <w:szCs w:val="22"/>
                <w:highlight w:val="none"/>
                <w:u w:val="none"/>
              </w:rPr>
            </w:pPr>
          </w:p>
        </w:tc>
        <w:tc>
          <w:tcPr>
            <w:tcW w:w="1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auto"/>
                <w:sz w:val="22"/>
                <w:szCs w:val="22"/>
                <w:highlight w:val="none"/>
                <w:u w:val="none"/>
              </w:rPr>
            </w:pP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auto"/>
                <w:sz w:val="22"/>
                <w:szCs w:val="22"/>
                <w:highlight w:val="none"/>
                <w:u w:val="none"/>
              </w:rPr>
            </w:pPr>
          </w:p>
        </w:tc>
        <w:tc>
          <w:tcPr>
            <w:tcW w:w="9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auto"/>
                <w:sz w:val="22"/>
                <w:szCs w:val="22"/>
                <w:highlight w:val="none"/>
                <w:u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auto"/>
                <w:sz w:val="22"/>
                <w:szCs w:val="22"/>
                <w:highlight w:val="none"/>
                <w:u w:val="none"/>
              </w:rPr>
            </w:pPr>
          </w:p>
        </w:tc>
        <w:tc>
          <w:tcPr>
            <w:tcW w:w="2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119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9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2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119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9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2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119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9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2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119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9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2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119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9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2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119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auto"/>
                <w:sz w:val="22"/>
                <w:szCs w:val="22"/>
                <w:highlight w:val="none"/>
                <w:u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9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c>
          <w:tcPr>
            <w:tcW w:w="2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81" w:type="dxa"/>
            <w:gridSpan w:val="8"/>
            <w:tcBorders>
              <w:top w:val="single" w:color="auto" w:sz="4" w:space="0"/>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keepNext w:val="0"/>
        <w:keepLines w:val="0"/>
        <w:pageBreakBefore w:val="0"/>
        <w:kinsoku/>
        <w:wordWrap/>
        <w:overflowPunct/>
        <w:topLinePunct w:val="0"/>
        <w:autoSpaceDE/>
        <w:autoSpaceDN/>
        <w:bidi w:val="0"/>
        <w:adjustRightInd/>
        <w:snapToGrid w:val="0"/>
        <w:spacing w:line="360" w:lineRule="auto"/>
        <w:jc w:val="left"/>
        <w:rPr>
          <w:rFonts w:hint="eastAsia" w:ascii="宋体" w:hAnsi="宋体" w:eastAsia="宋体" w:cs="宋体"/>
          <w:i w:val="0"/>
          <w:iCs w:val="0"/>
          <w:color w:val="auto"/>
          <w:kern w:val="0"/>
          <w:sz w:val="30"/>
          <w:szCs w:val="30"/>
          <w:highlight w:val="none"/>
          <w:u w:val="none"/>
          <w:lang w:val="en-US" w:eastAsia="zh-CN" w:bidi="ar"/>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0"/>
          <w:szCs w:val="30"/>
          <w:highlight w:val="none"/>
        </w:rPr>
        <w:t>说明：我</w:t>
      </w:r>
      <w:r>
        <w:rPr>
          <w:rFonts w:hint="eastAsia" w:ascii="仿宋_GB2312" w:hAnsi="仿宋_GB2312" w:eastAsia="仿宋_GB2312" w:cs="仿宋_GB2312"/>
          <w:color w:val="auto"/>
          <w:sz w:val="30"/>
          <w:szCs w:val="30"/>
          <w:highlight w:val="none"/>
          <w:lang w:eastAsia="zh-CN"/>
        </w:rPr>
        <w:t>单位</w:t>
      </w:r>
      <w:r>
        <w:rPr>
          <w:rFonts w:hint="eastAsia" w:ascii="仿宋_GB2312" w:hAnsi="仿宋_GB2312" w:eastAsia="仿宋_GB2312" w:cs="仿宋_GB2312"/>
          <w:color w:val="auto"/>
          <w:sz w:val="30"/>
          <w:szCs w:val="30"/>
          <w:highlight w:val="none"/>
        </w:rPr>
        <w:t>没有政府性基金收入，也没有使用政府性基金安排的支出，故本表无数据。</w:t>
      </w: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ind w:left="2880" w:hanging="2880" w:hangingChars="600"/>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60" w:lineRule="exact"/>
        <w:ind w:firstLine="640" w:firstLineChars="200"/>
        <w:rPr>
          <w:rFonts w:ascii="楷体" w:hAnsi="楷体" w:eastAsia="楷体" w:cs="楷体"/>
          <w:b/>
          <w:bCs/>
          <w:color w:val="auto"/>
          <w:kern w:val="0"/>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年度收、支总计均为670.86万元。与上年度相比，收、支总计各减少105.37万元，下降13.57%。主要原因是在职人员调离1人，退休人员去世1人，人员经费减少。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60" w:lineRule="exact"/>
        <w:ind w:firstLine="640" w:firstLineChars="200"/>
        <w:rPr>
          <w:rFonts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年度收入合计564.67万元，其中：财政拨款收入564.67万元，占100.00%；上级补助收入0.00万元，占0.00%；事业收入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万元，占0.00%；经营收入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万元，占0.00%；附属单位上缴收入0.00万元，占0.00%；其他收入0.00万元，占0.00%。</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60" w:lineRule="exact"/>
        <w:ind w:firstLine="640" w:firstLineChars="200"/>
        <w:rPr>
          <w:rFonts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年度支出合计670.86万元，其中：基本支出670.86万元，占100.00%；项目支出0.00万元，占0.00%；上缴上级支出0.00万元，占0.00%；经营支出0.00万元，占0.00%；对附属单位补助支出0.00万元，占0.00%。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60" w:lineRule="exact"/>
        <w:ind w:firstLine="640" w:firstLineChars="200"/>
        <w:rPr>
          <w:rFonts w:ascii="楷体" w:hAnsi="楷体" w:eastAsia="楷体" w:cs="楷体"/>
          <w:b/>
          <w:bCs/>
          <w:color w:val="auto"/>
          <w:kern w:val="0"/>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年度财政拨款收、支总计均为670.86万元。与上年度相比，财政拨款收、支总计各减少105.37万元，下降13.57%。主要原因是在职人员调离1人，退休人员去世1人，人员经费减少。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2021年度一般公共预算财政拨款支出670.86万元，占支出合计的100.00%。与上年度相比，一般公共预算财政拨款支出增加21.09万元，增长3.25%。主要原因是人员工资及养老基数调整。</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60" w:lineRule="exact"/>
        <w:ind w:firstLine="640" w:firstLineChars="200"/>
        <w:rPr>
          <w:rFonts w:ascii="楷体" w:hAnsi="楷体" w:eastAsia="楷体" w:cs="楷体"/>
          <w:b/>
          <w:bCs/>
          <w:color w:val="auto"/>
          <w:kern w:val="0"/>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年度一般公共预算财政拨款支出670.86万元，主要用于以下方面：一般公共服务（类）支出3.30万元，占0.49%；社会保障和就业（类）支出100.10万元，占14.92%；卫生健康（类) 支出25.42万元，占3.79%；城乡社区（类）支出542.04万元，80.80%。</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6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年度一般公共预算财政拨款支出年初预算为647.07万元，支出决算为670.86万元，完成年初预算的103.68%。其中：</w:t>
      </w:r>
    </w:p>
    <w:p>
      <w:pPr>
        <w:widowControl/>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1．一般公共服务支出（类）群众团体事务（款）工会事务（项）。</w:t>
      </w:r>
      <w:r>
        <w:rPr>
          <w:rFonts w:hint="eastAsia" w:ascii="仿宋_GB2312" w:hAnsi="仿宋_GB2312" w:eastAsia="仿宋_GB2312" w:cs="仿宋_GB2312"/>
          <w:color w:val="auto"/>
          <w:sz w:val="32"/>
          <w:szCs w:val="32"/>
          <w:highlight w:val="none"/>
        </w:rPr>
        <w:t>年初预算为3.30万元，支出决算为3.30万元，完成年初预算的100.00%。决算数与年初预算无差异。</w:t>
      </w:r>
    </w:p>
    <w:p>
      <w:pPr>
        <w:widowControl/>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2．社会保障和就业支出（类）行政事业单位养老支出（款）事业单位离退休（项）。</w:t>
      </w:r>
      <w:r>
        <w:rPr>
          <w:rFonts w:hint="eastAsia" w:ascii="仿宋_GB2312" w:hAnsi="仿宋_GB2312" w:eastAsia="仿宋_GB2312" w:cs="仿宋_GB2312"/>
          <w:color w:val="auto"/>
          <w:sz w:val="32"/>
          <w:szCs w:val="32"/>
          <w:highlight w:val="none"/>
        </w:rPr>
        <w:t>年初预算为29.59万元，支出决算为</w:t>
      </w:r>
      <w:r>
        <w:rPr>
          <w:rFonts w:hint="eastAsia" w:ascii="仿宋_GB2312" w:hAnsi="仿宋_GB2312" w:eastAsia="仿宋_GB2312" w:cs="仿宋_GB2312"/>
          <w:color w:val="auto"/>
          <w:sz w:val="32"/>
          <w:szCs w:val="32"/>
          <w:highlight w:val="none"/>
          <w:lang w:val="en-US" w:eastAsia="zh-CN"/>
        </w:rPr>
        <w:t>32.09</w:t>
      </w:r>
      <w:r>
        <w:rPr>
          <w:rFonts w:hint="eastAsia" w:ascii="仿宋_GB2312" w:hAnsi="仿宋_GB2312" w:eastAsia="仿宋_GB2312" w:cs="仿宋_GB2312"/>
          <w:color w:val="auto"/>
          <w:sz w:val="32"/>
          <w:szCs w:val="32"/>
          <w:highlight w:val="none"/>
        </w:rPr>
        <w:t>万元，完成年初预算的1</w:t>
      </w:r>
      <w:r>
        <w:rPr>
          <w:rFonts w:hint="eastAsia" w:ascii="仿宋_GB2312" w:hAnsi="仿宋_GB2312" w:eastAsia="仿宋_GB2312" w:cs="仿宋_GB2312"/>
          <w:color w:val="auto"/>
          <w:sz w:val="32"/>
          <w:szCs w:val="32"/>
          <w:highlight w:val="none"/>
          <w:lang w:val="en-US" w:eastAsia="zh-CN"/>
        </w:rPr>
        <w:t>08.45</w:t>
      </w:r>
      <w:r>
        <w:rPr>
          <w:rFonts w:hint="eastAsia" w:ascii="仿宋_GB2312" w:hAnsi="仿宋_GB2312" w:eastAsia="仿宋_GB2312" w:cs="仿宋_GB2312"/>
          <w:color w:val="auto"/>
          <w:sz w:val="32"/>
          <w:szCs w:val="32"/>
          <w:highlight w:val="none"/>
        </w:rPr>
        <w:t>%。决算数与年初预算数存在差异的主要原因是根据单位实际情况，统筹使用上年结转资金。</w:t>
      </w:r>
    </w:p>
    <w:p>
      <w:pPr>
        <w:widowControl/>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rPr>
        <w:t>年初预算为40.25万元，支出决算为</w:t>
      </w:r>
      <w:r>
        <w:rPr>
          <w:rFonts w:hint="eastAsia" w:ascii="仿宋_GB2312" w:hAnsi="仿宋_GB2312" w:eastAsia="仿宋_GB2312" w:cs="仿宋_GB2312"/>
          <w:color w:val="auto"/>
          <w:sz w:val="32"/>
          <w:szCs w:val="32"/>
          <w:highlight w:val="none"/>
          <w:lang w:val="en-US" w:eastAsia="zh-CN"/>
        </w:rPr>
        <w:t>49.98</w:t>
      </w:r>
      <w:r>
        <w:rPr>
          <w:rFonts w:hint="eastAsia" w:ascii="仿宋_GB2312" w:hAnsi="仿宋_GB2312" w:eastAsia="仿宋_GB2312" w:cs="仿宋_GB2312"/>
          <w:color w:val="auto"/>
          <w:sz w:val="32"/>
          <w:szCs w:val="32"/>
          <w:highlight w:val="none"/>
        </w:rPr>
        <w:t>万元，完成年初预算的1</w:t>
      </w:r>
      <w:r>
        <w:rPr>
          <w:rFonts w:hint="eastAsia" w:ascii="仿宋_GB2312" w:hAnsi="仿宋_GB2312" w:eastAsia="仿宋_GB2312" w:cs="仿宋_GB2312"/>
          <w:color w:val="auto"/>
          <w:sz w:val="32"/>
          <w:szCs w:val="32"/>
          <w:highlight w:val="none"/>
          <w:lang w:val="en-US" w:eastAsia="zh-CN"/>
        </w:rPr>
        <w:t>24.17</w:t>
      </w:r>
      <w:r>
        <w:rPr>
          <w:rFonts w:hint="eastAsia" w:ascii="仿宋_GB2312" w:hAnsi="仿宋_GB2312" w:eastAsia="仿宋_GB2312" w:cs="仿宋_GB2312"/>
          <w:color w:val="auto"/>
          <w:sz w:val="32"/>
          <w:szCs w:val="32"/>
          <w:highlight w:val="none"/>
        </w:rPr>
        <w:t>%。决算数与年初预算数存在差异的主要原因是养老基数调整。</w:t>
      </w:r>
    </w:p>
    <w:p>
      <w:pPr>
        <w:widowControl/>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4.社会保障和就业支出（类）抚恤（款）死亡抚恤（项）。</w:t>
      </w:r>
      <w:r>
        <w:rPr>
          <w:rFonts w:hint="eastAsia" w:ascii="仿宋_GB2312" w:hAnsi="仿宋_GB2312" w:eastAsia="仿宋_GB2312" w:cs="仿宋_GB2312"/>
          <w:color w:val="auto"/>
          <w:sz w:val="32"/>
          <w:szCs w:val="32"/>
          <w:highlight w:val="none"/>
        </w:rPr>
        <w:t>年初预算为0.00万元，支出决算为5.45万元。决算数与年初预算数存在差异的原因当年退休去世1人，年中追加预算。</w:t>
      </w:r>
    </w:p>
    <w:p>
      <w:pPr>
        <w:widowControl/>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5.卫生健康支出（类）行政事业单位医疗（款）事业单位医疗（项）。</w:t>
      </w:r>
      <w:r>
        <w:rPr>
          <w:rFonts w:hint="eastAsia" w:ascii="仿宋_GB2312" w:hAnsi="仿宋_GB2312" w:eastAsia="仿宋_GB2312" w:cs="仿宋_GB2312"/>
          <w:color w:val="auto"/>
          <w:sz w:val="32"/>
          <w:szCs w:val="32"/>
          <w:highlight w:val="none"/>
        </w:rPr>
        <w:t>年初预算为18.93万元，支出决算为</w:t>
      </w:r>
      <w:r>
        <w:rPr>
          <w:rFonts w:hint="eastAsia" w:ascii="仿宋_GB2312" w:hAnsi="仿宋_GB2312" w:eastAsia="仿宋_GB2312" w:cs="仿宋_GB2312"/>
          <w:color w:val="auto"/>
          <w:sz w:val="32"/>
          <w:szCs w:val="32"/>
          <w:highlight w:val="none"/>
          <w:lang w:val="en-US" w:eastAsia="zh-CN"/>
        </w:rPr>
        <w:t>20.65</w:t>
      </w:r>
      <w:r>
        <w:rPr>
          <w:rFonts w:hint="eastAsia" w:ascii="仿宋_GB2312" w:hAnsi="仿宋_GB2312" w:eastAsia="仿宋_GB2312" w:cs="仿宋_GB2312"/>
          <w:color w:val="auto"/>
          <w:sz w:val="32"/>
          <w:szCs w:val="32"/>
          <w:highlight w:val="none"/>
        </w:rPr>
        <w:t>万元，完成年初预算的1</w:t>
      </w:r>
      <w:r>
        <w:rPr>
          <w:rFonts w:hint="eastAsia" w:ascii="仿宋_GB2312" w:hAnsi="仿宋_GB2312" w:eastAsia="仿宋_GB2312" w:cs="仿宋_GB2312"/>
          <w:color w:val="auto"/>
          <w:sz w:val="32"/>
          <w:szCs w:val="32"/>
          <w:highlight w:val="none"/>
          <w:lang w:val="en-US" w:eastAsia="zh-CN"/>
        </w:rPr>
        <w:t>09.09</w:t>
      </w:r>
      <w:r>
        <w:rPr>
          <w:rFonts w:hint="eastAsia" w:ascii="仿宋_GB2312" w:hAnsi="仿宋_GB2312" w:eastAsia="仿宋_GB2312" w:cs="仿宋_GB2312"/>
          <w:color w:val="auto"/>
          <w:sz w:val="32"/>
          <w:szCs w:val="32"/>
          <w:highlight w:val="none"/>
        </w:rPr>
        <w:t>%。决算数与年初预算数存在差异的主要原因是医疗基数调整。</w:t>
      </w:r>
    </w:p>
    <w:p>
      <w:pPr>
        <w:widowControl/>
        <w:spacing w:line="560" w:lineRule="exact"/>
        <w:ind w:firstLine="643" w:firstLineChars="200"/>
        <w:rPr>
          <w:rFonts w:ascii="楷体" w:hAnsi="楷体" w:eastAsia="楷体" w:cs="楷体"/>
          <w:b/>
          <w:bCs/>
          <w:color w:val="auto"/>
          <w:sz w:val="32"/>
          <w:szCs w:val="32"/>
          <w:highlight w:val="none"/>
        </w:rPr>
      </w:pPr>
      <w:r>
        <w:rPr>
          <w:rFonts w:hint="eastAsia" w:ascii="仿宋_GB2312" w:hAnsi="仿宋_GB2312" w:eastAsia="仿宋_GB2312" w:cs="仿宋_GB2312"/>
          <w:b/>
          <w:bCs/>
          <w:color w:val="auto"/>
          <w:sz w:val="32"/>
          <w:szCs w:val="32"/>
          <w:highlight w:val="none"/>
        </w:rPr>
        <w:t>6.城乡社区支出（类）建设市场管理与监督（款）建设市场管理与监督（项）。</w:t>
      </w:r>
      <w:r>
        <w:rPr>
          <w:rFonts w:hint="eastAsia" w:ascii="仿宋_GB2312" w:hAnsi="仿宋_GB2312" w:eastAsia="仿宋_GB2312" w:cs="仿宋_GB2312"/>
          <w:color w:val="auto"/>
          <w:sz w:val="32"/>
          <w:szCs w:val="32"/>
          <w:highlight w:val="none"/>
        </w:rPr>
        <w:t>年初预算为555.00万元，支出决算为</w:t>
      </w:r>
      <w:r>
        <w:rPr>
          <w:rFonts w:hint="eastAsia" w:ascii="仿宋_GB2312" w:hAnsi="仿宋_GB2312" w:eastAsia="仿宋_GB2312" w:cs="仿宋_GB2312"/>
          <w:color w:val="auto"/>
          <w:sz w:val="32"/>
          <w:szCs w:val="32"/>
          <w:highlight w:val="none"/>
          <w:lang w:val="en-US" w:eastAsia="zh-CN"/>
        </w:rPr>
        <w:t>453.19</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81.66</w:t>
      </w:r>
      <w:r>
        <w:rPr>
          <w:rFonts w:hint="eastAsia" w:ascii="仿宋_GB2312" w:hAnsi="仿宋_GB2312" w:eastAsia="仿宋_GB2312" w:cs="仿宋_GB2312"/>
          <w:color w:val="auto"/>
          <w:sz w:val="32"/>
          <w:szCs w:val="32"/>
          <w:highlight w:val="none"/>
        </w:rPr>
        <w:t>%。决算数与年初预算数存在差异的主要原因是在职人员调离1人。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6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670.86万元。其中：人员经费632.85万元，主要包括：基本工资、津贴补贴、绩效工资、机关事业单位基本养老保险缴费、职业年金缴费、其他社会保障缴费、退休费、抚恤金、生活补助、住房公积金、其他对个人和家庭的补助支出等；公用经费38.01万元，主要包括：办公费、印刷费、咨询费、邮电费、差旅费、维修（护）费、会议费、培训费、劳务费、委托业务费、工会经费、福利费、公务用车运行维护费、其他交通费用、其他商品和服务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6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年度“三公”经费财政拨款支出预算为3.00万元，支出决算为3.00万元，完成预算的100.00%。</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年度“三公”经费支出决算数与预算数不存在差异。</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60" w:lineRule="exact"/>
        <w:ind w:firstLine="640" w:firstLineChars="200"/>
        <w:rPr>
          <w:rFonts w:ascii="仿宋_GB2312" w:hAnsi="仿宋_GB2312" w:eastAsia="仿宋_GB2312" w:cs="仿宋_GB2312"/>
          <w:b/>
          <w:bCs/>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年度“三公”经费财政拨款支出决算中，因公出国（境）费支出决算0.00万元，占0.00%；公务用车购置及运行费支出决算3.00万元，完成预算的100.00%，占100.00%；公务接待费支出决算0.00万元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占0.00%。具体情况如下：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预算为0.00万元，支出决算为0.00万元。决算数与预算数不存在差异。</w:t>
      </w:r>
      <w:r>
        <w:rPr>
          <w:rFonts w:hint="eastAsia" w:ascii="仿宋_GB2312" w:hAnsi="仿宋_GB2312" w:eastAsia="仿宋_GB2312" w:cs="仿宋_GB2312"/>
          <w:color w:val="auto"/>
          <w:sz w:val="32"/>
          <w:szCs w:val="32"/>
          <w:highlight w:val="none"/>
          <w:lang w:eastAsia="zh-CN"/>
        </w:rPr>
        <w:t>全年因公出国（境）团组</w:t>
      </w:r>
      <w:r>
        <w:rPr>
          <w:rFonts w:hint="eastAsia" w:ascii="仿宋_GB2312" w:hAnsi="仿宋_GB2312" w:eastAsia="仿宋_GB2312" w:cs="仿宋_GB2312"/>
          <w:color w:val="auto"/>
          <w:sz w:val="32"/>
          <w:szCs w:val="32"/>
          <w:highlight w:val="none"/>
          <w:lang w:val="en-US" w:eastAsia="zh-CN"/>
        </w:rPr>
        <w:t>0个，累计0人次。</w:t>
      </w:r>
    </w:p>
    <w:p>
      <w:pPr>
        <w:widowControl/>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预算为3.00万元，支出决算为3.00万元，完成预算的100.00%。决算数与预算数不存在差异。</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其中：</w:t>
      </w:r>
    </w:p>
    <w:p>
      <w:pPr>
        <w:widowControl/>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为0.00万元，购置车辆0台。</w:t>
      </w:r>
    </w:p>
    <w:p>
      <w:pPr>
        <w:widowControl/>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rPr>
        <w:t>3.00万元。主要用于车辆运行、维修维护、车辆保险。</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年期末，单位开支财政拨款的公务用车保有量为3辆。</w:t>
      </w:r>
    </w:p>
    <w:p>
      <w:pPr>
        <w:widowControl/>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预算为0.00万元，支出决算为0.00万元。决算数与预算数不存在差异。其中：</w:t>
      </w:r>
    </w:p>
    <w:p>
      <w:pPr>
        <w:widowControl/>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rPr>
        <w:t>0.00万元。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年共接待国（境）外来访团组0个、来访外宾0人次（不包括陪同人员）。</w:t>
      </w:r>
    </w:p>
    <w:p>
      <w:pPr>
        <w:widowControl/>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rPr>
        <w:t>0.00万元。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年共接待国内来访团组0个、来宾0人次（不包括陪同人员）。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60" w:lineRule="exact"/>
        <w:ind w:firstLine="640" w:firstLineChars="200"/>
        <w:rPr>
          <w:rFonts w:ascii="黑体" w:hAnsi="黑体" w:eastAsia="黑体" w:cs="仿宋_GB2312"/>
          <w:b/>
          <w:bCs/>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年度政府性基金预算财政拨款支出预算为0.00万元，支出决算为0.00万元。</w:t>
      </w:r>
      <w:r>
        <w:rPr>
          <w:rFonts w:hint="eastAsia" w:ascii="仿宋_GB2312" w:hAnsi="仿宋_GB2312" w:eastAsia="仿宋_GB2312" w:cs="仿宋_GB2312"/>
          <w:color w:val="auto"/>
          <w:sz w:val="32"/>
          <w:szCs w:val="32"/>
          <w:highlight w:val="none"/>
          <w:lang w:eastAsia="zh-CN"/>
        </w:rPr>
        <w:t>不存在项目年末结转和结余资金数额较大。情况说明：</w:t>
      </w:r>
      <w:r>
        <w:rPr>
          <w:rFonts w:hint="eastAsia" w:ascii="仿宋_GB2312" w:hAnsi="仿宋_GB2312" w:eastAsia="仿宋_GB2312" w:cs="仿宋_GB2312"/>
          <w:color w:val="auto"/>
          <w:sz w:val="32"/>
          <w:szCs w:val="32"/>
          <w:highlight w:val="none"/>
        </w:rPr>
        <w:t>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60" w:lineRule="exact"/>
        <w:ind w:firstLine="640" w:firstLineChars="200"/>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我单位不是行政机关，也不是参照公务员管理事业单位，没有机关运行经费支出</w:t>
      </w:r>
      <w:r>
        <w:rPr>
          <w:rFonts w:hint="eastAsia" w:ascii="仿宋_GB2312" w:hAnsi="仿宋_GB2312" w:eastAsia="仿宋_GB2312" w:cs="仿宋_GB2312"/>
          <w:bCs/>
          <w:color w:val="auto"/>
          <w:sz w:val="32"/>
          <w:szCs w:val="32"/>
          <w:highlight w:val="none"/>
          <w:lang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6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年度政府采购支出总额0.00万元，其中：政府采购货物支出0.00万元、政府采购工程支出0.00万元、政府采购服务支出0.00万元。授予中小企业合同金额0.00万元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其中：授予小微企业合同金额0.00万元。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60" w:lineRule="exact"/>
        <w:ind w:firstLine="640" w:firstLineChars="200"/>
        <w:rPr>
          <w:rFonts w:ascii="楷体_GB2312" w:hAnsi="楷体_GB2312" w:eastAsia="楷体_GB2312" w:cs="楷体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3辆，其中：省级领导干部用车0辆、主要领导干部用车0辆、机要通信用车0辆、应急保障车0辆、执法执勤用车0辆、特种专业技术用车0辆、离退休干部用车0辆、其他用车3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482" w:firstLineChars="15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tabs>
          <w:tab w:val="left" w:pos="640"/>
        </w:tabs>
        <w:spacing w:line="560" w:lineRule="exact"/>
        <w:ind w:firstLine="640" w:firstLineChars="200"/>
        <w:rPr>
          <w:rFonts w:ascii="楷体" w:hAnsi="楷体" w:eastAsia="楷体" w:cs="楷体"/>
          <w:color w:val="auto"/>
          <w:sz w:val="32"/>
          <w:szCs w:val="32"/>
          <w:highlight w:val="none"/>
        </w:rPr>
      </w:pPr>
      <w:r>
        <w:rPr>
          <w:rFonts w:hint="eastAsia" w:ascii="仿宋_GB2312" w:hAnsi="仿宋_GB2312" w:eastAsia="仿宋_GB2312" w:cs="仿宋_GB2312"/>
          <w:color w:val="auto"/>
          <w:sz w:val="32"/>
          <w:szCs w:val="32"/>
          <w:highlight w:val="none"/>
        </w:rPr>
        <w:t>我单位按照《中共许昌市委 许昌市人民政府关于全面实施预算绩效管理的实施意见》（许发〔2021〕13号）文件要求，对本单位整体支出和项目支出开展全过程预算绩效管理。2021年度我单位按照财政部门的要求，采取事前申报绩效目标和指标、事中开展绩效日常监督，事后进行绩效评价的方式，建立了贯穿支出全过程绩效监管等管理模式，并将每年绩效结果运用到以后预算编制，使单位所有收支纳入预算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财政资金支出严格履行完整的审批程序和手续，资金使用符合预算批复用途合理合规，严格遵守绩效管理各项制度，圆满完成2021年度预算绩效目标。 </w:t>
      </w:r>
    </w:p>
    <w:p>
      <w:pPr>
        <w:keepNext w:val="0"/>
        <w:keepLines w:val="0"/>
        <w:pageBreakBefore w:val="0"/>
        <w:widowControl/>
        <w:kinsoku/>
        <w:wordWrap/>
        <w:overflowPunct/>
        <w:topLinePunct w:val="0"/>
        <w:autoSpaceDE/>
        <w:autoSpaceDN/>
        <w:bidi w:val="0"/>
        <w:adjustRightInd/>
        <w:snapToGrid/>
        <w:spacing w:line="360" w:lineRule="auto"/>
        <w:ind w:right="0" w:rightChars="0" w:firstLine="482" w:firstLineChars="15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tabs>
          <w:tab w:val="left" w:pos="640"/>
        </w:tabs>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按照《许昌市财政局关于开展202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年度市级预算绩效自评工作的通知》（许财效〔202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1号）等文件精神，我单位对本单位整体绩效目标和项目支出绩效目标进行了自评。一是单位整体绩效自评情况：我单位将严格履行整体绩效管理工作，以整体绩效为导向做好绩效运行监控，提升绩效整体自评质量，不断提高绩效管理水平，充分发挥财政资金使用效率。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基于项目预期目标的实现程度，对2021年度项目支出绩效进行自评。其中0个项目评价等级为“优”，0个项目评价等级为“良”,0个项目评价等级“中”，0个项目评价等级为“差”。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321" w:firstLineChars="1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spacing w:line="560" w:lineRule="exact"/>
        <w:ind w:firstLine="640" w:firstLineChars="200"/>
        <w:rPr>
          <w:rFonts w:hint="eastAsia" w:ascii="黑体" w:hAnsi="黑体" w:eastAsia="黑体" w:cs="黑体"/>
          <w:color w:val="auto"/>
          <w:sz w:val="48"/>
          <w:szCs w:val="48"/>
          <w:highlight w:val="none"/>
        </w:rPr>
      </w:pPr>
      <w:r>
        <w:rPr>
          <w:rFonts w:hint="eastAsia" w:ascii="仿宋_GB2312" w:hAnsi="仿宋_GB2312" w:eastAsia="仿宋_GB2312" w:cs="仿宋_GB2312"/>
          <w:color w:val="auto"/>
          <w:sz w:val="32"/>
          <w:szCs w:val="32"/>
          <w:highlight w:val="none"/>
        </w:rPr>
        <w:t>2021年度我单位没有开展重点绩效评价的项目。</w:t>
      </w: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color w:val="auto"/>
          <w:kern w:val="2"/>
          <w:sz w:val="32"/>
          <w:szCs w:val="32"/>
          <w:highlight w:val="none"/>
        </w:rPr>
      </w:pPr>
      <w:r>
        <w:rPr>
          <w:rFonts w:hint="default" w:ascii="仿宋_GB2312" w:hAnsi="Times New Roman" w:eastAsia="仿宋_GB2312" w:cs="仿宋_GB2312"/>
          <w:b w:val="0"/>
          <w:bCs w:val="0"/>
          <w:color w:val="auto"/>
          <w:kern w:val="2"/>
          <w:sz w:val="32"/>
          <w:szCs w:val="32"/>
          <w:highlight w:val="none"/>
          <w:lang w:val="en-US" w:eastAsia="zh-CN" w:bidi="ar"/>
        </w:rPr>
        <w:t>一、财政拨款收入：</w:t>
      </w:r>
      <w:r>
        <w:rPr>
          <w:rFonts w:hint="default" w:ascii="仿宋_GB2312" w:hAnsi="Times New Roman" w:eastAsia="仿宋_GB2312" w:cs="仿宋_GB2312"/>
          <w:color w:val="auto"/>
          <w:kern w:val="2"/>
          <w:sz w:val="32"/>
          <w:szCs w:val="32"/>
          <w:highlight w:val="none"/>
          <w:lang w:val="en-US" w:eastAsia="zh-CN" w:bidi="ar"/>
        </w:rPr>
        <w:t>单位从同级政府财政部门取得的财政预算资金。</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color w:val="auto"/>
          <w:kern w:val="2"/>
          <w:sz w:val="32"/>
          <w:szCs w:val="32"/>
          <w:highlight w:val="none"/>
        </w:rPr>
      </w:pPr>
      <w:r>
        <w:rPr>
          <w:rFonts w:hint="default" w:ascii="仿宋_GB2312" w:hAnsi="Times New Roman" w:eastAsia="仿宋_GB2312" w:cs="仿宋_GB2312"/>
          <w:color w:val="auto"/>
          <w:kern w:val="2"/>
          <w:sz w:val="32"/>
          <w:szCs w:val="32"/>
          <w:highlight w:val="none"/>
          <w:lang w:val="en-US" w:eastAsia="zh-CN" w:bidi="ar"/>
        </w:rPr>
        <w:t>二、事业收入：事业单位开展专业业务活动及其辅助活动取得的收入。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color w:val="auto"/>
          <w:kern w:val="2"/>
          <w:sz w:val="32"/>
          <w:szCs w:val="32"/>
          <w:highlight w:val="none"/>
        </w:rPr>
      </w:pPr>
      <w:r>
        <w:rPr>
          <w:rFonts w:hint="default" w:ascii="仿宋_GB2312" w:hAnsi="Times New Roman" w:eastAsia="仿宋_GB2312" w:cs="仿宋_GB2312"/>
          <w:color w:val="auto"/>
          <w:kern w:val="2"/>
          <w:sz w:val="32"/>
          <w:szCs w:val="32"/>
          <w:highlight w:val="none"/>
          <w:lang w:val="en-US" w:eastAsia="zh-CN" w:bidi="ar"/>
        </w:rPr>
        <w:t>三、上级补助收入：事业单位从主管部门和上级单位取得的非财政补助收入。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color w:val="auto"/>
          <w:kern w:val="2"/>
          <w:sz w:val="32"/>
          <w:szCs w:val="32"/>
          <w:highlight w:val="none"/>
        </w:rPr>
      </w:pPr>
      <w:r>
        <w:rPr>
          <w:rFonts w:hint="default" w:ascii="仿宋_GB2312" w:hAnsi="Times New Roman" w:eastAsia="仿宋_GB2312" w:cs="仿宋_GB2312"/>
          <w:color w:val="auto"/>
          <w:kern w:val="2"/>
          <w:sz w:val="32"/>
          <w:szCs w:val="32"/>
          <w:highlight w:val="none"/>
          <w:lang w:val="en-US" w:eastAsia="zh-CN" w:bidi="ar"/>
        </w:rPr>
        <w:t>四、附属单位上缴收入：事业单位取得附属独立核算单位根据有关规定上缴的收入。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color w:val="auto"/>
          <w:kern w:val="2"/>
          <w:sz w:val="32"/>
          <w:szCs w:val="32"/>
          <w:highlight w:val="none"/>
        </w:rPr>
      </w:pPr>
      <w:r>
        <w:rPr>
          <w:rFonts w:hint="default" w:ascii="仿宋_GB2312" w:hAnsi="Times New Roman" w:eastAsia="仿宋_GB2312" w:cs="仿宋_GB2312"/>
          <w:color w:val="auto"/>
          <w:kern w:val="2"/>
          <w:sz w:val="32"/>
          <w:szCs w:val="32"/>
          <w:highlight w:val="none"/>
          <w:lang w:val="en-US" w:eastAsia="zh-CN" w:bidi="ar"/>
        </w:rPr>
        <w:t>五、经营收入：事业单位在专业业务活动及其辅助活动之外开展非独立核算经营活动取得的收入。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color w:val="auto"/>
          <w:kern w:val="2"/>
          <w:sz w:val="32"/>
          <w:szCs w:val="32"/>
          <w:highlight w:val="none"/>
        </w:rPr>
      </w:pPr>
      <w:r>
        <w:rPr>
          <w:rFonts w:hint="default" w:ascii="仿宋_GB2312" w:hAnsi="Times New Roman" w:eastAsia="仿宋_GB2312" w:cs="仿宋_GB2312"/>
          <w:color w:val="auto"/>
          <w:kern w:val="2"/>
          <w:sz w:val="32"/>
          <w:szCs w:val="32"/>
          <w:highlight w:val="none"/>
          <w:lang w:val="en-US" w:eastAsia="zh-CN" w:bidi="ar"/>
        </w:rPr>
        <w:t>六、其他收入：单位取得的除“财政拨款收入”、“事业收入”、“上级补助收入”、“附属单位上缴收入”、“经营收入”以外的各项收入。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color w:val="auto"/>
          <w:kern w:val="2"/>
          <w:sz w:val="32"/>
          <w:szCs w:val="32"/>
          <w:highlight w:val="none"/>
        </w:rPr>
      </w:pPr>
      <w:r>
        <w:rPr>
          <w:rFonts w:hint="default" w:ascii="仿宋_GB2312" w:hAnsi="Times New Roman" w:eastAsia="仿宋_GB2312" w:cs="仿宋_GB2312"/>
          <w:color w:val="auto"/>
          <w:kern w:val="2"/>
          <w:sz w:val="32"/>
          <w:szCs w:val="32"/>
          <w:highlight w:val="none"/>
          <w:lang w:val="en-US" w:eastAsia="zh-CN" w:bidi="ar"/>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color w:val="auto"/>
          <w:kern w:val="2"/>
          <w:sz w:val="32"/>
          <w:szCs w:val="32"/>
          <w:highlight w:val="none"/>
        </w:rPr>
      </w:pPr>
      <w:r>
        <w:rPr>
          <w:rFonts w:hint="default" w:ascii="仿宋_GB2312" w:hAnsi="Times New Roman" w:eastAsia="仿宋_GB2312" w:cs="仿宋_GB2312"/>
          <w:color w:val="auto"/>
          <w:kern w:val="2"/>
          <w:sz w:val="32"/>
          <w:szCs w:val="32"/>
          <w:highlight w:val="none"/>
          <w:lang w:val="en-US" w:eastAsia="zh-CN" w:bidi="ar"/>
        </w:rPr>
        <w:t>八、基本支出：为保障机构正常运转、完成日常工作任务而发生的人员支出和公用支出。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color w:val="auto"/>
          <w:kern w:val="2"/>
          <w:sz w:val="32"/>
          <w:szCs w:val="32"/>
          <w:highlight w:val="none"/>
        </w:rPr>
      </w:pPr>
      <w:r>
        <w:rPr>
          <w:rFonts w:hint="default" w:ascii="仿宋_GB2312" w:hAnsi="Times New Roman" w:eastAsia="仿宋_GB2312" w:cs="仿宋_GB2312"/>
          <w:color w:val="auto"/>
          <w:kern w:val="2"/>
          <w:sz w:val="32"/>
          <w:szCs w:val="32"/>
          <w:highlight w:val="none"/>
          <w:lang w:val="en-US" w:eastAsia="zh-CN" w:bidi="ar"/>
        </w:rPr>
        <w:t>九、项目支出：基本支出之外为完成特定行政任务和事业发展目标所发生的支出。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color w:val="auto"/>
          <w:kern w:val="2"/>
          <w:sz w:val="32"/>
          <w:szCs w:val="32"/>
          <w:highlight w:val="none"/>
        </w:rPr>
      </w:pPr>
      <w:r>
        <w:rPr>
          <w:rFonts w:hint="default" w:ascii="仿宋_GB2312" w:hAnsi="Times New Roman" w:eastAsia="仿宋_GB2312" w:cs="仿宋_GB2312"/>
          <w:color w:val="auto"/>
          <w:kern w:val="2"/>
          <w:sz w:val="32"/>
          <w:szCs w:val="32"/>
          <w:highlight w:val="none"/>
          <w:lang w:val="en-US" w:eastAsia="zh-CN" w:bidi="ar"/>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color w:val="auto"/>
          <w:kern w:val="2"/>
          <w:sz w:val="32"/>
          <w:szCs w:val="32"/>
          <w:highlight w:val="none"/>
        </w:rPr>
      </w:pPr>
      <w:r>
        <w:rPr>
          <w:rFonts w:hint="default" w:ascii="仿宋_GB2312" w:hAnsi="Times New Roman" w:eastAsia="仿宋_GB2312" w:cs="仿宋_GB2312"/>
          <w:color w:val="auto"/>
          <w:kern w:val="2"/>
          <w:sz w:val="32"/>
          <w:szCs w:val="32"/>
          <w:highlight w:val="none"/>
          <w:lang w:val="en-US" w:eastAsia="zh-CN" w:bidi="ar"/>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color w:val="auto"/>
          <w:kern w:val="2"/>
          <w:sz w:val="32"/>
          <w:szCs w:val="32"/>
          <w:highlight w:val="none"/>
        </w:rPr>
      </w:pPr>
      <w:r>
        <w:rPr>
          <w:rFonts w:hint="default" w:ascii="仿宋_GB2312" w:hAnsi="Times New Roman" w:eastAsia="仿宋_GB2312" w:cs="仿宋_GB2312"/>
          <w:color w:val="auto"/>
          <w:kern w:val="2"/>
          <w:sz w:val="32"/>
          <w:szCs w:val="32"/>
          <w:highlight w:val="none"/>
          <w:lang w:val="en-US" w:eastAsia="zh-CN" w:bidi="ar"/>
        </w:rPr>
        <w:t>十二、工资福利支出：单位支付给在职职工和编制外长期聘用人员的各类劳动报酬，以及为上述人员缴纳的各项社会保险费等。</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color w:val="auto"/>
          <w:kern w:val="2"/>
          <w:sz w:val="32"/>
          <w:szCs w:val="32"/>
          <w:highlight w:val="none"/>
        </w:rPr>
      </w:pPr>
      <w:r>
        <w:rPr>
          <w:rFonts w:hint="default" w:ascii="仿宋_GB2312" w:hAnsi="Times New Roman" w:eastAsia="仿宋_GB2312" w:cs="仿宋_GB2312"/>
          <w:color w:val="auto"/>
          <w:kern w:val="2"/>
          <w:sz w:val="32"/>
          <w:szCs w:val="32"/>
          <w:highlight w:val="none"/>
          <w:lang w:val="en-US" w:eastAsia="zh-CN" w:bidi="ar"/>
        </w:rPr>
        <w:t>十三、商品和服务支出：单位购买商品和服务的支出。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color w:val="auto"/>
          <w:kern w:val="2"/>
          <w:sz w:val="32"/>
          <w:szCs w:val="32"/>
          <w:highlight w:val="none"/>
        </w:rPr>
      </w:pPr>
      <w:r>
        <w:rPr>
          <w:rFonts w:hint="default" w:ascii="仿宋_GB2312" w:hAnsi="Times New Roman" w:eastAsia="仿宋_GB2312" w:cs="仿宋_GB2312"/>
          <w:color w:val="auto"/>
          <w:kern w:val="2"/>
          <w:sz w:val="32"/>
          <w:szCs w:val="32"/>
          <w:highlight w:val="none"/>
          <w:lang w:val="en-US" w:eastAsia="zh-CN" w:bidi="ar"/>
        </w:rPr>
        <w:t>十四、对个人和家庭的补助支出：单位用于对个人和家庭的补助支出。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color w:val="auto"/>
          <w:kern w:val="2"/>
          <w:sz w:val="32"/>
          <w:szCs w:val="32"/>
          <w:highlight w:val="none"/>
        </w:rPr>
      </w:pPr>
      <w:r>
        <w:rPr>
          <w:rFonts w:hint="default" w:ascii="仿宋_GB2312" w:hAnsi="Times New Roman" w:eastAsia="仿宋_GB2312" w:cs="仿宋_GB2312"/>
          <w:color w:val="auto"/>
          <w:kern w:val="2"/>
          <w:sz w:val="32"/>
          <w:szCs w:val="32"/>
          <w:highlight w:val="none"/>
          <w:lang w:val="en-US" w:eastAsia="zh-CN" w:bidi="ar"/>
        </w:rPr>
        <w:t>十五、年末结转：本年度或以前年度预算安排，已执行但尚未完成或因客观条件发生变化无法按原计划实施，需延迟到以后年度按有关规定继续使用的资金。</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color w:val="auto"/>
          <w:kern w:val="2"/>
          <w:sz w:val="32"/>
          <w:szCs w:val="32"/>
          <w:highlight w:val="none"/>
        </w:rPr>
      </w:pPr>
      <w:r>
        <w:rPr>
          <w:rFonts w:hint="default" w:ascii="仿宋_GB2312" w:hAnsi="Times New Roman" w:eastAsia="仿宋_GB2312" w:cs="仿宋_GB2312"/>
          <w:color w:val="auto"/>
          <w:kern w:val="2"/>
          <w:sz w:val="32"/>
          <w:szCs w:val="32"/>
          <w:highlight w:val="none"/>
          <w:lang w:val="en-US" w:eastAsia="zh-CN" w:bidi="ar"/>
        </w:rPr>
        <w:t>十六、年末结余：本年度或以前年度预算安排，已执行完毕或因客观条件发生变化无法按原预算安排实施，不需要再使用或无法按原预算安排继续使用的资金</w:t>
      </w:r>
      <w:r>
        <w:rPr>
          <w:rFonts w:hint="default" w:ascii="仿宋_GB2312" w:eastAsia="仿宋_GB2312" w:cs="仿宋_GB2312"/>
          <w:color w:val="auto"/>
          <w:kern w:val="2"/>
          <w:sz w:val="32"/>
          <w:szCs w:val="32"/>
          <w:highlight w:val="none"/>
          <w:lang w:eastAsia="zh-CN" w:bidi="ar"/>
        </w:rPr>
        <w:t>。</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p>
    <w:bookmarkEnd w:id="0"/>
    <w:sectPr>
      <w:pgSz w:w="11906" w:h="16838"/>
      <w:pgMar w:top="1417" w:right="1474" w:bottom="1701"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 w:name="KSO_WPS_MARK_KEY" w:val="26e0e977-772f-4d37-b520-b2aa4861edb2"/>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2641"/>
    <w:rsid w:val="00A02FF4"/>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033D3"/>
    <w:rsid w:val="00F14C17"/>
    <w:rsid w:val="00F17041"/>
    <w:rsid w:val="00F218CF"/>
    <w:rsid w:val="00F44937"/>
    <w:rsid w:val="00F61A47"/>
    <w:rsid w:val="00F84422"/>
    <w:rsid w:val="00F95455"/>
    <w:rsid w:val="00FA574D"/>
    <w:rsid w:val="00FC2588"/>
    <w:rsid w:val="00FE7AD9"/>
    <w:rsid w:val="01322275"/>
    <w:rsid w:val="01DC6F05"/>
    <w:rsid w:val="01E7525B"/>
    <w:rsid w:val="028C3F41"/>
    <w:rsid w:val="02A3489A"/>
    <w:rsid w:val="02CA138D"/>
    <w:rsid w:val="033646FC"/>
    <w:rsid w:val="03C75F80"/>
    <w:rsid w:val="0478364D"/>
    <w:rsid w:val="05301B71"/>
    <w:rsid w:val="053D4C0D"/>
    <w:rsid w:val="0557532E"/>
    <w:rsid w:val="0799329C"/>
    <w:rsid w:val="08397436"/>
    <w:rsid w:val="086F16A7"/>
    <w:rsid w:val="0A0F7225"/>
    <w:rsid w:val="0A2B7D82"/>
    <w:rsid w:val="0ADC40E9"/>
    <w:rsid w:val="0AE607F4"/>
    <w:rsid w:val="0B386127"/>
    <w:rsid w:val="0B451598"/>
    <w:rsid w:val="0BEC73F4"/>
    <w:rsid w:val="0C0A5C1C"/>
    <w:rsid w:val="0C392698"/>
    <w:rsid w:val="0C7E3FEC"/>
    <w:rsid w:val="0E545297"/>
    <w:rsid w:val="1075283F"/>
    <w:rsid w:val="10BD36F6"/>
    <w:rsid w:val="11BF0649"/>
    <w:rsid w:val="123E3E08"/>
    <w:rsid w:val="133212F4"/>
    <w:rsid w:val="13D22E22"/>
    <w:rsid w:val="161C2DFF"/>
    <w:rsid w:val="16373578"/>
    <w:rsid w:val="16D3336B"/>
    <w:rsid w:val="17200028"/>
    <w:rsid w:val="17441DA1"/>
    <w:rsid w:val="17806C36"/>
    <w:rsid w:val="17A74F62"/>
    <w:rsid w:val="18A47774"/>
    <w:rsid w:val="19724628"/>
    <w:rsid w:val="1A8D28EB"/>
    <w:rsid w:val="1A9F2D78"/>
    <w:rsid w:val="1B2E6FD8"/>
    <w:rsid w:val="1B877D21"/>
    <w:rsid w:val="1BD91083"/>
    <w:rsid w:val="1C4319A9"/>
    <w:rsid w:val="1DFB9730"/>
    <w:rsid w:val="1E443B4B"/>
    <w:rsid w:val="1E8C45D9"/>
    <w:rsid w:val="1E994F4A"/>
    <w:rsid w:val="1EAF0224"/>
    <w:rsid w:val="1F2230A4"/>
    <w:rsid w:val="1FAF7185"/>
    <w:rsid w:val="20210932"/>
    <w:rsid w:val="202448E0"/>
    <w:rsid w:val="205C2F72"/>
    <w:rsid w:val="20D24C44"/>
    <w:rsid w:val="20F614FE"/>
    <w:rsid w:val="21302EEA"/>
    <w:rsid w:val="22376FB5"/>
    <w:rsid w:val="23E152D7"/>
    <w:rsid w:val="23EE2489"/>
    <w:rsid w:val="24C17CF1"/>
    <w:rsid w:val="255D43C8"/>
    <w:rsid w:val="25DD7EED"/>
    <w:rsid w:val="26714EF8"/>
    <w:rsid w:val="26876BDD"/>
    <w:rsid w:val="26D424B5"/>
    <w:rsid w:val="2714632A"/>
    <w:rsid w:val="27541E73"/>
    <w:rsid w:val="27B0539E"/>
    <w:rsid w:val="27FE8A3B"/>
    <w:rsid w:val="29365CF8"/>
    <w:rsid w:val="299469B3"/>
    <w:rsid w:val="2A805789"/>
    <w:rsid w:val="2ADC0D75"/>
    <w:rsid w:val="2B4A0E52"/>
    <w:rsid w:val="2C975890"/>
    <w:rsid w:val="2CA827A7"/>
    <w:rsid w:val="2DEF21BB"/>
    <w:rsid w:val="2E4A2F05"/>
    <w:rsid w:val="2EB79A32"/>
    <w:rsid w:val="2ECC1061"/>
    <w:rsid w:val="2F4B3782"/>
    <w:rsid w:val="2FA476AD"/>
    <w:rsid w:val="2FCE4E84"/>
    <w:rsid w:val="2FDFA4ED"/>
    <w:rsid w:val="2FED4302"/>
    <w:rsid w:val="2FEF3AFB"/>
    <w:rsid w:val="2FFF4BB4"/>
    <w:rsid w:val="303F7540"/>
    <w:rsid w:val="31AFCDBE"/>
    <w:rsid w:val="31DD00BF"/>
    <w:rsid w:val="3293174C"/>
    <w:rsid w:val="32BB38D4"/>
    <w:rsid w:val="32C9376D"/>
    <w:rsid w:val="33780472"/>
    <w:rsid w:val="33A37A3D"/>
    <w:rsid w:val="33AF0905"/>
    <w:rsid w:val="349E5F29"/>
    <w:rsid w:val="355932F4"/>
    <w:rsid w:val="35611882"/>
    <w:rsid w:val="36746FC3"/>
    <w:rsid w:val="368763AE"/>
    <w:rsid w:val="36AC716F"/>
    <w:rsid w:val="395D59E7"/>
    <w:rsid w:val="39A93932"/>
    <w:rsid w:val="3A915562"/>
    <w:rsid w:val="3ABD1AB8"/>
    <w:rsid w:val="3B8D4765"/>
    <w:rsid w:val="3BE66B02"/>
    <w:rsid w:val="3C000DBA"/>
    <w:rsid w:val="3C70279B"/>
    <w:rsid w:val="3D2F79C5"/>
    <w:rsid w:val="3DC045D3"/>
    <w:rsid w:val="3DCE6BEA"/>
    <w:rsid w:val="3DCF3811"/>
    <w:rsid w:val="3DF34622"/>
    <w:rsid w:val="3E504FFB"/>
    <w:rsid w:val="3E615CD0"/>
    <w:rsid w:val="3E7F9D79"/>
    <w:rsid w:val="3E9C47F6"/>
    <w:rsid w:val="3F8B0112"/>
    <w:rsid w:val="3FAB3095"/>
    <w:rsid w:val="3FB7DE1A"/>
    <w:rsid w:val="3FCFA17A"/>
    <w:rsid w:val="3FE45947"/>
    <w:rsid w:val="3FFDC7CE"/>
    <w:rsid w:val="40E2473B"/>
    <w:rsid w:val="41242965"/>
    <w:rsid w:val="435671EA"/>
    <w:rsid w:val="43802790"/>
    <w:rsid w:val="440809E9"/>
    <w:rsid w:val="442407A6"/>
    <w:rsid w:val="44805EA1"/>
    <w:rsid w:val="453F23D2"/>
    <w:rsid w:val="45710696"/>
    <w:rsid w:val="45CC5DB5"/>
    <w:rsid w:val="46142B1B"/>
    <w:rsid w:val="477D32CE"/>
    <w:rsid w:val="47D04EB0"/>
    <w:rsid w:val="47E60DD0"/>
    <w:rsid w:val="48735039"/>
    <w:rsid w:val="492C684B"/>
    <w:rsid w:val="49500594"/>
    <w:rsid w:val="499254E1"/>
    <w:rsid w:val="49E7604E"/>
    <w:rsid w:val="4BF67CDD"/>
    <w:rsid w:val="4D173441"/>
    <w:rsid w:val="4D603DD6"/>
    <w:rsid w:val="4EBF010F"/>
    <w:rsid w:val="4F405286"/>
    <w:rsid w:val="4F471EB0"/>
    <w:rsid w:val="4FAD4DDE"/>
    <w:rsid w:val="51331326"/>
    <w:rsid w:val="51740A7F"/>
    <w:rsid w:val="51A5541E"/>
    <w:rsid w:val="51C96242"/>
    <w:rsid w:val="53906AE1"/>
    <w:rsid w:val="54F46F60"/>
    <w:rsid w:val="55A37BEA"/>
    <w:rsid w:val="56362CD2"/>
    <w:rsid w:val="5784687B"/>
    <w:rsid w:val="57846959"/>
    <w:rsid w:val="578E6A87"/>
    <w:rsid w:val="57EBE076"/>
    <w:rsid w:val="57EFC92B"/>
    <w:rsid w:val="57FD24A5"/>
    <w:rsid w:val="595B6346"/>
    <w:rsid w:val="5AC2203A"/>
    <w:rsid w:val="5B3C46B5"/>
    <w:rsid w:val="5CBB3334"/>
    <w:rsid w:val="5CFEBC20"/>
    <w:rsid w:val="5D115FAF"/>
    <w:rsid w:val="5D8F29DD"/>
    <w:rsid w:val="5DDB1383"/>
    <w:rsid w:val="5E582BF7"/>
    <w:rsid w:val="5F9DAAF2"/>
    <w:rsid w:val="606C7CAC"/>
    <w:rsid w:val="617D1895"/>
    <w:rsid w:val="62811722"/>
    <w:rsid w:val="62E75A72"/>
    <w:rsid w:val="637B1B4E"/>
    <w:rsid w:val="63AC1EBC"/>
    <w:rsid w:val="64571880"/>
    <w:rsid w:val="649125B6"/>
    <w:rsid w:val="652F4C1A"/>
    <w:rsid w:val="666D37F1"/>
    <w:rsid w:val="66B466D5"/>
    <w:rsid w:val="67087D8F"/>
    <w:rsid w:val="671F687E"/>
    <w:rsid w:val="67627252"/>
    <w:rsid w:val="67636F01"/>
    <w:rsid w:val="67B92401"/>
    <w:rsid w:val="67F415F8"/>
    <w:rsid w:val="682640D1"/>
    <w:rsid w:val="68454795"/>
    <w:rsid w:val="684B73E5"/>
    <w:rsid w:val="696C43B8"/>
    <w:rsid w:val="6A047A2A"/>
    <w:rsid w:val="6B6A39BF"/>
    <w:rsid w:val="6BF7B838"/>
    <w:rsid w:val="6D9263B7"/>
    <w:rsid w:val="6E7598D7"/>
    <w:rsid w:val="6E843F52"/>
    <w:rsid w:val="6EF64759"/>
    <w:rsid w:val="6EF8C86E"/>
    <w:rsid w:val="6EFB7548"/>
    <w:rsid w:val="6F297E15"/>
    <w:rsid w:val="6F3831C3"/>
    <w:rsid w:val="6F8B71C1"/>
    <w:rsid w:val="6FD17D5F"/>
    <w:rsid w:val="70753482"/>
    <w:rsid w:val="707B522A"/>
    <w:rsid w:val="71233648"/>
    <w:rsid w:val="728C2ABF"/>
    <w:rsid w:val="73194D05"/>
    <w:rsid w:val="739B7059"/>
    <w:rsid w:val="73A83B0E"/>
    <w:rsid w:val="73B37A8C"/>
    <w:rsid w:val="73ED2CEF"/>
    <w:rsid w:val="744D3EF9"/>
    <w:rsid w:val="74794411"/>
    <w:rsid w:val="747F005B"/>
    <w:rsid w:val="75456D46"/>
    <w:rsid w:val="757EC0C3"/>
    <w:rsid w:val="75867C40"/>
    <w:rsid w:val="759F2F40"/>
    <w:rsid w:val="75B10B26"/>
    <w:rsid w:val="75FB9984"/>
    <w:rsid w:val="76432199"/>
    <w:rsid w:val="76F44829"/>
    <w:rsid w:val="76FF71F9"/>
    <w:rsid w:val="777CF3B3"/>
    <w:rsid w:val="77A267C0"/>
    <w:rsid w:val="77F70C64"/>
    <w:rsid w:val="77FF259B"/>
    <w:rsid w:val="78363C8D"/>
    <w:rsid w:val="78882278"/>
    <w:rsid w:val="78B118A6"/>
    <w:rsid w:val="79135044"/>
    <w:rsid w:val="79C9A361"/>
    <w:rsid w:val="7A4D1ACD"/>
    <w:rsid w:val="7A4E3577"/>
    <w:rsid w:val="7A7D0F99"/>
    <w:rsid w:val="7AF36F1D"/>
    <w:rsid w:val="7B7AFBCD"/>
    <w:rsid w:val="7B7FB42B"/>
    <w:rsid w:val="7BB7C234"/>
    <w:rsid w:val="7C3C4042"/>
    <w:rsid w:val="7CF60652"/>
    <w:rsid w:val="7CFEB192"/>
    <w:rsid w:val="7D415AB3"/>
    <w:rsid w:val="7E4A0E7C"/>
    <w:rsid w:val="7E5E42FF"/>
    <w:rsid w:val="7EFD449D"/>
    <w:rsid w:val="7EFEB3A2"/>
    <w:rsid w:val="7F414ADB"/>
    <w:rsid w:val="7F5B67C7"/>
    <w:rsid w:val="7F7A068B"/>
    <w:rsid w:val="7FBE1C22"/>
    <w:rsid w:val="7FDF8FD5"/>
    <w:rsid w:val="7FDFC35E"/>
    <w:rsid w:val="7FED6341"/>
    <w:rsid w:val="7FF43533"/>
    <w:rsid w:val="7FFE28AD"/>
    <w:rsid w:val="7FFFD3C2"/>
    <w:rsid w:val="8F3F15A1"/>
    <w:rsid w:val="9EFF236E"/>
    <w:rsid w:val="9F8F04CA"/>
    <w:rsid w:val="A2DFB16A"/>
    <w:rsid w:val="BAFDC526"/>
    <w:rsid w:val="BCF70F83"/>
    <w:rsid w:val="BDF79782"/>
    <w:rsid w:val="BF676CD3"/>
    <w:rsid w:val="BFF7F1C1"/>
    <w:rsid w:val="BFFB2DA4"/>
    <w:rsid w:val="C58F2C4B"/>
    <w:rsid w:val="C9FFA330"/>
    <w:rsid w:val="CDF525DD"/>
    <w:rsid w:val="CFBFB55A"/>
    <w:rsid w:val="D06FBF62"/>
    <w:rsid w:val="D2BFD829"/>
    <w:rsid w:val="D4EF4B62"/>
    <w:rsid w:val="DAB52574"/>
    <w:rsid w:val="DC261D4E"/>
    <w:rsid w:val="DDBA07B0"/>
    <w:rsid w:val="DEEC9F2D"/>
    <w:rsid w:val="DFBFB166"/>
    <w:rsid w:val="DFF6F169"/>
    <w:rsid w:val="E6EF105C"/>
    <w:rsid w:val="E7C81B72"/>
    <w:rsid w:val="EF7F5805"/>
    <w:rsid w:val="EFAFB1E7"/>
    <w:rsid w:val="EFBF7CE3"/>
    <w:rsid w:val="F0DC754A"/>
    <w:rsid w:val="F3FD861B"/>
    <w:rsid w:val="F45FA1AF"/>
    <w:rsid w:val="F4BD2B4D"/>
    <w:rsid w:val="F5BFDE9A"/>
    <w:rsid w:val="F6ED7AEC"/>
    <w:rsid w:val="F73F94A6"/>
    <w:rsid w:val="F9CDBA01"/>
    <w:rsid w:val="FB263718"/>
    <w:rsid w:val="FB3F56F6"/>
    <w:rsid w:val="FBCF6B92"/>
    <w:rsid w:val="FBD64DCB"/>
    <w:rsid w:val="FBDF2C6E"/>
    <w:rsid w:val="FBEB07E6"/>
    <w:rsid w:val="FD231279"/>
    <w:rsid w:val="FDFF2FD7"/>
    <w:rsid w:val="FEFD86AA"/>
    <w:rsid w:val="FEFE4086"/>
    <w:rsid w:val="FF3F02F2"/>
    <w:rsid w:val="FF6EA0FB"/>
    <w:rsid w:val="FF769FA7"/>
    <w:rsid w:val="FFAF3AD6"/>
    <w:rsid w:val="FFD74DE6"/>
    <w:rsid w:val="FFFB1C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7920</Words>
  <Characters>9666</Characters>
  <Lines>60</Lines>
  <Paragraphs>16</Paragraphs>
  <TotalTime>7</TotalTime>
  <ScaleCrop>false</ScaleCrop>
  <LinksUpToDate>false</LinksUpToDate>
  <CharactersWithSpaces>10306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2007-12-01T03:41:00Z</dcterms:created>
  <dc:creator>管理者</dc:creator>
  <cp:lastModifiedBy>悟の</cp:lastModifiedBy>
  <cp:lastPrinted>2018-07-26T10:50:00Z</cp:lastPrinted>
  <dcterms:modified xsi:type="dcterms:W3CDTF">2023-09-17T11:08:30Z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E73B854DD5074217B0121A7C7D3A7218_13</vt:lpwstr>
  </property>
</Properties>
</file>