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lang w:eastAsia="zh-CN"/>
        </w:rPr>
      </w:pPr>
      <w:r>
        <w:rPr>
          <w:rFonts w:hint="eastAsia" w:ascii="黑体" w:hAnsi="黑体" w:eastAsia="黑体" w:cs="黑体"/>
          <w:color w:val="auto"/>
          <w:sz w:val="52"/>
          <w:szCs w:val="52"/>
          <w:highlight w:val="none"/>
          <w:lang w:eastAsia="zh-CN"/>
        </w:rPr>
        <w:t>许昌市建设工程安全监督站</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许昌市建设工程安全监督站</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eastAsia="zh-CN"/>
        </w:rPr>
        <w:t>许昌市建设工程安全监督站</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ind w:firstLine="640" w:firstLineChars="200"/>
        <w:rPr>
          <w:rFonts w:hint="eastAsia" w:ascii="仿宋_GB2312" w:hAnsi="Arial" w:eastAsia="仿宋_GB2312" w:cs="Arial"/>
          <w:color w:val="auto"/>
          <w:sz w:val="32"/>
          <w:szCs w:val="32"/>
          <w:highlight w:val="none"/>
        </w:rPr>
      </w:pPr>
      <w:r>
        <w:rPr>
          <w:rFonts w:hint="eastAsia" w:ascii="仿宋_GB2312" w:hAnsi="Arial" w:eastAsia="仿宋_GB2312" w:cs="Arial"/>
          <w:color w:val="auto"/>
          <w:sz w:val="32"/>
          <w:szCs w:val="32"/>
          <w:highlight w:val="none"/>
          <w:lang w:eastAsia="zh-CN"/>
        </w:rPr>
        <w:t>受住建局委托，负责建筑生产安全监督管理工作。</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许昌市建设工程</w:t>
      </w:r>
      <w:r>
        <w:rPr>
          <w:rFonts w:hint="eastAsia" w:ascii="仿宋_GB2312" w:hAnsi="仿宋_GB2312" w:eastAsia="仿宋_GB2312" w:cs="仿宋_GB2312"/>
          <w:color w:val="auto"/>
          <w:kern w:val="0"/>
          <w:sz w:val="32"/>
          <w:szCs w:val="32"/>
          <w:highlight w:val="none"/>
          <w:lang w:eastAsia="zh-CN"/>
        </w:rPr>
        <w:t>安全监督站</w:t>
      </w:r>
      <w:r>
        <w:rPr>
          <w:rFonts w:hint="eastAsia" w:ascii="仿宋_GB2312" w:hAnsi="仿宋_GB2312" w:eastAsia="仿宋_GB2312" w:cs="仿宋_GB2312"/>
          <w:color w:val="auto"/>
          <w:kern w:val="0"/>
          <w:sz w:val="32"/>
          <w:szCs w:val="32"/>
          <w:highlight w:val="none"/>
        </w:rPr>
        <w:t>内设机构</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个，包括：</w:t>
      </w:r>
      <w:r>
        <w:rPr>
          <w:rFonts w:hint="eastAsia" w:ascii="仿宋_GB2312" w:hAnsi="仿宋_GB2312" w:eastAsia="仿宋_GB2312" w:cs="仿宋_GB2312"/>
          <w:color w:val="auto"/>
          <w:kern w:val="0"/>
          <w:sz w:val="32"/>
          <w:szCs w:val="32"/>
          <w:highlight w:val="none"/>
        </w:rPr>
        <w:t>办公室、监督科。</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从决算单位构成看，许昌市建设工程</w:t>
      </w:r>
      <w:r>
        <w:rPr>
          <w:rFonts w:hint="eastAsia" w:ascii="仿宋_GB2312" w:hAnsi="仿宋_GB2312" w:eastAsia="仿宋_GB2312" w:cs="仿宋_GB2312"/>
          <w:color w:val="auto"/>
          <w:kern w:val="0"/>
          <w:sz w:val="32"/>
          <w:szCs w:val="32"/>
          <w:highlight w:val="none"/>
          <w:lang w:eastAsia="zh-CN"/>
        </w:rPr>
        <w:t>安全监督站单位</w:t>
      </w:r>
      <w:r>
        <w:rPr>
          <w:rFonts w:hint="eastAsia" w:ascii="仿宋_GB2312" w:hAnsi="仿宋_GB2312" w:eastAsia="仿宋_GB2312" w:cs="仿宋_GB2312"/>
          <w:color w:val="auto"/>
          <w:kern w:val="0"/>
          <w:sz w:val="32"/>
          <w:szCs w:val="32"/>
          <w:highlight w:val="none"/>
        </w:rPr>
        <w:t>决算包括：本</w:t>
      </w:r>
      <w:r>
        <w:rPr>
          <w:rFonts w:hint="eastAsia" w:ascii="仿宋_GB2312" w:hAnsi="仿宋_GB2312" w:eastAsia="仿宋_GB2312" w:cs="仿宋_GB2312"/>
          <w:color w:val="auto"/>
          <w:kern w:val="0"/>
          <w:sz w:val="32"/>
          <w:szCs w:val="32"/>
          <w:highlight w:val="none"/>
          <w:lang w:val="en-US" w:eastAsia="zh-CN"/>
        </w:rPr>
        <w:t>级</w:t>
      </w:r>
      <w:r>
        <w:rPr>
          <w:rFonts w:hint="eastAsia" w:ascii="仿宋_GB2312" w:hAnsi="仿宋_GB2312" w:eastAsia="仿宋_GB2312" w:cs="仿宋_GB2312"/>
          <w:color w:val="auto"/>
          <w:kern w:val="0"/>
          <w:sz w:val="32"/>
          <w:szCs w:val="32"/>
          <w:highlight w:val="none"/>
        </w:rPr>
        <w:t>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纳入本</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202</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年度</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决算编制范围的单位共1个，具体是：</w:t>
      </w:r>
    </w:p>
    <w:p>
      <w:pPr>
        <w:widowControl/>
        <w:ind w:firstLine="640" w:firstLineChars="200"/>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r>
        <w:rPr>
          <w:rFonts w:hint="default" w:ascii="仿宋_GB2312" w:hAnsi="仿宋_GB2312" w:eastAsia="仿宋_GB2312" w:cs="仿宋_GB2312"/>
          <w:color w:val="auto"/>
          <w:kern w:val="0"/>
          <w:sz w:val="32"/>
          <w:szCs w:val="32"/>
          <w:highlight w:val="none"/>
          <w:lang w:val="en-US"/>
        </w:rPr>
        <w:t>1.</w:t>
      </w:r>
      <w:r>
        <w:rPr>
          <w:rFonts w:hint="eastAsia" w:ascii="仿宋_GB2312" w:hAnsi="仿宋_GB2312" w:eastAsia="仿宋_GB2312" w:cs="仿宋_GB2312"/>
          <w:color w:val="auto"/>
          <w:kern w:val="0"/>
          <w:sz w:val="32"/>
          <w:szCs w:val="32"/>
          <w:highlight w:val="none"/>
        </w:rPr>
        <w:t>许昌市建设工程</w:t>
      </w:r>
      <w:r>
        <w:rPr>
          <w:rFonts w:hint="eastAsia" w:ascii="仿宋_GB2312" w:hAnsi="仿宋_GB2312" w:eastAsia="仿宋_GB2312" w:cs="仿宋_GB2312"/>
          <w:color w:val="auto"/>
          <w:kern w:val="0"/>
          <w:sz w:val="32"/>
          <w:szCs w:val="32"/>
          <w:highlight w:val="none"/>
          <w:lang w:eastAsia="zh-CN"/>
        </w:rPr>
        <w:t>安全监督站</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default"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7"/>
        <w:tblW w:w="139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4"/>
        <w:gridCol w:w="870"/>
        <w:gridCol w:w="2145"/>
        <w:gridCol w:w="3675"/>
        <w:gridCol w:w="795"/>
        <w:gridCol w:w="2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84"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324"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87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14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67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9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17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324"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：许昌市建设工程安全监督站</w:t>
            </w:r>
          </w:p>
        </w:tc>
        <w:tc>
          <w:tcPr>
            <w:tcW w:w="87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14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67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9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17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33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收入</w:t>
            </w:r>
          </w:p>
        </w:tc>
        <w:tc>
          <w:tcPr>
            <w:tcW w:w="6645"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21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87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1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79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一、一般公共预算财政拨款收入</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1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149.82</w:t>
            </w: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二、政府性基金预算财政拨款收入</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三、国有资本经营预算财政拨款收入</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四、上级补助收入</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五、事业收入</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六、经营收入</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七、附属单位上缴收入</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八、其他收入</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21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149.82</w:t>
            </w: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使用非财政拨款结余</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结余分配</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21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7.66</w:t>
            </w: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67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217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2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870"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21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157.48</w:t>
            </w:r>
          </w:p>
        </w:tc>
        <w:tc>
          <w:tcPr>
            <w:tcW w:w="3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84"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9"/>
        <w:gridCol w:w="4110"/>
        <w:gridCol w:w="1560"/>
        <w:gridCol w:w="1590"/>
        <w:gridCol w:w="1140"/>
        <w:gridCol w:w="1185"/>
        <w:gridCol w:w="1140"/>
        <w:gridCol w:w="885"/>
        <w:gridCol w:w="1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77"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944" w:type="dxa"/>
            <w:gridSpan w:val="7"/>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03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944" w:type="dxa"/>
            <w:gridSpan w:val="7"/>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：许昌市建设工程安全监督站</w:t>
            </w:r>
          </w:p>
        </w:tc>
        <w:tc>
          <w:tcPr>
            <w:tcW w:w="203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32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5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本年收入合计</w:t>
            </w:r>
          </w:p>
        </w:tc>
        <w:tc>
          <w:tcPr>
            <w:tcW w:w="15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财政拨款收入</w:t>
            </w:r>
          </w:p>
        </w:tc>
        <w:tc>
          <w:tcPr>
            <w:tcW w:w="11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上级补助收入</w:t>
            </w:r>
          </w:p>
        </w:tc>
        <w:tc>
          <w:tcPr>
            <w:tcW w:w="11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事业收入</w:t>
            </w:r>
          </w:p>
        </w:tc>
        <w:tc>
          <w:tcPr>
            <w:tcW w:w="11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经营收入</w:t>
            </w:r>
          </w:p>
        </w:tc>
        <w:tc>
          <w:tcPr>
            <w:tcW w:w="88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附属单位上缴收入</w:t>
            </w:r>
          </w:p>
        </w:tc>
        <w:tc>
          <w:tcPr>
            <w:tcW w:w="114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11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1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11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8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32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5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5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8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32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149.82</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149.82</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0.73</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0.73</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0.73</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0.73</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0.73</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0.73</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13.45</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13.45</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13.45</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13.45</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4.69</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4.69</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8.76</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8.76</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4.71</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4.71</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4.71</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4.71</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3.93</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3.93</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0.78</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0.78</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130.93</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130.93</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城乡社区管理事务</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130.93</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130.93</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2120199</w:t>
            </w:r>
          </w:p>
        </w:tc>
        <w:tc>
          <w:tcPr>
            <w:tcW w:w="4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其他城乡社区管理事务支出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130.93</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130.93</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77"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9"/>
        <w:gridCol w:w="3165"/>
        <w:gridCol w:w="1740"/>
        <w:gridCol w:w="1815"/>
        <w:gridCol w:w="1440"/>
        <w:gridCol w:w="1575"/>
        <w:gridCol w:w="1515"/>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99"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469" w:type="dxa"/>
            <w:gridSpan w:val="7"/>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53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469" w:type="dxa"/>
            <w:gridSpan w:val="7"/>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：许昌市建设工程安全监督站</w:t>
            </w:r>
          </w:p>
        </w:tc>
        <w:tc>
          <w:tcPr>
            <w:tcW w:w="153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8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7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本年支出合计</w:t>
            </w:r>
          </w:p>
        </w:tc>
        <w:tc>
          <w:tcPr>
            <w:tcW w:w="18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4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15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上缴上级支出</w:t>
            </w:r>
          </w:p>
        </w:tc>
        <w:tc>
          <w:tcPr>
            <w:tcW w:w="15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经营支出</w:t>
            </w:r>
          </w:p>
        </w:tc>
        <w:tc>
          <w:tcPr>
            <w:tcW w:w="15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对附属单位</w:t>
            </w:r>
          </w:p>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3165"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7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16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7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16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7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8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7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8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5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5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5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38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7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155.80</w:t>
            </w:r>
          </w:p>
        </w:tc>
        <w:tc>
          <w:tcPr>
            <w:tcW w:w="18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155.80</w:t>
            </w: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5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31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7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0.73</w:t>
            </w:r>
          </w:p>
        </w:tc>
        <w:tc>
          <w:tcPr>
            <w:tcW w:w="18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0.73</w:t>
            </w: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31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7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0.73</w:t>
            </w:r>
          </w:p>
        </w:tc>
        <w:tc>
          <w:tcPr>
            <w:tcW w:w="18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0.73</w:t>
            </w: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31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7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0.73</w:t>
            </w:r>
          </w:p>
        </w:tc>
        <w:tc>
          <w:tcPr>
            <w:tcW w:w="18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0.73</w:t>
            </w: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31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7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13.73</w:t>
            </w:r>
          </w:p>
        </w:tc>
        <w:tc>
          <w:tcPr>
            <w:tcW w:w="18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13.73</w:t>
            </w: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31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7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13.73</w:t>
            </w:r>
          </w:p>
        </w:tc>
        <w:tc>
          <w:tcPr>
            <w:tcW w:w="18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13.73</w:t>
            </w: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31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17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4.96</w:t>
            </w:r>
          </w:p>
        </w:tc>
        <w:tc>
          <w:tcPr>
            <w:tcW w:w="18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4.96</w:t>
            </w: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31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7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8.77</w:t>
            </w:r>
          </w:p>
        </w:tc>
        <w:tc>
          <w:tcPr>
            <w:tcW w:w="18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8.77</w:t>
            </w: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31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7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5.35</w:t>
            </w:r>
          </w:p>
        </w:tc>
        <w:tc>
          <w:tcPr>
            <w:tcW w:w="18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5.35</w:t>
            </w: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31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7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5.35</w:t>
            </w:r>
          </w:p>
        </w:tc>
        <w:tc>
          <w:tcPr>
            <w:tcW w:w="18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5.35</w:t>
            </w: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31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17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4.57</w:t>
            </w:r>
          </w:p>
        </w:tc>
        <w:tc>
          <w:tcPr>
            <w:tcW w:w="18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4.57</w:t>
            </w: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31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17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0.78</w:t>
            </w:r>
          </w:p>
        </w:tc>
        <w:tc>
          <w:tcPr>
            <w:tcW w:w="18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0.78</w:t>
            </w: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31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17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135.98</w:t>
            </w:r>
          </w:p>
        </w:tc>
        <w:tc>
          <w:tcPr>
            <w:tcW w:w="18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135.98</w:t>
            </w: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w:t>
            </w:r>
          </w:p>
        </w:tc>
        <w:tc>
          <w:tcPr>
            <w:tcW w:w="31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城乡社区管理事务</w:t>
            </w:r>
          </w:p>
        </w:tc>
        <w:tc>
          <w:tcPr>
            <w:tcW w:w="17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135.98</w:t>
            </w:r>
          </w:p>
        </w:tc>
        <w:tc>
          <w:tcPr>
            <w:tcW w:w="18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135.98</w:t>
            </w: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2120199</w:t>
            </w:r>
          </w:p>
        </w:tc>
        <w:tc>
          <w:tcPr>
            <w:tcW w:w="31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其他城乡社区管理事务支出</w:t>
            </w:r>
          </w:p>
        </w:tc>
        <w:tc>
          <w:tcPr>
            <w:tcW w:w="17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135.98</w:t>
            </w:r>
          </w:p>
        </w:tc>
        <w:tc>
          <w:tcPr>
            <w:tcW w:w="18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135.98</w:t>
            </w: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99"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39"/>
        <w:gridCol w:w="572"/>
        <w:gridCol w:w="1183"/>
        <w:gridCol w:w="2955"/>
        <w:gridCol w:w="975"/>
        <w:gridCol w:w="1020"/>
        <w:gridCol w:w="1200"/>
        <w:gridCol w:w="115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69"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199" w:type="dxa"/>
            <w:gridSpan w:val="8"/>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77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199" w:type="dxa"/>
            <w:gridSpan w:val="8"/>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：许昌市建设工程安全监督站</w:t>
            </w:r>
          </w:p>
        </w:tc>
        <w:tc>
          <w:tcPr>
            <w:tcW w:w="177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9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9075"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313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7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18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29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9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02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一般公共预算财政拨款</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政府性基金预算财政拨款</w:t>
            </w:r>
          </w:p>
        </w:tc>
        <w:tc>
          <w:tcPr>
            <w:tcW w:w="17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313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9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2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572"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18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97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149.82</w:t>
            </w: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0.73</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0.73</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三、国有资本经营财政拨款</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文化旅游体育与传媒</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13.73</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13.73</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5.35</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5.35</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135.98</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135.98</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1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149.82</w:t>
            </w: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155.80</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155.80</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年初财政拨款结转和结余</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1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7.66</w:t>
            </w: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年末财政拨款结转和结余</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一般公共预算财政拨款</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1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7.66</w:t>
            </w:r>
          </w:p>
        </w:tc>
        <w:tc>
          <w:tcPr>
            <w:tcW w:w="295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政府性基金预算财政拨款</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95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国有资本经营预算财政拨款</w:t>
            </w:r>
          </w:p>
        </w:tc>
        <w:tc>
          <w:tcPr>
            <w:tcW w:w="57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18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95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13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572"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1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157.48</w:t>
            </w:r>
          </w:p>
        </w:tc>
        <w:tc>
          <w:tcPr>
            <w:tcW w:w="29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9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157.48</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157.48</w:t>
            </w: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3969"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04"/>
        <w:gridCol w:w="4740"/>
        <w:gridCol w:w="2400"/>
        <w:gridCol w:w="2408"/>
        <w:gridCol w:w="23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84"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652" w:type="dxa"/>
            <w:gridSpan w:val="4"/>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332"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652" w:type="dxa"/>
            <w:gridSpan w:val="4"/>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：许昌市建设工程安全监督站</w:t>
            </w:r>
          </w:p>
        </w:tc>
        <w:tc>
          <w:tcPr>
            <w:tcW w:w="2332"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4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714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104"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74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24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240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233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210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74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4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4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33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10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74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4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4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33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4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24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4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33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4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24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155.80</w:t>
            </w:r>
          </w:p>
        </w:tc>
        <w:tc>
          <w:tcPr>
            <w:tcW w:w="2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155.80</w:t>
            </w:r>
          </w:p>
        </w:tc>
        <w:tc>
          <w:tcPr>
            <w:tcW w:w="2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10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47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24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0.73</w:t>
            </w:r>
          </w:p>
        </w:tc>
        <w:tc>
          <w:tcPr>
            <w:tcW w:w="2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0.73</w:t>
            </w:r>
          </w:p>
        </w:tc>
        <w:tc>
          <w:tcPr>
            <w:tcW w:w="2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10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47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24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0.73</w:t>
            </w:r>
          </w:p>
        </w:tc>
        <w:tc>
          <w:tcPr>
            <w:tcW w:w="2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0.73</w:t>
            </w:r>
          </w:p>
        </w:tc>
        <w:tc>
          <w:tcPr>
            <w:tcW w:w="2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10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47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24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0.73</w:t>
            </w:r>
          </w:p>
        </w:tc>
        <w:tc>
          <w:tcPr>
            <w:tcW w:w="2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0.73</w:t>
            </w:r>
          </w:p>
        </w:tc>
        <w:tc>
          <w:tcPr>
            <w:tcW w:w="2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10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47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24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13.73</w:t>
            </w:r>
          </w:p>
        </w:tc>
        <w:tc>
          <w:tcPr>
            <w:tcW w:w="2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13.73</w:t>
            </w:r>
          </w:p>
        </w:tc>
        <w:tc>
          <w:tcPr>
            <w:tcW w:w="2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10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47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24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13.73</w:t>
            </w:r>
          </w:p>
        </w:tc>
        <w:tc>
          <w:tcPr>
            <w:tcW w:w="2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13.73</w:t>
            </w:r>
          </w:p>
        </w:tc>
        <w:tc>
          <w:tcPr>
            <w:tcW w:w="2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10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47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24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4.96</w:t>
            </w:r>
          </w:p>
        </w:tc>
        <w:tc>
          <w:tcPr>
            <w:tcW w:w="2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4.96</w:t>
            </w:r>
          </w:p>
        </w:tc>
        <w:tc>
          <w:tcPr>
            <w:tcW w:w="2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10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47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24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8.77</w:t>
            </w:r>
          </w:p>
        </w:tc>
        <w:tc>
          <w:tcPr>
            <w:tcW w:w="2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8.77</w:t>
            </w:r>
          </w:p>
        </w:tc>
        <w:tc>
          <w:tcPr>
            <w:tcW w:w="2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10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7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24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5.35</w:t>
            </w:r>
          </w:p>
        </w:tc>
        <w:tc>
          <w:tcPr>
            <w:tcW w:w="2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5.35</w:t>
            </w:r>
          </w:p>
        </w:tc>
        <w:tc>
          <w:tcPr>
            <w:tcW w:w="2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10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47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24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5.35</w:t>
            </w:r>
          </w:p>
        </w:tc>
        <w:tc>
          <w:tcPr>
            <w:tcW w:w="2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5.35</w:t>
            </w:r>
          </w:p>
        </w:tc>
        <w:tc>
          <w:tcPr>
            <w:tcW w:w="2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10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47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24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4.57</w:t>
            </w:r>
          </w:p>
        </w:tc>
        <w:tc>
          <w:tcPr>
            <w:tcW w:w="2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4.57</w:t>
            </w:r>
          </w:p>
        </w:tc>
        <w:tc>
          <w:tcPr>
            <w:tcW w:w="2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10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47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24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0.78</w:t>
            </w:r>
          </w:p>
        </w:tc>
        <w:tc>
          <w:tcPr>
            <w:tcW w:w="2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0.78</w:t>
            </w:r>
          </w:p>
        </w:tc>
        <w:tc>
          <w:tcPr>
            <w:tcW w:w="2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10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47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城乡社区支出</w:t>
            </w:r>
          </w:p>
        </w:tc>
        <w:tc>
          <w:tcPr>
            <w:tcW w:w="24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135.98</w:t>
            </w:r>
          </w:p>
        </w:tc>
        <w:tc>
          <w:tcPr>
            <w:tcW w:w="2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135.98</w:t>
            </w:r>
          </w:p>
        </w:tc>
        <w:tc>
          <w:tcPr>
            <w:tcW w:w="2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10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w:t>
            </w:r>
          </w:p>
        </w:tc>
        <w:tc>
          <w:tcPr>
            <w:tcW w:w="47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城乡社区管理事务</w:t>
            </w:r>
          </w:p>
        </w:tc>
        <w:tc>
          <w:tcPr>
            <w:tcW w:w="24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135.98</w:t>
            </w:r>
          </w:p>
        </w:tc>
        <w:tc>
          <w:tcPr>
            <w:tcW w:w="2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135.98</w:t>
            </w:r>
          </w:p>
        </w:tc>
        <w:tc>
          <w:tcPr>
            <w:tcW w:w="2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10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2120199</w:t>
            </w:r>
          </w:p>
        </w:tc>
        <w:tc>
          <w:tcPr>
            <w:tcW w:w="47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其他城乡社区管理事务支出</w:t>
            </w:r>
          </w:p>
        </w:tc>
        <w:tc>
          <w:tcPr>
            <w:tcW w:w="24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135.98</w:t>
            </w:r>
          </w:p>
        </w:tc>
        <w:tc>
          <w:tcPr>
            <w:tcW w:w="240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135.98</w:t>
            </w:r>
          </w:p>
        </w:tc>
        <w:tc>
          <w:tcPr>
            <w:tcW w:w="2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84" w:type="dxa"/>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7"/>
        <w:gridCol w:w="2932"/>
        <w:gridCol w:w="990"/>
        <w:gridCol w:w="1140"/>
        <w:gridCol w:w="2595"/>
        <w:gridCol w:w="900"/>
        <w:gridCol w:w="1110"/>
        <w:gridCol w:w="2610"/>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84"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一般公共预算财政拨款基本支出决算</w:t>
            </w:r>
            <w:r>
              <w:rPr>
                <w:rFonts w:hint="default" w:ascii="宋体" w:hAnsi="宋体" w:cs="宋体"/>
                <w:i w:val="0"/>
                <w:iCs w:val="0"/>
                <w:color w:val="auto"/>
                <w:kern w:val="0"/>
                <w:sz w:val="30"/>
                <w:szCs w:val="30"/>
                <w:highlight w:val="none"/>
                <w:u w:val="none"/>
                <w:lang w:eastAsia="zh-CN" w:bidi="ar"/>
              </w:rPr>
              <w:t>明细</w:t>
            </w:r>
            <w:r>
              <w:rPr>
                <w:rFonts w:hint="eastAsia" w:ascii="宋体" w:hAnsi="宋体" w:eastAsia="宋体" w:cs="宋体"/>
                <w:i w:val="0"/>
                <w:iCs w:val="0"/>
                <w:color w:val="auto"/>
                <w:kern w:val="0"/>
                <w:sz w:val="30"/>
                <w:szCs w:val="3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474" w:type="dxa"/>
            <w:gridSpan w:val="7"/>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51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474" w:type="dxa"/>
            <w:gridSpan w:val="7"/>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：许昌市建设工程安全监督站</w:t>
            </w:r>
          </w:p>
        </w:tc>
        <w:tc>
          <w:tcPr>
            <w:tcW w:w="351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2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w:t>
            </w:r>
          </w:p>
        </w:tc>
        <w:tc>
          <w:tcPr>
            <w:tcW w:w="9255"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93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9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11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5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9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11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6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9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93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5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6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工资福利支出</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143.92</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商品和服务支出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5.90</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债务利息及费用支出</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30101</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基本工资</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38.97</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30201</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2.76</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30701</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国内债务付息</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津贴补贴</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56.34</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30202</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印刷费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0.05</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30702</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国外债务付息</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奖金</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30203</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咨询费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0.22</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资本性支出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伙食补助费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30204</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手续费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房屋建筑物购建</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绩效工资</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21.35</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30205</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水费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31002</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办公设备购置</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9.58</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30206</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电费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31003</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专用设备购置</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职业年金缴费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30207</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邮电费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0.22</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31005</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基础设施建设</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职工基本医疗保险缴费</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3.87</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30208</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取暖费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31006</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大型修缮</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公务员医疗补助缴费</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0.78</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30209</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物业管理费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31007</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信息网络及软件购置更新</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其他社会保障缴费</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0.48</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30211</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差旅费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0.17</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31008</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物资储备</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8.57</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30212</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因公出国（境）费用</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31009</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土地补偿</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30213</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维修（护）费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0.08</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31010</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安置补助</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其他工资福利支出</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3.98</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30214</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租赁费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31011</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地上附着物和青苗</w:t>
            </w:r>
          </w:p>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补偿</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对个人和家庭的补助</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4.99</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30215</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会议费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31012</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拆迁补偿</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离休费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培训费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0.60</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31013</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公务用车购置</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退休费</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4.99</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30217</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公务接待费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31019</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其他交通工具购置</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退职（役）费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30218</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专用材料费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31021</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文物和陈列品购置</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抚恤金</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30224</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被装购置费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31022</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无形资产购置</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生活补助</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30225</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专用燃料费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31099</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其他资本性支出</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救济费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30226</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劳务费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医疗费补助</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30227</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委托业务费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赠与</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助学金</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30228</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工会经费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0.73</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39907</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国家赔偿费用支出</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奖励金</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30229</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福利费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0.99</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39908</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对民间非营利组织和群众性自治组织补贴</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个人农业生产补贴</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30231</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公务用车运行维护费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39999</w:t>
            </w:r>
          </w:p>
        </w:tc>
        <w:tc>
          <w:tcPr>
            <w:tcW w:w="261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代缴社会保险费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30239</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其他交通费用</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61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29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其他对个人和家庭的补助</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30240</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税金及附加费用</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1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61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3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30299</w:t>
            </w:r>
          </w:p>
        </w:tc>
        <w:tc>
          <w:tcPr>
            <w:tcW w:w="25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其他商品和服务支出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0.08</w:t>
            </w:r>
          </w:p>
        </w:tc>
        <w:tc>
          <w:tcPr>
            <w:tcW w:w="111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61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73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人员经费合计</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148.91</w:t>
            </w:r>
          </w:p>
        </w:tc>
        <w:tc>
          <w:tcPr>
            <w:tcW w:w="8355"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公用经费合计</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84"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8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
        <w:gridCol w:w="1290"/>
        <w:gridCol w:w="960"/>
        <w:gridCol w:w="1215"/>
        <w:gridCol w:w="1185"/>
        <w:gridCol w:w="1035"/>
        <w:gridCol w:w="1050"/>
        <w:gridCol w:w="1305"/>
        <w:gridCol w:w="1110"/>
        <w:gridCol w:w="1125"/>
        <w:gridCol w:w="1185"/>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37"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292" w:type="dxa"/>
            <w:gridSpan w:val="11"/>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54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292" w:type="dxa"/>
            <w:gridSpan w:val="11"/>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：许昌市建设工程安全监督站</w:t>
            </w:r>
          </w:p>
        </w:tc>
        <w:tc>
          <w:tcPr>
            <w:tcW w:w="154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651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预算数</w:t>
            </w:r>
          </w:p>
        </w:tc>
        <w:tc>
          <w:tcPr>
            <w:tcW w:w="7320" w:type="dxa"/>
            <w:gridSpan w:val="6"/>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32"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合计</w:t>
            </w:r>
          </w:p>
        </w:tc>
        <w:tc>
          <w:tcPr>
            <w:tcW w:w="1290"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360"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035"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公务接待费</w:t>
            </w:r>
          </w:p>
        </w:tc>
        <w:tc>
          <w:tcPr>
            <w:tcW w:w="1050"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合计</w:t>
            </w:r>
          </w:p>
        </w:tc>
        <w:tc>
          <w:tcPr>
            <w:tcW w:w="1305"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420" w:type="dxa"/>
            <w:gridSpan w:val="3"/>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545"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6" w:hRule="atLeast"/>
        </w:trPr>
        <w:tc>
          <w:tcPr>
            <w:tcW w:w="832"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90"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小计</w:t>
            </w:r>
          </w:p>
        </w:tc>
        <w:tc>
          <w:tcPr>
            <w:tcW w:w="1215"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185"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035"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50"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305"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1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小计</w:t>
            </w:r>
          </w:p>
        </w:tc>
        <w:tc>
          <w:tcPr>
            <w:tcW w:w="1125"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185"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545"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3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c>
          <w:tcPr>
            <w:tcW w:w="129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w:t>
            </w:r>
          </w:p>
        </w:tc>
        <w:tc>
          <w:tcPr>
            <w:tcW w:w="96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5</w:t>
            </w:r>
          </w:p>
        </w:tc>
        <w:tc>
          <w:tcPr>
            <w:tcW w:w="103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6</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7</w:t>
            </w:r>
          </w:p>
        </w:tc>
        <w:tc>
          <w:tcPr>
            <w:tcW w:w="130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8</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9</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10</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11</w:t>
            </w:r>
          </w:p>
        </w:tc>
        <w:tc>
          <w:tcPr>
            <w:tcW w:w="1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3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bidi="ar"/>
              </w:rPr>
            </w:pP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bidi="ar"/>
              </w:rPr>
            </w:pP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bidi="ar"/>
              </w:rPr>
            </w:pP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bidi="ar"/>
              </w:rPr>
            </w:pPr>
          </w:p>
        </w:tc>
        <w:tc>
          <w:tcPr>
            <w:tcW w:w="1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bidi="ar"/>
              </w:rPr>
            </w:pP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bidi="ar"/>
              </w:rPr>
            </w:pP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bidi="ar"/>
              </w:rPr>
            </w:pPr>
          </w:p>
        </w:tc>
        <w:tc>
          <w:tcPr>
            <w:tcW w:w="13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bidi="ar"/>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bidi="ar"/>
              </w:rPr>
            </w:pP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bidi="ar"/>
              </w:rPr>
            </w:pPr>
          </w:p>
        </w:tc>
        <w:tc>
          <w:tcPr>
            <w:tcW w:w="1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bidi="ar"/>
              </w:rPr>
            </w:pP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3837"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default"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r>
        <w:rPr>
          <w:rFonts w:hint="default" w:ascii="仿宋_GB2312" w:hAnsi="仿宋_GB2312" w:eastAsia="仿宋_GB2312" w:cs="仿宋_GB2312"/>
          <w:color w:val="auto"/>
          <w:sz w:val="32"/>
          <w:szCs w:val="32"/>
          <w:highlight w:val="none"/>
        </w:rPr>
        <w:t>说明：我单位没有预算安排的三公经费，也没有预算安排的三公支出，故本表无数据。</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09"/>
        <w:gridCol w:w="1650"/>
        <w:gridCol w:w="1770"/>
        <w:gridCol w:w="1594"/>
        <w:gridCol w:w="1556"/>
        <w:gridCol w:w="1470"/>
        <w:gridCol w:w="1605"/>
        <w:gridCol w:w="2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854" w:type="dxa"/>
            <w:gridSpan w:val="7"/>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22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854" w:type="dxa"/>
            <w:gridSpan w:val="7"/>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：许昌市建设工程安全监督站</w:t>
            </w:r>
          </w:p>
        </w:tc>
        <w:tc>
          <w:tcPr>
            <w:tcW w:w="222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项目</w:t>
            </w:r>
          </w:p>
        </w:tc>
        <w:tc>
          <w:tcPr>
            <w:tcW w:w="17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年初结转和结余</w:t>
            </w:r>
          </w:p>
        </w:tc>
        <w:tc>
          <w:tcPr>
            <w:tcW w:w="159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本年收入</w:t>
            </w:r>
          </w:p>
        </w:tc>
        <w:tc>
          <w:tcPr>
            <w:tcW w:w="4631"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本年支出</w:t>
            </w:r>
          </w:p>
        </w:tc>
        <w:tc>
          <w:tcPr>
            <w:tcW w:w="222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0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165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科目名称</w:t>
            </w:r>
          </w:p>
        </w:tc>
        <w:tc>
          <w:tcPr>
            <w:tcW w:w="177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594" w:type="dxa"/>
            <w:vMerge w:val="continue"/>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55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小计</w:t>
            </w:r>
          </w:p>
        </w:tc>
        <w:tc>
          <w:tcPr>
            <w:tcW w:w="14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基本支出</w:t>
            </w:r>
          </w:p>
        </w:tc>
        <w:tc>
          <w:tcPr>
            <w:tcW w:w="16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项目支出</w:t>
            </w:r>
          </w:p>
        </w:tc>
        <w:tc>
          <w:tcPr>
            <w:tcW w:w="2227" w:type="dxa"/>
            <w:vMerge w:val="continue"/>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0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650" w:type="dxa"/>
            <w:vMerge w:val="continue"/>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77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594" w:type="dxa"/>
            <w:vMerge w:val="continue"/>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556" w:type="dxa"/>
            <w:vMerge w:val="continue"/>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470" w:type="dxa"/>
            <w:vMerge w:val="continue"/>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605" w:type="dxa"/>
            <w:vMerge w:val="continue"/>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2227" w:type="dxa"/>
            <w:vMerge w:val="continue"/>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0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650" w:type="dxa"/>
            <w:vMerge w:val="continue"/>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770" w:type="dxa"/>
            <w:vMerge w:val="continue"/>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594" w:type="dxa"/>
            <w:vMerge w:val="continue"/>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556" w:type="dxa"/>
            <w:vMerge w:val="continue"/>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470" w:type="dxa"/>
            <w:vMerge w:val="continue"/>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1605" w:type="dxa"/>
            <w:vMerge w:val="continue"/>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2227" w:type="dxa"/>
            <w:vMerge w:val="continue"/>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栏次</w:t>
            </w:r>
          </w:p>
        </w:tc>
        <w:tc>
          <w:tcPr>
            <w:tcW w:w="1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w:t>
            </w:r>
          </w:p>
        </w:tc>
        <w:tc>
          <w:tcPr>
            <w:tcW w:w="159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w:t>
            </w:r>
          </w:p>
        </w:tc>
        <w:tc>
          <w:tcPr>
            <w:tcW w:w="155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w:t>
            </w:r>
          </w:p>
        </w:tc>
        <w:tc>
          <w:tcPr>
            <w:tcW w:w="14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w:t>
            </w: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5</w:t>
            </w:r>
          </w:p>
        </w:tc>
        <w:tc>
          <w:tcPr>
            <w:tcW w:w="22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85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合计</w:t>
            </w:r>
          </w:p>
        </w:tc>
        <w:tc>
          <w:tcPr>
            <w:tcW w:w="1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5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4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22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5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4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22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5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4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22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5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4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22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5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4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22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22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6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5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5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4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1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c>
          <w:tcPr>
            <w:tcW w:w="222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81"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单位</w:t>
            </w:r>
            <w:r>
              <w:rPr>
                <w:rFonts w:hint="eastAsia" w:ascii="宋体" w:hAnsi="宋体" w:eastAsia="宋体" w:cs="宋体"/>
                <w:i w:val="0"/>
                <w:color w:val="auto"/>
                <w:kern w:val="0"/>
                <w:sz w:val="22"/>
                <w:szCs w:val="22"/>
                <w:highlight w:val="none"/>
                <w:u w:val="none"/>
                <w:lang w:val="en-US" w:eastAsia="zh-CN" w:bidi="ar"/>
              </w:rPr>
              <w:t>本年度政府性基金预算财政拨款收入、支出及结转和结余情况。本表金额转换为万元时，因四舍五入可能存在尾差。</w:t>
            </w:r>
          </w:p>
        </w:tc>
      </w:tr>
    </w:tbl>
    <w:p>
      <w:pPr>
        <w:widowControl/>
        <w:spacing w:line="590" w:lineRule="exact"/>
        <w:jc w:val="left"/>
        <w:rPr>
          <w:rFonts w:hint="default"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default" w:ascii="仿宋_GB2312" w:hAnsi="仿宋_GB2312" w:eastAsia="仿宋_GB2312" w:cs="仿宋_GB2312"/>
          <w:color w:val="auto"/>
          <w:sz w:val="32"/>
          <w:szCs w:val="32"/>
          <w:highlight w:val="none"/>
        </w:rPr>
        <w:t>说明：我单位没有政府性基金收入，也没有使用政府性基金安排的支出，故本表无数据。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default"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157.48</w:t>
      </w:r>
      <w:r>
        <w:rPr>
          <w:rFonts w:hint="eastAsia" w:ascii="仿宋_GB2312" w:hAnsi="仿宋_GB2312" w:eastAsia="仿宋_GB2312" w:cs="仿宋_GB2312"/>
          <w:color w:val="auto"/>
          <w:sz w:val="32"/>
          <w:szCs w:val="32"/>
          <w:highlight w:val="none"/>
        </w:rPr>
        <w:t>万元。与上年度相比，收、支总计各</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lang w:val="en-US" w:eastAsia="zh-CN"/>
        </w:rPr>
        <w:t>13.30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增长</w:t>
      </w:r>
      <w:r>
        <w:rPr>
          <w:rFonts w:hint="eastAsia" w:ascii="仿宋_GB2312" w:hAnsi="仿宋_GB2312" w:eastAsia="仿宋_GB2312" w:cs="仿宋_GB2312"/>
          <w:color w:val="auto"/>
          <w:sz w:val="32"/>
          <w:szCs w:val="32"/>
          <w:highlight w:val="none"/>
          <w:lang w:val="en-US" w:eastAsia="zh-CN"/>
        </w:rPr>
        <w:t>9.22</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在职人员增加</w:t>
      </w:r>
      <w:r>
        <w:rPr>
          <w:rFonts w:hint="eastAsia" w:ascii="仿宋_GB2312" w:hAnsi="仿宋_GB2312" w:eastAsia="仿宋_GB2312" w:cs="仿宋_GB2312"/>
          <w:color w:val="auto"/>
          <w:sz w:val="32"/>
          <w:szCs w:val="32"/>
          <w:highlight w:val="none"/>
          <w:lang w:val="en-US" w:eastAsia="zh-CN"/>
        </w:rPr>
        <w:t>1人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149.82</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149.82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155.80</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155.80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157.48</w:t>
      </w:r>
      <w:r>
        <w:rPr>
          <w:rFonts w:hint="eastAsia" w:ascii="仿宋_GB2312" w:hAnsi="仿宋_GB2312" w:eastAsia="仿宋_GB2312" w:cs="仿宋_GB2312"/>
          <w:color w:val="auto"/>
          <w:sz w:val="32"/>
          <w:szCs w:val="32"/>
          <w:highlight w:val="none"/>
        </w:rPr>
        <w:t>万元。与上年度相比，财政拨款收、支总计各增加</w:t>
      </w:r>
      <w:r>
        <w:rPr>
          <w:rFonts w:hint="eastAsia" w:ascii="仿宋_GB2312" w:hAnsi="仿宋_GB2312" w:eastAsia="仿宋_GB2312" w:cs="仿宋_GB2312"/>
          <w:color w:val="auto"/>
          <w:sz w:val="32"/>
          <w:szCs w:val="32"/>
          <w:highlight w:val="none"/>
          <w:lang w:val="en-US" w:eastAsia="zh-CN"/>
        </w:rPr>
        <w:t>13.49</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9.37</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在职人员增加</w:t>
      </w:r>
      <w:r>
        <w:rPr>
          <w:rFonts w:hint="eastAsia" w:ascii="仿宋_GB2312" w:hAnsi="仿宋_GB2312" w:eastAsia="仿宋_GB2312" w:cs="仿宋_GB2312"/>
          <w:color w:val="auto"/>
          <w:sz w:val="32"/>
          <w:szCs w:val="32"/>
          <w:highlight w:val="none"/>
          <w:lang w:val="en-US" w:eastAsia="zh-CN"/>
        </w:rPr>
        <w:t>1人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155.80</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%。与上年度相比，一般公共预算财政拨款支出增加</w:t>
      </w:r>
      <w:r>
        <w:rPr>
          <w:rFonts w:hint="eastAsia" w:ascii="仿宋_GB2312" w:hAnsi="仿宋_GB2312" w:eastAsia="仿宋_GB2312" w:cs="仿宋_GB2312"/>
          <w:color w:val="auto"/>
          <w:sz w:val="32"/>
          <w:szCs w:val="32"/>
          <w:highlight w:val="none"/>
          <w:lang w:val="en-US" w:eastAsia="zh-CN"/>
        </w:rPr>
        <w:t>21.36</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15.89</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在职人员增加</w:t>
      </w:r>
      <w:r>
        <w:rPr>
          <w:rFonts w:hint="eastAsia" w:ascii="仿宋_GB2312" w:hAnsi="仿宋_GB2312" w:eastAsia="仿宋_GB2312" w:cs="仿宋_GB2312"/>
          <w:color w:val="auto"/>
          <w:sz w:val="32"/>
          <w:szCs w:val="32"/>
          <w:highlight w:val="none"/>
          <w:lang w:val="en-US" w:eastAsia="zh-CN"/>
        </w:rPr>
        <w:t>1人</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pStyle w:val="2"/>
        <w:rPr>
          <w:rFonts w:hint="eastAsia"/>
          <w:color w:val="auto"/>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155.80</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0.73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0.47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社会保障和就业（类）支出</w:t>
      </w:r>
      <w:r>
        <w:rPr>
          <w:rFonts w:hint="eastAsia" w:ascii="仿宋_GB2312" w:hAnsi="仿宋_GB2312" w:eastAsia="仿宋_GB2312" w:cs="仿宋_GB2312"/>
          <w:color w:val="auto"/>
          <w:sz w:val="32"/>
          <w:szCs w:val="32"/>
          <w:highlight w:val="none"/>
          <w:lang w:val="en-US" w:eastAsia="zh-CN"/>
        </w:rPr>
        <w:t>13.73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8.81</w:t>
      </w:r>
      <w:r>
        <w:rPr>
          <w:rFonts w:hint="eastAsia" w:ascii="仿宋_GB2312" w:hAnsi="仿宋_GB2312" w:eastAsia="仿宋_GB2312" w:cs="仿宋_GB2312"/>
          <w:color w:val="auto"/>
          <w:sz w:val="32"/>
          <w:szCs w:val="32"/>
          <w:highlight w:val="none"/>
        </w:rPr>
        <w:t>%；卫生健康（类）支出</w:t>
      </w:r>
      <w:r>
        <w:rPr>
          <w:rFonts w:hint="eastAsia" w:ascii="仿宋_GB2312" w:hAnsi="仿宋_GB2312" w:eastAsia="仿宋_GB2312" w:cs="仿宋_GB2312"/>
          <w:color w:val="auto"/>
          <w:sz w:val="32"/>
          <w:szCs w:val="32"/>
          <w:highlight w:val="none"/>
          <w:lang w:val="en-US" w:eastAsia="zh-CN"/>
        </w:rPr>
        <w:t>5.35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3.43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城乡社区（类）支出</w:t>
      </w:r>
      <w:r>
        <w:rPr>
          <w:rFonts w:hint="eastAsia" w:ascii="仿宋_GB2312" w:hAnsi="仿宋_GB2312" w:eastAsia="仿宋_GB2312" w:cs="仿宋_GB2312"/>
          <w:color w:val="auto"/>
          <w:sz w:val="32"/>
          <w:szCs w:val="32"/>
          <w:highlight w:val="none"/>
          <w:lang w:val="en-US" w:eastAsia="zh-CN"/>
        </w:rPr>
        <w:t>135.98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87.2</w:t>
      </w:r>
      <w:r>
        <w:rPr>
          <w:rFonts w:hint="default" w:ascii="仿宋_GB2312" w:hAnsi="仿宋_GB2312" w:eastAsia="仿宋_GB2312" w:cs="仿宋_GB2312"/>
          <w:color w:val="auto"/>
          <w:sz w:val="32"/>
          <w:szCs w:val="32"/>
          <w:highlight w:val="none"/>
          <w:lang w:val="en" w:eastAsia="zh-CN"/>
        </w:rPr>
        <w:t>9</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143.38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155.80</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108.66</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一般公共服务</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群众团体事务</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工会事务</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0.73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0.73</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决算数与年初预算数不存在差异。</w:t>
      </w:r>
    </w:p>
    <w:p>
      <w:pPr>
        <w:widowControl/>
        <w:numPr>
          <w:ilvl w:val="0"/>
          <w:numId w:val="0"/>
        </w:numPr>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rPr>
        <w:t>社会保障和就业（类）行政事业单位养老（款）事业单位离退休（项）。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3.14</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4.96</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157.96</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补发退休人员养老保险清算费用</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．社会保障和就业（类）行政事业单位养老（款）机关事业单位基本养老保险缴费（项）。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8.76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8.77</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100.11</w:t>
      </w:r>
      <w:r>
        <w:rPr>
          <w:rFonts w:hint="eastAsia" w:ascii="仿宋_GB2312" w:hAnsi="仿宋_GB2312" w:eastAsia="仿宋_GB2312" w:cs="仿宋_GB2312"/>
          <w:color w:val="auto"/>
          <w:sz w:val="32"/>
          <w:szCs w:val="32"/>
          <w:highlight w:val="none"/>
        </w:rPr>
        <w:t>%。决算数与年初预算数存在差异的主要原因是年初预算按百元为单位拨付，实际决算支出数按万元为单位填报，四舍五入后造成0.</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%的差异。</w:t>
      </w:r>
    </w:p>
    <w:p>
      <w:pPr>
        <w:widowControl/>
        <w:spacing w:line="590" w:lineRule="exact"/>
        <w:ind w:firstLine="643" w:firstLineChars="200"/>
        <w:rPr>
          <w:rFonts w:hint="eastAsia" w:ascii="黑体" w:hAnsi="黑体" w:eastAsia="黑体" w:cs="黑体"/>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.卫生健康（类）行政事业单位医疗（款）事业单位医疗（项）。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3.94</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4.57</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115.99</w:t>
      </w:r>
      <w:r>
        <w:rPr>
          <w:rFonts w:hint="eastAsia" w:ascii="仿宋_GB2312" w:hAnsi="仿宋_GB2312" w:eastAsia="仿宋_GB2312" w:cs="仿宋_GB2312"/>
          <w:color w:val="auto"/>
          <w:sz w:val="32"/>
          <w:szCs w:val="32"/>
          <w:highlight w:val="none"/>
        </w:rPr>
        <w:t>%。决算数与年初预算数存在差异的主要原因是</w:t>
      </w:r>
      <w:r>
        <w:rPr>
          <w:rFonts w:hint="eastAsia" w:ascii="仿宋_GB2312" w:hAnsi="仿宋_GB2312" w:eastAsia="仿宋_GB2312" w:cs="仿宋_GB2312"/>
          <w:color w:val="auto"/>
          <w:sz w:val="32"/>
          <w:szCs w:val="32"/>
          <w:highlight w:val="none"/>
          <w:lang w:eastAsia="zh-CN"/>
        </w:rPr>
        <w:t>在职人员增加</w:t>
      </w:r>
      <w:r>
        <w:rPr>
          <w:rFonts w:hint="eastAsia" w:ascii="仿宋_GB2312" w:hAnsi="仿宋_GB2312" w:eastAsia="仿宋_GB2312" w:cs="仿宋_GB2312"/>
          <w:color w:val="auto"/>
          <w:sz w:val="32"/>
          <w:szCs w:val="32"/>
          <w:highlight w:val="none"/>
          <w:lang w:val="en-US" w:eastAsia="zh-CN"/>
        </w:rPr>
        <w:t>1人</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.卫生健康（类）行政事业单位医疗（款）公务员医疗补助（项）。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0.78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0.78</w:t>
      </w:r>
      <w:r>
        <w:rPr>
          <w:rFonts w:hint="eastAsia" w:ascii="仿宋_GB2312" w:hAnsi="仿宋_GB2312" w:eastAsia="仿宋_GB2312" w:cs="仿宋_GB2312"/>
          <w:color w:val="auto"/>
          <w:sz w:val="32"/>
          <w:szCs w:val="32"/>
          <w:highlight w:val="none"/>
        </w:rPr>
        <w:t>万元，完成年初预算的100.00%。决算数与年初预算数不存在差异。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.城乡社区（类）城乡社区管理事务（款）其他城乡社区管理事务（项）。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126.03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135.98</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107.89</w:t>
      </w:r>
      <w:r>
        <w:rPr>
          <w:rFonts w:hint="eastAsia" w:ascii="仿宋_GB2312" w:hAnsi="仿宋_GB2312" w:eastAsia="仿宋_GB2312" w:cs="仿宋_GB2312"/>
          <w:color w:val="auto"/>
          <w:sz w:val="32"/>
          <w:szCs w:val="32"/>
          <w:highlight w:val="none"/>
        </w:rPr>
        <w:t>%。决算数与年初预算数存在差异的主要原因是</w:t>
      </w:r>
      <w:r>
        <w:rPr>
          <w:rFonts w:hint="eastAsia" w:ascii="仿宋_GB2312" w:hAnsi="仿宋_GB2312" w:eastAsia="仿宋_GB2312" w:cs="仿宋_GB2312"/>
          <w:color w:val="auto"/>
          <w:sz w:val="32"/>
          <w:szCs w:val="32"/>
          <w:highlight w:val="none"/>
          <w:lang w:eastAsia="zh-CN"/>
        </w:rPr>
        <w:t>在职人员增加</w:t>
      </w:r>
      <w:r>
        <w:rPr>
          <w:rFonts w:hint="eastAsia" w:ascii="仿宋_GB2312" w:hAnsi="仿宋_GB2312" w:eastAsia="仿宋_GB2312" w:cs="仿宋_GB2312"/>
          <w:color w:val="auto"/>
          <w:sz w:val="32"/>
          <w:szCs w:val="32"/>
          <w:highlight w:val="none"/>
          <w:lang w:val="en-US" w:eastAsia="zh-CN"/>
        </w:rPr>
        <w:t>1人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155.80</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148.91</w:t>
      </w:r>
      <w:r>
        <w:rPr>
          <w:rFonts w:hint="eastAsia" w:ascii="仿宋_GB2312" w:hAnsi="仿宋_GB2312" w:eastAsia="仿宋_GB2312" w:cs="仿宋_GB2312"/>
          <w:color w:val="auto"/>
          <w:sz w:val="32"/>
          <w:szCs w:val="32"/>
          <w:highlight w:val="none"/>
        </w:rPr>
        <w:t>万元，主要包括：基本工资、津贴补贴、绩效工资、机关事业单位基本养老保险缴费、职工基本医疗保险缴费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公务员医疗补助缴费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其他社会保障缴费、其他工资福利支出、住房公积金、退休费支出；公用经费</w:t>
      </w:r>
      <w:r>
        <w:rPr>
          <w:rFonts w:hint="eastAsia" w:ascii="仿宋_GB2312" w:hAnsi="仿宋_GB2312" w:eastAsia="仿宋_GB2312" w:cs="仿宋_GB2312"/>
          <w:color w:val="auto"/>
          <w:sz w:val="32"/>
          <w:szCs w:val="32"/>
          <w:highlight w:val="none"/>
          <w:lang w:val="en-US" w:eastAsia="zh-CN"/>
        </w:rPr>
        <w:t>6.89</w:t>
      </w:r>
      <w:r>
        <w:rPr>
          <w:rFonts w:hint="eastAsia" w:ascii="仿宋_GB2312" w:hAnsi="仿宋_GB2312" w:eastAsia="仿宋_GB2312" w:cs="仿宋_GB2312"/>
          <w:color w:val="auto"/>
          <w:sz w:val="32"/>
          <w:szCs w:val="32"/>
          <w:highlight w:val="none"/>
        </w:rPr>
        <w:t>万元，主要包括：办公费、印刷费、咨询费、邮电费、差旅费、维修（护）费、培训费、工会经费、福利费、其他商品和服务支出。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2021年度“三公”经费支出决算数与预算数不存在差异。</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万元；公务接待费支出决算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万元。具体情况如下：</w:t>
      </w:r>
    </w:p>
    <w:p>
      <w:pPr>
        <w:widowControl/>
        <w:numPr>
          <w:ilvl w:val="0"/>
          <w:numId w:val="0"/>
        </w:numPr>
        <w:spacing w:line="590" w:lineRule="exact"/>
        <w:ind w:firstLine="643"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决算数与预算数不存在差异</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lang w:val="en-US" w:eastAsia="zh-CN"/>
        </w:rPr>
        <w:t>全年因公出国（境）团组0个，累计0人次。</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决算数与预算数不存在差异</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2</w:t>
      </w:r>
      <w:r>
        <w:rPr>
          <w:rFonts w:ascii="仿宋_GB2312" w:hAnsi="仿宋_GB2312" w:eastAsia="仿宋_GB2312" w:cs="仿宋_GB2312"/>
          <w:color w:val="auto"/>
          <w:sz w:val="32"/>
          <w:szCs w:val="32"/>
          <w:highlight w:val="none"/>
        </w:rPr>
        <w:t>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决算数与预算数不存在差异</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不存在</w:t>
      </w:r>
      <w:r>
        <w:rPr>
          <w:rFonts w:hint="eastAsia" w:ascii="仿宋_GB2312" w:hAnsi="仿宋_GB2312" w:eastAsia="仿宋_GB2312" w:cs="仿宋_GB2312"/>
          <w:color w:val="auto"/>
          <w:sz w:val="32"/>
          <w:szCs w:val="32"/>
          <w:highlight w:val="none"/>
        </w:rPr>
        <w:t>项目年末结转和结余资金数额较大</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eastAsia="zh-CN"/>
        </w:rPr>
        <w:t>情况说明：</w:t>
      </w:r>
      <w:r>
        <w:rPr>
          <w:rFonts w:hint="eastAsia" w:ascii="仿宋_GB2312" w:hAnsi="仿宋_GB2312" w:eastAsia="仿宋_GB2312" w:cs="仿宋_GB2312"/>
          <w:color w:val="auto"/>
          <w:sz w:val="32"/>
          <w:szCs w:val="32"/>
          <w:highlight w:val="none"/>
          <w:lang w:val="en-US" w:eastAsia="zh-CN"/>
        </w:rPr>
        <w:t>我</w:t>
      </w:r>
      <w:r>
        <w:rPr>
          <w:rFonts w:hint="default"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lang w:val="en-US" w:eastAsia="zh-CN"/>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p>
    <w:p>
      <w:pPr>
        <w:widowControl/>
        <w:numPr>
          <w:ilvl w:val="0"/>
          <w:numId w:val="3"/>
        </w:numPr>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2"/>
        <w:rPr>
          <w:rFonts w:hint="default"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在实际工作中，我单位高度重视，积极开展预算绩效管理工作，将绩效目标作为日常开展工作的重要参考，严格执行相关预算绩效管理文件之规定，进一步促进2021年绩效管理工作圆满完成。</w:t>
      </w:r>
      <w:r>
        <w:rPr>
          <w:rFonts w:hint="default" w:ascii="仿宋_GB2312" w:hAnsi="仿宋_GB2312" w:eastAsia="仿宋_GB2312" w:cs="仿宋_GB2312"/>
          <w:color w:val="auto"/>
          <w:sz w:val="32"/>
          <w:szCs w:val="32"/>
          <w:highlight w:val="none"/>
          <w:lang w:val="en"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w:t>
      </w:r>
      <w:r>
        <w:rPr>
          <w:rFonts w:hint="default" w:ascii="仿宋_GB2312" w:hAnsi="仿宋_GB2312" w:eastAsia="仿宋_GB2312" w:cs="仿宋_GB2312"/>
          <w:color w:val="auto"/>
          <w:sz w:val="32"/>
          <w:szCs w:val="32"/>
          <w:highlight w:val="none"/>
          <w:lang w:eastAsia="zh-CN"/>
        </w:rPr>
        <w:t>2</w:t>
      </w:r>
      <w:r>
        <w:rPr>
          <w:rFonts w:hint="eastAsia" w:ascii="仿宋_GB2312" w:hAnsi="仿宋_GB2312" w:eastAsia="仿宋_GB2312" w:cs="仿宋_GB2312"/>
          <w:color w:val="auto"/>
          <w:sz w:val="32"/>
          <w:szCs w:val="32"/>
          <w:highlight w:val="none"/>
          <w:lang w:val="en-US" w:eastAsia="zh-CN"/>
        </w:rPr>
        <w:t>〕1号）等文件精神，我单位对本单位整体绩效目标和项目支出绩效目标进行了自评。一是单位整体绩效自评情况，情况如下：2021年度单位预算资金全部拨付到位，资金支付方面严格按照预算批复用途使用，资金方面基本按照预期要求完成支付，总体效果良好，指标完成率较好。二是项目绩效自评情况。我单位共有0个项目批复了绩效目标</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default" w:ascii="楷体_GB2312" w:hAnsi="楷体_GB2312" w:eastAsia="楷体_GB2312" w:cs="楷体_GB2312"/>
          <w:b/>
          <w:bCs/>
          <w:color w:val="auto"/>
          <w:sz w:val="32"/>
          <w:szCs w:val="32"/>
          <w:highlight w:val="none"/>
          <w:lang w:eastAsia="zh-CN"/>
        </w:rPr>
        <w:t xml:space="preserve">    </w:t>
      </w:r>
      <w:r>
        <w:rPr>
          <w:rFonts w:hint="eastAsia" w:ascii="楷体_GB2312" w:hAnsi="楷体_GB2312" w:eastAsia="楷体_GB2312" w:cs="楷体_GB2312"/>
          <w:b/>
          <w:bCs/>
          <w:color w:val="auto"/>
          <w:sz w:val="32"/>
          <w:szCs w:val="32"/>
          <w:highlight w:val="none"/>
          <w:lang w:val="en-US" w:eastAsia="zh-CN"/>
        </w:rPr>
        <w:t>（三）重点绩效评价结果。</w:t>
      </w:r>
    </w:p>
    <w:p>
      <w:pPr>
        <w:widowControl/>
        <w:jc w:val="left"/>
        <w:rPr>
          <w:rFonts w:hint="eastAsia" w:ascii="黑体" w:hAnsi="宋体" w:eastAsia="黑体" w:cs="宋体"/>
          <w:color w:val="auto"/>
          <w:kern w:val="0"/>
          <w:sz w:val="28"/>
          <w:szCs w:val="28"/>
          <w:highlight w:val="none"/>
        </w:rPr>
      </w:pPr>
      <w:r>
        <w:rPr>
          <w:rFonts w:hint="default"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ascii="仿宋_GB2312" w:hAnsi="仿宋_GB2312" w:eastAsia="仿宋_GB2312" w:cs="仿宋_GB2312"/>
          <w:color w:val="auto"/>
          <w:sz w:val="32"/>
          <w:szCs w:val="32"/>
          <w:highlight w:val="none"/>
        </w:rPr>
        <w:t>我单位</w:t>
      </w:r>
      <w:r>
        <w:rPr>
          <w:rFonts w:hint="eastAsia" w:ascii="仿宋_GB2312" w:hAnsi="仿宋_GB2312" w:eastAsia="仿宋_GB2312" w:cs="仿宋_GB2312"/>
          <w:color w:val="auto"/>
          <w:sz w:val="32"/>
          <w:szCs w:val="32"/>
          <w:highlight w:val="none"/>
        </w:rPr>
        <w:t>没有开展</w:t>
      </w:r>
      <w:r>
        <w:rPr>
          <w:rFonts w:hint="eastAsia" w:ascii="仿宋_GB2312" w:hAnsi="仿宋_GB2312" w:eastAsia="仿宋_GB2312" w:cs="仿宋_GB2312"/>
          <w:color w:val="auto"/>
          <w:sz w:val="32"/>
          <w:szCs w:val="32"/>
          <w:highlight w:val="none"/>
          <w:lang w:eastAsia="zh-CN"/>
        </w:rPr>
        <w:t>重点</w:t>
      </w:r>
      <w:r>
        <w:rPr>
          <w:rFonts w:hint="eastAsia" w:ascii="仿宋_GB2312" w:hAnsi="仿宋_GB2312" w:eastAsia="仿宋_GB2312" w:cs="仿宋_GB2312"/>
          <w:color w:val="auto"/>
          <w:sz w:val="32"/>
          <w:szCs w:val="32"/>
          <w:highlight w:val="none"/>
        </w:rPr>
        <w:t>绩效评价</w:t>
      </w:r>
      <w:r>
        <w:rPr>
          <w:rFonts w:hint="eastAsia" w:ascii="仿宋_GB2312" w:hAnsi="仿宋_GB2312" w:eastAsia="仿宋_GB2312" w:cs="仿宋_GB2312"/>
          <w:color w:val="auto"/>
          <w:sz w:val="32"/>
          <w:szCs w:val="32"/>
          <w:highlight w:val="none"/>
          <w:lang w:eastAsia="zh-CN"/>
        </w:rPr>
        <w:t>的项目</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p>
    <w:p>
      <w:pPr>
        <w:widowControl/>
        <w:jc w:val="left"/>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pStyle w:val="2"/>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default"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FE1CB"/>
    <w:multiLevelType w:val="singleLevel"/>
    <w:tmpl w:val="EFEFE1CB"/>
    <w:lvl w:ilvl="0" w:tentative="0">
      <w:start w:val="7"/>
      <w:numFmt w:val="chineseCounting"/>
      <w:suff w:val="nothing"/>
      <w:lvlText w:val="%1、"/>
      <w:lvlJc w:val="left"/>
      <w:rPr>
        <w:rFonts w:hint="eastAsia"/>
      </w:rPr>
    </w:lvl>
  </w:abstractNum>
  <w:abstractNum w:abstractNumId="1">
    <w:nsid w:val="F7FB6571"/>
    <w:multiLevelType w:val="singleLevel"/>
    <w:tmpl w:val="F7FB6571"/>
    <w:lvl w:ilvl="0" w:tentative="0">
      <w:start w:val="11"/>
      <w:numFmt w:val="chineseCounting"/>
      <w:suff w:val="nothing"/>
      <w:lvlText w:val="%1、"/>
      <w:lvlJc w:val="left"/>
      <w:rPr>
        <w:rFonts w:hint="eastAsia"/>
      </w:rPr>
    </w:lvl>
  </w:abstractNum>
  <w:abstractNum w:abstractNumId="2">
    <w:nsid w:val="5971BE17"/>
    <w:multiLevelType w:val="singleLevel"/>
    <w:tmpl w:val="5971BE17"/>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10BD36F6"/>
    <w:rsid w:val="11184028"/>
    <w:rsid w:val="11BF0649"/>
    <w:rsid w:val="123E3E08"/>
    <w:rsid w:val="133212F4"/>
    <w:rsid w:val="13D22E22"/>
    <w:rsid w:val="15960479"/>
    <w:rsid w:val="161C2DFF"/>
    <w:rsid w:val="16373578"/>
    <w:rsid w:val="16D3336B"/>
    <w:rsid w:val="17200028"/>
    <w:rsid w:val="17806C36"/>
    <w:rsid w:val="17A74F62"/>
    <w:rsid w:val="18A47774"/>
    <w:rsid w:val="1A8D28EB"/>
    <w:rsid w:val="1A9F2D78"/>
    <w:rsid w:val="1ABFD831"/>
    <w:rsid w:val="1B2E6FD8"/>
    <w:rsid w:val="1B877D21"/>
    <w:rsid w:val="1B8A6B25"/>
    <w:rsid w:val="1BC948A4"/>
    <w:rsid w:val="1C4319A9"/>
    <w:rsid w:val="1E443B4B"/>
    <w:rsid w:val="1E994F4A"/>
    <w:rsid w:val="1EAF0224"/>
    <w:rsid w:val="1F2230A4"/>
    <w:rsid w:val="20210932"/>
    <w:rsid w:val="202448E0"/>
    <w:rsid w:val="20F614FE"/>
    <w:rsid w:val="21302EEA"/>
    <w:rsid w:val="21FB85B6"/>
    <w:rsid w:val="22376FB5"/>
    <w:rsid w:val="23E152D7"/>
    <w:rsid w:val="23EE2489"/>
    <w:rsid w:val="255D43C8"/>
    <w:rsid w:val="262F3ABB"/>
    <w:rsid w:val="26714EF8"/>
    <w:rsid w:val="26876BDD"/>
    <w:rsid w:val="2714632A"/>
    <w:rsid w:val="27541E73"/>
    <w:rsid w:val="27B0539E"/>
    <w:rsid w:val="29365CF8"/>
    <w:rsid w:val="299469B3"/>
    <w:rsid w:val="2A805789"/>
    <w:rsid w:val="2ADC0D75"/>
    <w:rsid w:val="2B4A0E52"/>
    <w:rsid w:val="2C975890"/>
    <w:rsid w:val="2D9DBAA8"/>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6AC2D1F"/>
    <w:rsid w:val="395D59E7"/>
    <w:rsid w:val="39A93932"/>
    <w:rsid w:val="3A915562"/>
    <w:rsid w:val="3B8D4765"/>
    <w:rsid w:val="3C000DBA"/>
    <w:rsid w:val="3DC045D3"/>
    <w:rsid w:val="3DEF98EE"/>
    <w:rsid w:val="3E504FFB"/>
    <w:rsid w:val="3E615CD0"/>
    <w:rsid w:val="3E9C47F6"/>
    <w:rsid w:val="3EF41631"/>
    <w:rsid w:val="3F8B0112"/>
    <w:rsid w:val="3F9F9115"/>
    <w:rsid w:val="3FAB3095"/>
    <w:rsid w:val="3FD94D21"/>
    <w:rsid w:val="3FE45947"/>
    <w:rsid w:val="3FF77A73"/>
    <w:rsid w:val="3FFBD75A"/>
    <w:rsid w:val="41242965"/>
    <w:rsid w:val="434D3E89"/>
    <w:rsid w:val="435671EA"/>
    <w:rsid w:val="440809E9"/>
    <w:rsid w:val="442407A6"/>
    <w:rsid w:val="44805EA1"/>
    <w:rsid w:val="454F1B1E"/>
    <w:rsid w:val="45710696"/>
    <w:rsid w:val="46142B1B"/>
    <w:rsid w:val="47E60DD0"/>
    <w:rsid w:val="485570C5"/>
    <w:rsid w:val="48735039"/>
    <w:rsid w:val="492C684B"/>
    <w:rsid w:val="49500594"/>
    <w:rsid w:val="49E7604E"/>
    <w:rsid w:val="4BF67CDD"/>
    <w:rsid w:val="4D173441"/>
    <w:rsid w:val="4D603DD6"/>
    <w:rsid w:val="4EBF010F"/>
    <w:rsid w:val="4F471EB0"/>
    <w:rsid w:val="51331326"/>
    <w:rsid w:val="51740A7F"/>
    <w:rsid w:val="51A5541E"/>
    <w:rsid w:val="51C96242"/>
    <w:rsid w:val="53906AE1"/>
    <w:rsid w:val="54AB3A3A"/>
    <w:rsid w:val="54F46F60"/>
    <w:rsid w:val="55284ECC"/>
    <w:rsid w:val="55A37BEA"/>
    <w:rsid w:val="56362CD2"/>
    <w:rsid w:val="5784687B"/>
    <w:rsid w:val="57846959"/>
    <w:rsid w:val="578E6A87"/>
    <w:rsid w:val="57D74A3B"/>
    <w:rsid w:val="5AC2203A"/>
    <w:rsid w:val="5CBB3334"/>
    <w:rsid w:val="5CE4190E"/>
    <w:rsid w:val="5D115FAF"/>
    <w:rsid w:val="5DB027E3"/>
    <w:rsid w:val="5EAFE3D5"/>
    <w:rsid w:val="5F9F9821"/>
    <w:rsid w:val="5FA14712"/>
    <w:rsid w:val="5FEE4647"/>
    <w:rsid w:val="5FFDFD37"/>
    <w:rsid w:val="625D01EB"/>
    <w:rsid w:val="62811722"/>
    <w:rsid w:val="62E75A72"/>
    <w:rsid w:val="64571880"/>
    <w:rsid w:val="649125B6"/>
    <w:rsid w:val="652F4C1A"/>
    <w:rsid w:val="666D37F1"/>
    <w:rsid w:val="67087D8F"/>
    <w:rsid w:val="671F687E"/>
    <w:rsid w:val="67F415F8"/>
    <w:rsid w:val="682640D1"/>
    <w:rsid w:val="684B73E5"/>
    <w:rsid w:val="69DEF5A4"/>
    <w:rsid w:val="6A047A2A"/>
    <w:rsid w:val="6D9794CA"/>
    <w:rsid w:val="6DDEF51A"/>
    <w:rsid w:val="6EFB7548"/>
    <w:rsid w:val="6F3831C3"/>
    <w:rsid w:val="6F8B71C1"/>
    <w:rsid w:val="70753482"/>
    <w:rsid w:val="707B522A"/>
    <w:rsid w:val="70D34442"/>
    <w:rsid w:val="73194D05"/>
    <w:rsid w:val="73A83B0E"/>
    <w:rsid w:val="744D3EF9"/>
    <w:rsid w:val="74794411"/>
    <w:rsid w:val="75867C40"/>
    <w:rsid w:val="75B10B26"/>
    <w:rsid w:val="76432199"/>
    <w:rsid w:val="76BF8DD5"/>
    <w:rsid w:val="76F44829"/>
    <w:rsid w:val="770D31C9"/>
    <w:rsid w:val="773FB6EA"/>
    <w:rsid w:val="77A267C0"/>
    <w:rsid w:val="77AF7A60"/>
    <w:rsid w:val="77DDFC54"/>
    <w:rsid w:val="78882278"/>
    <w:rsid w:val="78B118A6"/>
    <w:rsid w:val="79135044"/>
    <w:rsid w:val="797F4EB1"/>
    <w:rsid w:val="7A7D0F99"/>
    <w:rsid w:val="7B5666FE"/>
    <w:rsid w:val="7BBAF90F"/>
    <w:rsid w:val="7BDDE520"/>
    <w:rsid w:val="7BFED77B"/>
    <w:rsid w:val="7D7F7188"/>
    <w:rsid w:val="7DE13AAC"/>
    <w:rsid w:val="7DFA6F84"/>
    <w:rsid w:val="7DFD605A"/>
    <w:rsid w:val="7E2BD133"/>
    <w:rsid w:val="7E4A0E7C"/>
    <w:rsid w:val="7EFD449D"/>
    <w:rsid w:val="7FB3CCFB"/>
    <w:rsid w:val="7FF703E8"/>
    <w:rsid w:val="7FF723CF"/>
    <w:rsid w:val="7FFB5C91"/>
    <w:rsid w:val="7FFF2E26"/>
    <w:rsid w:val="9DCF2AF5"/>
    <w:rsid w:val="9F0B658C"/>
    <w:rsid w:val="9FE77C7A"/>
    <w:rsid w:val="9FFACD1E"/>
    <w:rsid w:val="9FFAFD92"/>
    <w:rsid w:val="A5FB7B7D"/>
    <w:rsid w:val="AB762E44"/>
    <w:rsid w:val="B3ABDC6E"/>
    <w:rsid w:val="B4FE3A48"/>
    <w:rsid w:val="B7FF5B8E"/>
    <w:rsid w:val="B7FF6D23"/>
    <w:rsid w:val="BDE66D55"/>
    <w:rsid w:val="CF77A6E5"/>
    <w:rsid w:val="D7D4FA0A"/>
    <w:rsid w:val="D7F544AD"/>
    <w:rsid w:val="D9DFDE56"/>
    <w:rsid w:val="DBFB2430"/>
    <w:rsid w:val="DDFF4BC5"/>
    <w:rsid w:val="DF7F761F"/>
    <w:rsid w:val="DFC49A5F"/>
    <w:rsid w:val="DFFB706B"/>
    <w:rsid w:val="E7F9A5E4"/>
    <w:rsid w:val="EADCE128"/>
    <w:rsid w:val="EBEF0711"/>
    <w:rsid w:val="ED9F922C"/>
    <w:rsid w:val="EFBFB011"/>
    <w:rsid w:val="EFF7B07C"/>
    <w:rsid w:val="F09F9F63"/>
    <w:rsid w:val="F1EB9392"/>
    <w:rsid w:val="F2DEC512"/>
    <w:rsid w:val="F37F9DB5"/>
    <w:rsid w:val="F7DF443A"/>
    <w:rsid w:val="F7DFB34F"/>
    <w:rsid w:val="F7F63DD2"/>
    <w:rsid w:val="FA2F843D"/>
    <w:rsid w:val="FADB9C66"/>
    <w:rsid w:val="FBFFAB4B"/>
    <w:rsid w:val="FCFE6052"/>
    <w:rsid w:val="FD7F0579"/>
    <w:rsid w:val="FDF01A48"/>
    <w:rsid w:val="FF356610"/>
    <w:rsid w:val="FF3F64DE"/>
    <w:rsid w:val="FF7E57E1"/>
    <w:rsid w:val="FFB928F5"/>
    <w:rsid w:val="FFEEB8A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tabs>
        <w:tab w:val="left" w:pos="1185"/>
      </w:tabs>
      <w:ind w:firstLine="420" w:firstLineChars="200"/>
    </w:pPr>
  </w:style>
  <w:style w:type="paragraph" w:styleId="3">
    <w:name w:val="Body Text Indent"/>
    <w:basedOn w:val="1"/>
    <w:next w:val="2"/>
    <w:qFormat/>
    <w:uiPriority w:val="0"/>
    <w:pPr>
      <w:tabs>
        <w:tab w:val="left" w:pos="1185"/>
      </w:tabs>
      <w:ind w:firstLine="645"/>
    </w:pPr>
    <w:rPr>
      <w:sz w:val="32"/>
    </w:rPr>
  </w:style>
  <w:style w:type="paragraph" w:styleId="4">
    <w:name w:val="Balloon Text"/>
    <w:basedOn w:val="1"/>
    <w:link w:val="12"/>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unhideWhenUsed/>
    <w:qFormat/>
    <w:uiPriority w:val="99"/>
    <w:rPr>
      <w:color w:val="800080"/>
      <w:u w:val="single"/>
    </w:rPr>
  </w:style>
  <w:style w:type="character" w:styleId="11">
    <w:name w:val="Hyperlink"/>
    <w:unhideWhenUsed/>
    <w:qFormat/>
    <w:uiPriority w:val="99"/>
    <w:rPr>
      <w:color w:val="0000FF"/>
      <w:u w:val="single"/>
    </w:rPr>
  </w:style>
  <w:style w:type="character" w:customStyle="1" w:styleId="12">
    <w:name w:val="批注框文本 Char"/>
    <w:link w:val="4"/>
    <w:semiHidden/>
    <w:qFormat/>
    <w:uiPriority w:val="99"/>
    <w:rPr>
      <w:kern w:val="2"/>
      <w:sz w:val="18"/>
      <w:szCs w:val="18"/>
    </w:rPr>
  </w:style>
  <w:style w:type="character" w:customStyle="1" w:styleId="13">
    <w:name w:val="页脚 Char"/>
    <w:link w:val="5"/>
    <w:qFormat/>
    <w:uiPriority w:val="99"/>
    <w:rPr>
      <w:kern w:val="2"/>
      <w:sz w:val="18"/>
      <w:szCs w:val="18"/>
    </w:rPr>
  </w:style>
  <w:style w:type="character" w:customStyle="1" w:styleId="14">
    <w:name w:val="页眉 Char"/>
    <w:link w:val="6"/>
    <w:qFormat/>
    <w:uiPriority w:val="99"/>
    <w:rPr>
      <w:kern w:val="2"/>
      <w:sz w:val="18"/>
      <w:szCs w:val="18"/>
    </w:rPr>
  </w:style>
  <w:style w:type="character" w:customStyle="1" w:styleId="15">
    <w:name w:val="font01"/>
    <w:qFormat/>
    <w:uiPriority w:val="0"/>
    <w:rPr>
      <w:rFonts w:hint="eastAsia" w:ascii="宋体" w:hAnsi="宋体" w:eastAsia="宋体" w:cs="宋体"/>
      <w:color w:val="000000"/>
      <w:sz w:val="22"/>
      <w:szCs w:val="22"/>
      <w:u w:val="none"/>
    </w:rPr>
  </w:style>
  <w:style w:type="character" w:customStyle="1" w:styleId="16">
    <w:name w:val="font21"/>
    <w:qFormat/>
    <w:uiPriority w:val="0"/>
    <w:rPr>
      <w:rFonts w:hint="eastAsia" w:ascii="宋体" w:hAnsi="宋体" w:eastAsia="宋体" w:cs="宋体"/>
      <w:color w:val="000000"/>
      <w:sz w:val="22"/>
      <w:szCs w:val="22"/>
      <w:u w:val="none"/>
    </w:rPr>
  </w:style>
  <w:style w:type="character" w:customStyle="1" w:styleId="17">
    <w:name w:val="font51"/>
    <w:qFormat/>
    <w:uiPriority w:val="0"/>
    <w:rPr>
      <w:rFonts w:hint="eastAsia" w:ascii="宋体" w:hAnsi="宋体" w:eastAsia="宋体" w:cs="宋体"/>
      <w:color w:val="000000"/>
      <w:sz w:val="24"/>
      <w:szCs w:val="24"/>
      <w:u w:val="none"/>
    </w:rPr>
  </w:style>
  <w:style w:type="character" w:customStyle="1" w:styleId="18">
    <w:name w:val="font11"/>
    <w:qFormat/>
    <w:uiPriority w:val="0"/>
    <w:rPr>
      <w:rFonts w:hint="eastAsia" w:ascii="宋体" w:hAnsi="宋体" w:eastAsia="宋体" w:cs="宋体"/>
      <w:color w:val="000000"/>
      <w:sz w:val="20"/>
      <w:szCs w:val="20"/>
      <w:u w:val="none"/>
    </w:rPr>
  </w:style>
  <w:style w:type="character" w:customStyle="1" w:styleId="19">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27</Pages>
  <Words>7433</Words>
  <Characters>9039</Characters>
  <Lines>60</Lines>
  <Paragraphs>16</Paragraphs>
  <TotalTime>7</TotalTime>
  <ScaleCrop>false</ScaleCrop>
  <LinksUpToDate>false</LinksUpToDate>
  <CharactersWithSpaces>9264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2007-12-06T03:41:00Z</dcterms:created>
  <dc:creator>管理者</dc:creator>
  <cp:lastModifiedBy>悟の</cp:lastModifiedBy>
  <cp:lastPrinted>2018-07-31T10:50:00Z</cp:lastPrinted>
  <dcterms:modified xsi:type="dcterms:W3CDTF">2023-09-17T11:08:33Z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7136BE0A9A094239A85AF95569E81BD9_13</vt:lpwstr>
  </property>
</Properties>
</file>